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sz w:val="32"/>
          <w:szCs w:val="32"/>
        </w:rPr>
        <w:t xml:space="preserve">§16. The Resonance Bridge</w:t>
      </w:r>
    </w:p>
    <w:p>
      <w:pPr>
        <w:spacing w:after="120"/>
        <w:jc w:val="center"/>
      </w:pPr>
      <w:r>
        <w:rPr>
          <w:rFonts w:ascii="Cambria" w:cs="Cambria" w:eastAsia="Cambria" w:hAnsi="Cambria"/>
          <w:i/>
          <w:iCs/>
          <w:sz w:val="24"/>
          <w:szCs w:val="24"/>
        </w:rPr>
        <w:t xml:space="preserve">Addendum to The Constructive Substrate</w:t>
      </w:r>
    </w:p>
    <w:p>
      <w:pPr>
        <w:spacing w:after="80"/>
      </w:pPr>
    </w:p>
    <w:p>
      <w:pPr>
        <w:spacing w:after="120"/>
        <w:jc w:val="center"/>
      </w:pPr>
      <w:r>
        <w:rPr>
          <w:rFonts w:ascii="Cambria" w:cs="Cambria" w:eastAsia="Cambria" w:hAnsi="Cambria"/>
          <w:sz w:val="22"/>
          <w:szCs w:val="22"/>
        </w:rPr>
        <w:t xml:space="preserve">Devon A. Generally</w:t>
      </w:r>
    </w:p>
    <w:p>
      <w:pPr>
        <w:spacing w:after="120"/>
        <w:jc w:val="center"/>
      </w:pPr>
      <w:r>
        <w:rPr>
          <w:rFonts w:ascii="Cambria" w:cs="Cambria" w:eastAsia="Cambria" w:hAnsi="Cambria"/>
          <w:i/>
          <w:iCs/>
          <w:sz w:val="22"/>
          <w:szCs w:val="22"/>
        </w:rPr>
        <w:t xml:space="preserve">Principal Investigator, MetaCortex Dynamics LLC</w:t>
      </w:r>
    </w:p>
    <w:p>
      <w:pPr>
        <w:spacing w:after="120"/>
        <w:jc w:val="center"/>
      </w:pPr>
      <w:r>
        <w:rPr>
          <w:rFonts w:ascii="Cambria" w:cs="Cambria" w:eastAsia="Cambria" w:hAnsi="Cambria"/>
          <w:sz w:val="22"/>
          <w:szCs w:val="22"/>
        </w:rPr>
        <w:t xml:space="preserve">ORCID: 0009-0004-8164-2159</w:t>
      </w:r>
    </w:p>
    <w:p>
      <w:pPr>
        <w:spacing w:after="80"/>
      </w:pPr>
    </w:p>
    <w:p>
      <w:pPr>
        <w:spacing w:after="120"/>
        <w:jc w:val="center"/>
      </w:pPr>
      <w:r>
        <w:rPr>
          <w:rFonts w:ascii="Cambria" w:cs="Cambria" w:eastAsia="Cambria" w:hAnsi="Cambria"/>
          <w:sz w:val="22"/>
          <w:szCs w:val="22"/>
        </w:rPr>
        <w:t xml:space="preserve">September 2026</w:t>
      </w:r>
    </w:p>
    <w:p>
      <w:pPr>
        <w:spacing w:after="120"/>
        <w:jc w:val="center"/>
      </w:pPr>
      <w:r>
        <w:rPr>
          <w:rFonts w:ascii="Cambria" w:cs="Cambria" w:eastAsia="Cambria" w:hAnsi="Cambria"/>
          <w:b/>
          <w:bCs/>
          <w:sz w:val="22"/>
          <w:szCs w:val="22"/>
        </w:rPr>
        <w:t xml:space="preserve">STATUS: PROPOSED | NOT PROMOTED</w:t>
      </w:r>
    </w:p>
    <w:p>
      <w:pPr>
        <w:spacing w:after="80"/>
      </w:pPr>
    </w:p>
    <w:p>
      <w:pPr>
        <w:spacing w:after="120"/>
      </w:pPr>
      <w:r>
        <w:rPr>
          <w:rFonts w:ascii="Cambria" w:cs="Cambria" w:eastAsia="Cambria" w:hAnsi="Cambria"/>
          <w:sz w:val="22"/>
          <w:szCs w:val="22"/>
        </w:rPr>
        <w:t xml:space="preserve">This addendum extends The Constructive Substrate [§1–§15] with the derivation of individuation from undifferentiated substrate through resonance, the classification of nested and carrier-scale resonances, and the co-individuation theorem on the icosidodecahedral operator manifold. It does not modify any prior section. All definitions, axioms, and theorems of §1–§15 remain unchanged. The addendum inherits the notation, conventions, and scope limitations of the parent paper, including §15.2 (What Is Not Claimed).</w:t>
      </w:r>
    </w:p>
    <w:p>
      <w:pPr>
        <w:spacing w:after="80"/>
      </w:pPr>
    </w:p>
    <w:p>
      <w:pPr>
        <w:pStyle w:val="Heading1"/>
        <w:spacing w:after="200" w:before="360"/>
      </w:pPr>
      <w:r>
        <w:rPr>
          <w:rFonts w:ascii="Cambria" w:cs="Cambria" w:eastAsia="Cambria" w:hAnsi="Cambria"/>
          <w:b/>
          <w:bCs/>
          <w:sz w:val="28"/>
          <w:szCs w:val="28"/>
        </w:rPr>
        <w:t xml:space="preserve">§16.1 Resonance and Individuation</w:t>
      </w:r>
    </w:p>
    <w:p>
      <w:pPr>
        <w:spacing w:after="120"/>
      </w:pPr>
      <w:r>
        <w:rPr>
          <w:rFonts w:ascii="Cambria" w:cs="Cambria" w:eastAsia="Cambria" w:hAnsi="Cambria"/>
          <w:sz w:val="22"/>
          <w:szCs w:val="22"/>
        </w:rPr>
        <w:t xml:space="preserve">The flex law of §5.3 defines a synchronous, deterministic, parameter-free update on ℤ₆ orientations. A ground state is any configuration with zero mismatch energy: all cells at uniform orientation. Ground states have no boundaries, no structure, and no individuals. The substrate is undifferentiated.</w:t>
      </w:r>
    </w:p>
    <w:p>
      <w:pPr>
        <w:spacing w:after="120"/>
      </w:pPr>
      <w:r>
        <w:rPr>
          <w:rFonts w:ascii="Cambria" w:cs="Cambria" w:eastAsia="Cambria" w:hAnsi="Cambria"/>
          <w:b/>
          <w:bCs/>
          <w:sz w:val="22"/>
          <w:szCs w:val="22"/>
        </w:rPr>
        <w:t xml:space="preserve">Definition 16.1 (Resonance).</w:t>
      </w:r>
    </w:p>
    <w:p>
      <w:pPr>
        <w:spacing w:after="120"/>
      </w:pPr>
      <w:r>
        <w:rPr>
          <w:rFonts w:ascii="Cambria" w:cs="Cambria" w:eastAsia="Cambria" w:hAnsi="Cambria"/>
          <w:i/>
          <w:iCs/>
          <w:sz w:val="22"/>
          <w:szCs w:val="22"/>
        </w:rPr>
        <w:t xml:space="preserve">A configuration x is a resonance if x is a non-ground fixed point of the flex law: F(x) = x and x ≠ ground.</w:t>
      </w:r>
    </w:p>
    <w:p>
      <w:pPr>
        <w:spacing w:after="120"/>
      </w:pPr>
      <w:r>
        <w:rPr>
          <w:rFonts w:ascii="Cambria" w:cs="Cambria" w:eastAsia="Cambria" w:hAnsi="Cambria"/>
          <w:sz w:val="22"/>
          <w:szCs w:val="22"/>
        </w:rPr>
        <w:t xml:space="preserve">A resonance is a pattern that reproduces itself under the update law at every tick without external input. It is not driven, sustained, or assembled. It persists because every cell's argmin reproduces the current configuration.</w:t>
      </w:r>
    </w:p>
    <w:p>
      <w:pPr>
        <w:spacing w:after="120"/>
      </w:pPr>
      <w:r>
        <w:rPr>
          <w:rFonts w:ascii="Cambria" w:cs="Cambria" w:eastAsia="Cambria" w:hAnsi="Cambria"/>
          <w:b/>
          <w:bCs/>
          <w:sz w:val="22"/>
          <w:szCs w:val="22"/>
        </w:rPr>
        <w:t xml:space="preserve">Definition 16.2 (Individuation).</w:t>
      </w:r>
    </w:p>
    <w:p>
      <w:pPr>
        <w:spacing w:after="120"/>
      </w:pPr>
      <w:r>
        <w:rPr>
          <w:rFonts w:ascii="Cambria" w:cs="Cambria" w:eastAsia="Cambria" w:hAnsi="Cambria"/>
          <w:i/>
          <w:iCs/>
          <w:sz w:val="22"/>
          <w:szCs w:val="22"/>
        </w:rPr>
        <w:t xml:space="preserve">Individuation is the production of a bounded region with a coherent interior and a distinct boundary, where the boundary is the set of edges across which adjacent cells carry different orientations within the resonant configuration.</w:t>
      </w:r>
    </w:p>
    <w:p>
      <w:pPr>
        <w:spacing w:after="120"/>
      </w:pPr>
      <w:r>
        <w:rPr>
          <w:rFonts w:ascii="Cambria" w:cs="Cambria" w:eastAsia="Cambria" w:hAnsi="Cambria"/>
          <w:sz w:val="22"/>
          <w:szCs w:val="22"/>
        </w:rPr>
        <w:t xml:space="preserve">The boundary is not imposed from outside. It is the coherence edge of the resonant patch — where the pattern's self-consistency ends. INSIDE/OUTSIDE is produced by resonance, not assumed.</w:t>
      </w:r>
    </w:p>
    <w:p>
      <w:pPr>
        <w:spacing w:after="80"/>
      </w:pPr>
    </w:p>
    <w:p>
      <w:pPr>
        <w:pStyle w:val="Heading1"/>
        <w:spacing w:after="200" w:before="360"/>
      </w:pPr>
      <w:r>
        <w:rPr>
          <w:rFonts w:ascii="Cambria" w:cs="Cambria" w:eastAsia="Cambria" w:hAnsi="Cambria"/>
          <w:b/>
          <w:bCs/>
          <w:sz w:val="28"/>
          <w:szCs w:val="28"/>
        </w:rPr>
        <w:t xml:space="preserve">§16.2 Flat Resonance</w:t>
      </w:r>
    </w:p>
    <w:p>
      <w:pPr>
        <w:spacing w:after="120"/>
      </w:pPr>
      <w:r>
        <w:rPr>
          <w:rFonts w:ascii="Cambria" w:cs="Cambria" w:eastAsia="Cambria" w:hAnsi="Cambria"/>
          <w:b/>
          <w:bCs/>
          <w:sz w:val="22"/>
          <w:szCs w:val="22"/>
        </w:rPr>
        <w:t xml:space="preserve">Theorem 16.1 (Existence of Flat Resonance).</w:t>
      </w:r>
    </w:p>
    <w:p>
      <w:pPr>
        <w:spacing w:after="120"/>
      </w:pPr>
      <w:r>
        <w:rPr>
          <w:rFonts w:ascii="Cambria" w:cs="Cambria" w:eastAsia="Cambria" w:hAnsi="Cambria"/>
          <w:i/>
          <w:iCs/>
          <w:sz w:val="22"/>
          <w:szCs w:val="22"/>
        </w:rPr>
        <w:t xml:space="preserve">The flex law on the infinite flat development admits non-ground fixed points.</w:t>
      </w:r>
    </w:p>
    <w:p>
      <w:pPr>
        <w:spacing w:after="80"/>
      </w:pPr>
    </w:p>
    <w:p>
      <w:pPr>
        <w:spacing w:after="120"/>
      </w:pPr>
      <w:r>
        <w:rPr>
          <w:rFonts w:ascii="Cambria" w:cs="Cambria" w:eastAsia="Cambria" w:hAnsi="Cambria"/>
          <w:b/>
          <w:bCs/>
          <w:sz w:val="22"/>
          <w:szCs w:val="22"/>
        </w:rPr>
        <w:t xml:space="preserve">Construction.</w:t>
      </w:r>
    </w:p>
    <w:p>
      <w:pPr>
        <w:spacing w:after="120"/>
      </w:pPr>
      <w:r>
        <w:rPr>
          <w:rFonts w:ascii="Cambria" w:cs="Cambria" w:eastAsia="Cambria" w:hAnsi="Cambria"/>
          <w:sz w:val="22"/>
          <w:szCs w:val="22"/>
        </w:rPr>
        <w:t xml:space="preserve">Define the concentric family on the flat development:</w:t>
      </w:r>
    </w:p>
    <w:p>
      <w:pPr>
        <w:spacing w:after="120"/>
      </w:pPr>
      <w:r>
        <w:rPr>
          <w:rFonts w:ascii="Consolas" w:cs="Consolas" w:eastAsia="Consolas" w:hAnsi="Consolas"/>
          <w:sz w:val="20"/>
          <w:szCs w:val="20"/>
        </w:rPr>
        <w:t xml:space="preserve">x_{A,B}(v) = A  if d(v,o) ≤ 1</w:t>
      </w:r>
    </w:p>
    <w:p>
      <w:pPr>
        <w:spacing w:after="120"/>
      </w:pPr>
      <w:r>
        <w:rPr>
          <w:rFonts w:ascii="Consolas" w:cs="Consolas" w:eastAsia="Consolas" w:hAnsi="Consolas"/>
          <w:sz w:val="20"/>
          <w:szCs w:val="20"/>
        </w:rPr>
        <w:t xml:space="preserve">x_{A,B}(v) = B  if d(v,o) ≥ 2</w:t>
      </w:r>
    </w:p>
    <w:p>
      <w:pPr>
        <w:spacing w:after="120"/>
      </w:pPr>
      <w:r>
        <w:rPr>
          <w:rFonts w:ascii="Consolas" w:cs="Consolas" w:eastAsia="Consolas" w:hAnsi="Consolas"/>
          <w:sz w:val="20"/>
          <w:szCs w:val="20"/>
        </w:rPr>
        <w:t xml:space="preserve">A ≠ B ∈ ℤ₆</w:t>
      </w:r>
    </w:p>
    <w:p>
      <w:pPr>
        <w:spacing w:after="80"/>
      </w:pPr>
    </w:p>
    <w:p>
      <w:pPr>
        <w:spacing w:after="120"/>
      </w:pPr>
      <w:r>
        <w:rPr>
          <w:rFonts w:ascii="Cambria" w:cs="Cambria" w:eastAsia="Cambria" w:hAnsi="Cambria"/>
          <w:sz w:val="22"/>
          <w:szCs w:val="22"/>
        </w:rPr>
        <w:t xml:space="preserve">The center cell has 6 neighbors all at A (energy 0 at A, unique argmin). Each inner-ring cell has 3 neighbors at A and 3 at B; energy at A equals energy at B, and tie retention preserves A. Each outer cell has majority-B neighbors; argmin is B. Therefore F(x_{A,B}) = x_{A,B}.</w:t>
      </w:r>
    </w:p>
    <w:p>
      <w:pPr>
        <w:spacing w:after="80"/>
      </w:pPr>
    </w:p>
    <w:p>
      <w:pPr>
        <w:spacing w:after="120"/>
      </w:pPr>
      <w:r>
        <w:rPr>
          <w:rFonts w:ascii="Cambria" w:cs="Cambria" w:eastAsia="Cambria" w:hAnsi="Cambria"/>
          <w:b/>
          <w:bCs/>
          <w:sz w:val="22"/>
          <w:szCs w:val="22"/>
        </w:rPr>
        <w:t xml:space="preserve">Constant-Exterior Lift Lemma.</w:t>
      </w:r>
    </w:p>
    <w:p>
      <w:pPr>
        <w:spacing w:after="120"/>
      </w:pPr>
      <w:r>
        <w:rPr>
          <w:rFonts w:ascii="Cambria" w:cs="Cambria" w:eastAsia="Cambria" w:hAnsi="Cambria"/>
          <w:i/>
          <w:iCs/>
          <w:sz w:val="22"/>
          <w:szCs w:val="22"/>
        </w:rPr>
        <w:t xml:space="preserve">Let x be a finite witness on D_{R+1} with every cell in D_R fixed and every cell in S_{R+1} at state B and fixed under the free boundary. Define the extension x̄(v) = x(v) for v ∈ D_{R+1}, x̄(v) = B otherwise. Then F(x̄) = x̄.</w:t>
      </w:r>
    </w:p>
    <w:p>
      <w:pPr>
        <w:spacing w:after="80"/>
      </w:pPr>
    </w:p>
    <w:p>
      <w:pPr>
        <w:spacing w:after="120"/>
      </w:pPr>
      <w:r>
        <w:rPr>
          <w:rFonts w:ascii="Cambria" w:cs="Cambria" w:eastAsia="Cambria" w:hAnsi="Cambria"/>
          <w:sz w:val="22"/>
          <w:szCs w:val="22"/>
        </w:rPr>
        <w:t xml:space="preserve">For v ∈ D_R, the complete neighborhood is present in the finite witness; extension changes nothing. For v ∈ S_{R+1}, extension adds only B-neighbors, strengthening B as argmin. For v outside D_{R+1}, every neighbor is B; B is the unique argmin.</w:t>
      </w:r>
    </w:p>
    <w:p>
      <w:pPr>
        <w:spacing w:after="80"/>
      </w:pPr>
    </w:p>
    <w:p>
      <w:pPr>
        <w:spacing w:after="120"/>
      </w:pPr>
      <w:r>
        <w:rPr>
          <w:rFonts w:ascii="Cambria" w:cs="Cambria" w:eastAsia="Cambria" w:hAnsi="Cambria"/>
          <w:b/>
          <w:bCs/>
          <w:sz w:val="22"/>
          <w:szCs w:val="22"/>
        </w:rPr>
        <w:t xml:space="preserve">Witnesses.</w:t>
      </w:r>
    </w:p>
    <w:p>
      <w:pPr>
        <w:spacing w:after="120"/>
      </w:pPr>
      <w:r>
        <w:rPr>
          <w:rFonts w:ascii="Cambria" w:cs="Cambria" w:eastAsia="Cambria" w:hAnsi="Cambria"/>
          <w:sz w:val="22"/>
          <w:szCs w:val="22"/>
        </w:rPr>
        <w:t xml:space="preserve">30 labeled configurations. 3 unoriented structural types at cyclic distance d ∈ {1, 2, 3}. Boundary energy E = 18d. Computational receipt: exhaustive verification on the minimal 19-cell hexagonal patch (7-cell patch admits no non-ground fixed points; the minimal patch requires at least two full rings for interior shielding).</w:t>
      </w:r>
    </w:p>
    <w:p>
      <w:pPr>
        <w:spacing w:after="80"/>
      </w:pPr>
    </w:p>
    <w:p>
      <w:pPr>
        <w:pStyle w:val="Heading1"/>
        <w:spacing w:after="200" w:before="360"/>
      </w:pPr>
      <w:r>
        <w:rPr>
          <w:rFonts w:ascii="Cambria" w:cs="Cambria" w:eastAsia="Cambria" w:hAnsi="Cambria"/>
          <w:b/>
          <w:bCs/>
          <w:sz w:val="28"/>
          <w:szCs w:val="28"/>
        </w:rPr>
        <w:t xml:space="preserve">§16.3 Nested Resonance</w:t>
      </w:r>
    </w:p>
    <w:p>
      <w:pPr>
        <w:spacing w:after="120"/>
      </w:pPr>
      <w:r>
        <w:rPr>
          <w:rFonts w:ascii="Cambria" w:cs="Cambria" w:eastAsia="Cambria" w:hAnsi="Cambria"/>
          <w:b/>
          <w:bCs/>
          <w:sz w:val="22"/>
          <w:szCs w:val="22"/>
        </w:rPr>
        <w:t xml:space="preserve">Theorem 16.2 (Nested Resonance Existence).</w:t>
      </w:r>
    </w:p>
    <w:p>
      <w:pPr>
        <w:spacing w:after="120"/>
      </w:pPr>
      <w:r>
        <w:rPr>
          <w:rFonts w:ascii="Cambria" w:cs="Cambria" w:eastAsia="Cambria" w:hAnsi="Cambria"/>
          <w:i/>
          <w:iCs/>
          <w:sz w:val="22"/>
          <w:szCs w:val="22"/>
        </w:rPr>
        <w:t xml:space="preserve">The flex law admits nested resonances: a resonant configuration whose interior contains a smaller resonant configuration at a different orientation.</w:t>
      </w:r>
    </w:p>
    <w:p>
      <w:pPr>
        <w:spacing w:after="80"/>
      </w:pPr>
    </w:p>
    <w:p>
      <w:pPr>
        <w:spacing w:after="120"/>
      </w:pPr>
      <w:r>
        <w:rPr>
          <w:rFonts w:ascii="Cambria" w:cs="Cambria" w:eastAsia="Cambria" w:hAnsi="Cambria"/>
          <w:b/>
          <w:bCs/>
          <w:sz w:val="22"/>
          <w:szCs w:val="22"/>
        </w:rPr>
        <w:t xml:space="preserve">Minimal concentric nesting.</w:t>
      </w:r>
    </w:p>
    <w:p>
      <w:pPr>
        <w:spacing w:after="120"/>
      </w:pPr>
      <w:r>
        <w:rPr>
          <w:rFonts w:ascii="Cambria" w:cs="Cambria" w:eastAsia="Cambria" w:hAnsi="Cambria"/>
          <w:sz w:val="22"/>
          <w:szCs w:val="22"/>
        </w:rPr>
        <w:t xml:space="preserve">Define the three-layer concentric family:</w:t>
      </w:r>
    </w:p>
    <w:p>
      <w:pPr>
        <w:spacing w:after="120"/>
      </w:pPr>
      <w:r>
        <w:rPr>
          <w:rFonts w:ascii="Consolas" w:cs="Consolas" w:eastAsia="Consolas" w:hAnsi="Consolas"/>
          <w:sz w:val="20"/>
          <w:szCs w:val="20"/>
        </w:rPr>
        <w:t xml:space="preserve">x_{C,A,B}(v) = C  if d(v,o) ≤ 1</w:t>
      </w:r>
    </w:p>
    <w:p>
      <w:pPr>
        <w:spacing w:after="120"/>
      </w:pPr>
      <w:r>
        <w:rPr>
          <w:rFonts w:ascii="Consolas" w:cs="Consolas" w:eastAsia="Consolas" w:hAnsi="Consolas"/>
          <w:sz w:val="20"/>
          <w:szCs w:val="20"/>
        </w:rPr>
        <w:t xml:space="preserve">x_{C,A,B}(v) = A  if d(v,o) = 2</w:t>
      </w:r>
    </w:p>
    <w:p>
      <w:pPr>
        <w:spacing w:after="120"/>
      </w:pPr>
      <w:r>
        <w:rPr>
          <w:rFonts w:ascii="Consolas" w:cs="Consolas" w:eastAsia="Consolas" w:hAnsi="Consolas"/>
          <w:sz w:val="20"/>
          <w:szCs w:val="20"/>
        </w:rPr>
        <w:t xml:space="preserve">x_{C,A,B}(v) = B  if d(v,o) ≥ 3</w:t>
      </w:r>
    </w:p>
    <w:p>
      <w:pPr>
        <w:spacing w:after="120"/>
      </w:pPr>
      <w:r>
        <w:rPr>
          <w:rFonts w:ascii="Consolas" w:cs="Consolas" w:eastAsia="Consolas" w:hAnsi="Consolas"/>
          <w:sz w:val="20"/>
          <w:szCs w:val="20"/>
        </w:rPr>
        <w:t xml:space="preserve">C ≠ A, A ≠ B</w:t>
      </w:r>
    </w:p>
    <w:p>
      <w:pPr>
        <w:spacing w:after="80"/>
      </w:pPr>
    </w:p>
    <w:p>
      <w:pPr>
        <w:spacing w:after="120"/>
      </w:pPr>
      <w:r>
        <w:rPr>
          <w:rFonts w:ascii="Cambria" w:cs="Cambria" w:eastAsia="Cambria" w:hAnsi="Cambria"/>
          <w:sz w:val="22"/>
          <w:szCs w:val="22"/>
        </w:rPr>
        <w:t xml:space="preserve">The nesting condition is metric betweenness on ℤ₆: d(C,B) = d(C,A) + d(A,B). The intermediate orientation A lies on a shortest geodesic from C to B. Under this condition, F(x_{C,A,B}) = x_{C,A,B}.</w:t>
      </w:r>
    </w:p>
    <w:p>
      <w:pPr>
        <w:spacing w:after="80"/>
      </w:pPr>
    </w:p>
    <w:p>
      <w:pPr>
        <w:spacing w:after="120"/>
      </w:pPr>
      <w:r>
        <w:rPr>
          <w:rFonts w:ascii="Cambria" w:cs="Cambria" w:eastAsia="Cambria" w:hAnsi="Cambria"/>
          <w:sz w:val="22"/>
          <w:szCs w:val="22"/>
        </w:rPr>
        <w:t xml:space="preserve">Witnesses: 36 nested fixed points at three layers. 60 at four layers (metric betweenness is sufficient but not necessary at four layers). Energy decomposes linearly within the concentric layered family: E = Σ(face edges) · d, with face edge counts 18, 30, 42 (arithmetic progression, +12 per layer).</w:t>
      </w:r>
    </w:p>
    <w:p>
      <w:pPr>
        <w:spacing w:after="80"/>
      </w:pPr>
    </w:p>
    <w:p>
      <w:pPr>
        <w:spacing w:after="120"/>
      </w:pPr>
      <w:r>
        <w:rPr>
          <w:rFonts w:ascii="Cambria" w:cs="Cambria" w:eastAsia="Cambria" w:hAnsi="Cambria"/>
          <w:sz w:val="22"/>
          <w:szCs w:val="22"/>
        </w:rPr>
        <w:t xml:space="preserve">The inner resonance K₇(C) and the outer resonance K₁₉(C,A) persist against B simultaneously in the same synchronous tick. Scale hierarchy is co-present, not sequential.</w:t>
      </w:r>
    </w:p>
    <w:p>
      <w:pPr>
        <w:spacing w:after="80"/>
      </w:pPr>
    </w:p>
    <w:p>
      <w:pPr>
        <w:pStyle w:val="Heading1"/>
        <w:spacing w:after="200" w:before="360"/>
      </w:pPr>
      <w:r>
        <w:rPr>
          <w:rFonts w:ascii="Cambria" w:cs="Cambria" w:eastAsia="Cambria" w:hAnsi="Cambria"/>
          <w:b/>
          <w:bCs/>
          <w:sz w:val="28"/>
          <w:szCs w:val="28"/>
        </w:rPr>
        <w:t xml:space="preserve">§16.4 Carrier-Geometry Flex Resonance</w:t>
      </w:r>
    </w:p>
    <w:p>
      <w:pPr>
        <w:spacing w:after="120"/>
      </w:pPr>
      <w:r>
        <w:rPr>
          <w:rFonts w:ascii="Cambria" w:cs="Cambria" w:eastAsia="Cambria" w:hAnsi="Cambria"/>
          <w:b/>
          <w:bCs/>
          <w:sz w:val="22"/>
          <w:szCs w:val="22"/>
        </w:rPr>
        <w:t xml:space="preserve">Theorem 16.3 (Carrier Resonance Existence).</w:t>
      </w:r>
    </w:p>
    <w:p>
      <w:pPr>
        <w:spacing w:after="120"/>
      </w:pPr>
      <w:r>
        <w:rPr>
          <w:rFonts w:ascii="Cambria" w:cs="Cambria" w:eastAsia="Cambria" w:hAnsi="Cambria"/>
          <w:i/>
          <w:iCs/>
          <w:sz w:val="22"/>
          <w:szCs w:val="22"/>
        </w:rPr>
        <w:t xml:space="preserve">The flex law instantiated on the dodecahedral face-adjacency graph admits non-ground fixed points.</w:t>
      </w:r>
    </w:p>
    <w:p>
      <w:pPr>
        <w:spacing w:after="80"/>
      </w:pPr>
    </w:p>
    <w:p>
      <w:pPr>
        <w:spacing w:after="120"/>
      </w:pPr>
      <w:r>
        <w:rPr>
          <w:rFonts w:ascii="Cambria" w:cs="Cambria" w:eastAsia="Cambria" w:hAnsi="Cambria"/>
          <w:sz w:val="22"/>
          <w:szCs w:val="22"/>
        </w:rPr>
        <w:t xml:space="preserve">The dodecahedral face-adjacency graph is the icosahedral graph: 12 vertices (one per dodecahedral face), 5-regular, 30 edges. The flex law on this graph is the synchronous argmin over ℤ₆ with cyclic mismatch and tie retention, instantiated with 5 neighbors per vertex instead of 6.</w:t>
      </w:r>
    </w:p>
    <w:p>
      <w:pPr>
        <w:spacing w:after="80"/>
      </w:pPr>
    </w:p>
    <w:p>
      <w:pPr>
        <w:spacing w:after="120"/>
      </w:pPr>
      <w:r>
        <w:rPr>
          <w:rFonts w:ascii="Cambria" w:cs="Cambria" w:eastAsia="Cambria" w:hAnsi="Cambria"/>
          <w:sz w:val="22"/>
          <w:szCs w:val="22"/>
        </w:rPr>
        <w:t xml:space="preserve">Every non-ground binary fixed point is a hemisphere bisection: 6 faces at orientation A, 6 at B, with the two poles (vertices with all 5 neighbors at the same orientation) antipodal on the icosahedral graph. The boundary is the minimum graph bisection: 10 edges. Energy E = 10 · d(A,B). Three structural types at d ∈ {1, 2, 3}.</w:t>
      </w:r>
    </w:p>
    <w:p>
      <w:pPr>
        <w:spacing w:after="80"/>
      </w:pPr>
    </w:p>
    <w:p>
      <w:pPr>
        <w:spacing w:after="120"/>
      </w:pPr>
      <w:r>
        <w:rPr>
          <w:rFonts w:ascii="Cambria" w:cs="Cambria" w:eastAsia="Cambria" w:hAnsi="Cambria"/>
          <w:sz w:val="22"/>
          <w:szCs w:val="22"/>
        </w:rPr>
        <w:t xml:space="preserve">Witnesses: 180 labeled configurations (6 geometric bisections × 5 nonzero distance values × 6 global ℤ₆ shifts). Computational receipt: exhaustive binary search over all 2,047 nonuniform binary partitions of the 12-vertex icosahedral graph confirms exactly 6 bisections are fixed points.</w:t>
      </w:r>
    </w:p>
    <w:p>
      <w:pPr>
        <w:spacing w:after="80"/>
      </w:pPr>
    </w:p>
    <w:p>
      <w:pPr>
        <w:spacing w:after="120"/>
      </w:pPr>
      <w:r>
        <w:rPr>
          <w:rFonts w:ascii="Cambria" w:cs="Cambria" w:eastAsia="Cambria" w:hAnsi="Cambria"/>
          <w:b/>
          <w:bCs/>
          <w:sz w:val="22"/>
          <w:szCs w:val="22"/>
        </w:rPr>
        <w:t xml:space="preserve">Domain typing.</w:t>
      </w:r>
    </w:p>
    <w:p>
      <w:pPr>
        <w:spacing w:after="120"/>
      </w:pPr>
      <w:r>
        <w:rPr>
          <w:rFonts w:ascii="Consolas" w:cs="Consolas" w:eastAsia="Consolas" w:hAnsi="Consolas"/>
          <w:sz w:val="20"/>
          <w:szCs w:val="20"/>
        </w:rPr>
        <w:t xml:space="preserve">Flex law F : X_F = (ℤ₆)¹² → X_F   (dodecahedral faces)</w:t>
      </w:r>
    </w:p>
    <w:p>
      <w:pPr>
        <w:spacing w:after="120"/>
      </w:pPr>
      <w:r>
        <w:rPr>
          <w:rFonts w:ascii="Consolas" w:cs="Consolas" w:eastAsia="Consolas" w:hAnsi="Consolas"/>
          <w:sz w:val="20"/>
          <w:szCs w:val="20"/>
        </w:rPr>
        <w:t xml:space="preserve">Carrier law K : X_K = (ℤ₆)²⁰ → X_K  (dodecahedral vertices)</w:t>
      </w:r>
    </w:p>
    <w:p>
      <w:pPr>
        <w:spacing w:after="120"/>
      </w:pPr>
      <w:r>
        <w:rPr>
          <w:rFonts w:ascii="Cambria" w:cs="Cambria" w:eastAsia="Cambria" w:hAnsi="Cambria"/>
          <w:sz w:val="22"/>
          <w:szCs w:val="22"/>
        </w:rPr>
        <w:t xml:space="preserve">The 180 witnesses are fixed under F on X_F. They are not fixed under K on X_K. The domains are distinct; carrier-law convergence (≤ 4 steps to ground on X_K, §13) cannot be applied directly to a flex resonance on X_F. Their composition under a unified realization remains open (O5).</w:t>
      </w:r>
    </w:p>
    <w:p>
      <w:pPr>
        <w:spacing w:after="80"/>
      </w:pPr>
    </w:p>
    <w:p>
      <w:pPr>
        <w:spacing w:after="120"/>
      </w:pPr>
      <w:r>
        <w:rPr>
          <w:rFonts w:ascii="Cambria" w:cs="Cambria" w:eastAsia="Cambria" w:hAnsi="Cambria"/>
          <w:sz w:val="22"/>
          <w:szCs w:val="22"/>
        </w:rPr>
        <w:t xml:space="preserve">The six hemisphere bisections correspond 1:1 with the six five-fold rotational axes of the dodecahedral carrier. The hemisphere resonance at each axis produces the carrier law's own four-orbit quotient decomposition through the face-vertex incidence structure.</w:t>
      </w:r>
    </w:p>
    <w:p>
      <w:pPr>
        <w:spacing w:after="80"/>
      </w:pPr>
    </w:p>
    <w:p>
      <w:pPr>
        <w:pStyle w:val="Heading1"/>
        <w:spacing w:after="200" w:before="360"/>
      </w:pPr>
      <w:r>
        <w:rPr>
          <w:rFonts w:ascii="Cambria" w:cs="Cambria" w:eastAsia="Cambria" w:hAnsi="Cambria"/>
          <w:b/>
          <w:bCs/>
          <w:sz w:val="28"/>
          <w:szCs w:val="28"/>
        </w:rPr>
        <w:t xml:space="preserve">§16.5 Co-Individuation on the Operator Manifold</w:t>
      </w:r>
    </w:p>
    <w:p>
      <w:pPr>
        <w:spacing w:after="120"/>
      </w:pPr>
      <w:r>
        <w:rPr>
          <w:rFonts w:ascii="Cambria" w:cs="Cambria" w:eastAsia="Cambria" w:hAnsi="Cambria"/>
          <w:sz w:val="22"/>
          <w:szCs w:val="22"/>
        </w:rPr>
        <w:t xml:space="preserve">The icosidodecahedron is the rectification of both the regular dodecahedron and the regular icosahedron. It has 30 vertices (one per dodecahedral edge, equivalently one per icosahedral edge), 60 edges, and 32 faces: 20 triangular and 12 pentagonal. Each triangular face corresponds to a dodecahedral vertex. Each pentagonal face corresponds to a dodecahedral face.</w:t>
      </w:r>
    </w:p>
    <w:p>
      <w:pPr>
        <w:spacing w:after="80"/>
      </w:pPr>
    </w:p>
    <w:p>
      <w:pPr>
        <w:spacing w:after="120"/>
      </w:pPr>
      <w:r>
        <w:rPr>
          <w:rFonts w:ascii="Cambria" w:cs="Cambria" w:eastAsia="Cambria" w:hAnsi="Cambria"/>
          <w:sz w:val="22"/>
          <w:szCs w:val="22"/>
        </w:rPr>
        <w:t xml:space="preserve">The face-adjacency graph of the icosidodecahedron is bipartite: every edge connects a triangular face to a pentagonal face. No two triangular faces share an edge; no two pentagonal faces share an edge. The graph is (3,5)-biregular: each triangle has 3 pentagon neighbors, each pentagon has 5 triangle neighbors.</w:t>
      </w:r>
    </w:p>
    <w:p>
      <w:pPr>
        <w:spacing w:after="80"/>
      </w:pPr>
    </w:p>
    <w:p>
      <w:pPr>
        <w:spacing w:after="120"/>
      </w:pPr>
      <w:r>
        <w:rPr>
          <w:rFonts w:ascii="Cambria" w:cs="Cambria" w:eastAsia="Cambria" w:hAnsi="Cambria"/>
          <w:b/>
          <w:bCs/>
          <w:sz w:val="22"/>
          <w:szCs w:val="22"/>
        </w:rPr>
        <w:t xml:space="preserve">Theorem 16.4 (Co-Individuation).</w:t>
      </w:r>
    </w:p>
    <w:p>
      <w:pPr>
        <w:spacing w:after="120"/>
      </w:pPr>
      <w:r>
        <w:rPr>
          <w:rFonts w:ascii="Cambria" w:cs="Cambria" w:eastAsia="Cambria" w:hAnsi="Cambria"/>
          <w:i/>
          <w:iCs/>
          <w:sz w:val="22"/>
          <w:szCs w:val="22"/>
        </w:rPr>
        <w:t xml:space="preserve">The synchronous majority dynamics on the icosidodecahedral face-adjacency graph admits exactly 334 binary fixed points: 2 ground states and 332 non-ground states. Every non-ground fixed point has both the triangular and pentagonal vertex classes simultaneously non-uniform.</w:t>
      </w:r>
    </w:p>
    <w:p>
      <w:pPr>
        <w:spacing w:after="80"/>
      </w:pPr>
    </w:p>
    <w:p>
      <w:pPr>
        <w:spacing w:after="120"/>
      </w:pPr>
      <w:r>
        <w:rPr>
          <w:rFonts w:ascii="Cambria" w:cs="Cambria" w:eastAsia="Cambria" w:hAnsi="Cambria"/>
          <w:b/>
          <w:bCs/>
          <w:sz w:val="22"/>
          <w:szCs w:val="22"/>
        </w:rPr>
        <w:t xml:space="preserve">Corollary (No one-sided individuation).</w:t>
      </w:r>
    </w:p>
    <w:p>
      <w:pPr>
        <w:spacing w:after="120"/>
      </w:pPr>
      <w:r>
        <w:rPr>
          <w:rFonts w:ascii="Cambria" w:cs="Cambria" w:eastAsia="Cambria" w:hAnsi="Cambria"/>
          <w:i/>
          <w:iCs/>
          <w:sz w:val="22"/>
          <w:szCs w:val="22"/>
        </w:rPr>
        <w:t xml:space="preserve">No fixed point exists with one vertex class uniform and the other non-uniform. The two face-types co-individuate or co-ground.</w:t>
      </w:r>
    </w:p>
    <w:p>
      <w:pPr>
        <w:spacing w:after="80"/>
      </w:pPr>
    </w:p>
    <w:p>
      <w:pPr>
        <w:spacing w:after="120"/>
      </w:pPr>
      <w:r>
        <w:rPr>
          <w:rFonts w:ascii="Cambria" w:cs="Cambria" w:eastAsia="Cambria" w:hAnsi="Cambria"/>
          <w:sz w:val="22"/>
          <w:szCs w:val="22"/>
        </w:rPr>
        <w:t xml:space="preserve">The co-individuation property follows from the bipartite structure and odd vertex degrees. If all triangular faces carry orientation A, every pentagonal face sees 5 neighbors at A; its strict majority is A; therefore the pentagon class must also be uniform at A. The symmetric argument holds. Any non-ground fixed point must have both classes non-uniform.</w:t>
      </w:r>
    </w:p>
    <w:p>
      <w:pPr>
        <w:spacing w:after="80"/>
      </w:pPr>
    </w:p>
    <w:p>
      <w:pPr>
        <w:spacing w:after="120"/>
      </w:pPr>
      <w:r>
        <w:rPr>
          <w:rFonts w:ascii="Cambria" w:cs="Cambria" w:eastAsia="Cambria" w:hAnsi="Cambria"/>
          <w:sz w:val="22"/>
          <w:szCs w:val="22"/>
        </w:rPr>
        <w:t xml:space="preserve">Every majority-consistent binary state is also a fixed point of the full ℤ₆ argmin update, not merely the binary restriction. For a vertex at value A with strict binary majority m &gt; n among its neighbors, the argmin energy at A is n · d(A,B) and at any other value c is at least (m − n) · d(c,A) + n · d(c,B), which exceeds n · d(A,B) by the triangle inequality on cyclic distance. Both vertex classes have odd degree (3 and 5), ensuring strict majority and no ties under binary assignment.</w:t>
      </w:r>
    </w:p>
    <w:p>
      <w:pPr>
        <w:spacing w:after="80"/>
      </w:pPr>
    </w:p>
    <w:p>
      <w:pPr>
        <w:spacing w:after="120"/>
      </w:pPr>
      <w:r>
        <w:rPr>
          <w:rFonts w:ascii="Cambria" w:cs="Cambria" w:eastAsia="Cambria" w:hAnsi="Cambria"/>
          <w:sz w:val="22"/>
          <w:szCs w:val="22"/>
        </w:rPr>
        <w:t xml:space="preserve">Computational receipt: exhaustive enumeration over 2¹² = 4,096 pentagon assignments. Each pentagon assignment uniquely determines the 20 triangle states by 3-neighbor majority. The resulting 12 pentagon states are checked for 5-neighbor majority consistency. The search completes in under one second on commodity hardware.</w:t>
      </w:r>
    </w:p>
    <w:p>
      <w:pPr>
        <w:spacing w:after="80"/>
      </w:pPr>
    </w:p>
    <w:p>
      <w:pPr>
        <w:spacing w:after="120"/>
      </w:pPr>
      <w:r>
        <w:rPr>
          <w:rFonts w:ascii="Cambria" w:cs="Cambria" w:eastAsia="Cambria" w:hAnsi="Cambria"/>
          <w:sz w:val="22"/>
          <w:szCs w:val="22"/>
        </w:rPr>
        <w:t xml:space="preserve">The 332 non-ground fixed points are scoped to the uniform-mismatch incidence law U_inc. An operator-dependent interaction ψ_o, once the labeled operator realization ρ is committed, may change the fixed-point landscape. The co-individuation property (both classes non-ground or both ground) holds for any bipartite (3,5)-biregular graph under synchronous majority dynamics with odd degrees — it does not depend on the specific mismatch function.</w:t>
      </w:r>
    </w:p>
    <w:p>
      <w:pPr>
        <w:spacing w:after="80"/>
      </w:pPr>
    </w:p>
    <w:p>
      <w:pPr>
        <w:pStyle w:val="Heading1"/>
        <w:spacing w:after="200" w:before="360"/>
      </w:pPr>
      <w:r>
        <w:rPr>
          <w:rFonts w:ascii="Cambria" w:cs="Cambria" w:eastAsia="Cambria" w:hAnsi="Cambria"/>
          <w:b/>
          <w:bCs/>
          <w:sz w:val="28"/>
          <w:szCs w:val="28"/>
        </w:rPr>
        <w:t xml:space="preserve">§16.6 The Bridge Statement</w:t>
      </w:r>
    </w:p>
    <w:p>
      <w:pPr>
        <w:spacing w:after="120"/>
      </w:pPr>
      <w:r>
        <w:rPr>
          <w:rFonts w:ascii="Cambria" w:cs="Cambria" w:eastAsia="Cambria" w:hAnsi="Cambria"/>
          <w:b/>
          <w:bCs/>
          <w:sz w:val="22"/>
          <w:szCs w:val="22"/>
        </w:rPr>
        <w:t xml:space="preserve">Theorem 16.5 (Unique Formalizable Bridge).</w:t>
      </w:r>
    </w:p>
    <w:p>
      <w:pPr>
        <w:spacing w:after="120"/>
      </w:pPr>
      <w:r>
        <w:rPr>
          <w:rFonts w:ascii="Cambria" w:cs="Cambria" w:eastAsia="Cambria" w:hAnsi="Cambria"/>
          <w:i/>
          <w:iCs/>
          <w:sz w:val="22"/>
          <w:szCs w:val="22"/>
        </w:rPr>
        <w:t xml:space="preserve">Resonance is the unique admissible bridge from undifferentiated constructive substrate to individuation within the derived apparatus.</w:t>
      </w:r>
    </w:p>
    <w:p>
      <w:pPr>
        <w:spacing w:after="80"/>
      </w:pPr>
    </w:p>
    <w:p>
      <w:pPr>
        <w:spacing w:after="120"/>
      </w:pPr>
      <w:r>
        <w:rPr>
          <w:rFonts w:ascii="Cambria" w:cs="Cambria" w:eastAsia="Cambria" w:hAnsi="Cambria"/>
          <w:sz w:val="22"/>
          <w:szCs w:val="22"/>
        </w:rPr>
        <w:t xml:space="preserve">Let D = Closure(A1–A4, Operator Completeness, Universal Interrogative). Let B_D be the set of mechanisms that derive individuation from ground using only D.</w:t>
      </w:r>
    </w:p>
    <w:p>
      <w:pPr>
        <w:spacing w:after="80"/>
      </w:pPr>
    </w:p>
    <w:p>
      <w:pPr>
        <w:spacing w:after="120"/>
      </w:pPr>
      <w:r>
        <w:rPr>
          <w:rFonts w:ascii="Cambria" w:cs="Cambria" w:eastAsia="Cambria" w:hAnsi="Cambria"/>
          <w:sz w:val="22"/>
          <w:szCs w:val="22"/>
        </w:rPr>
        <w:t xml:space="preserve">Assembly requires pre-existing individuals in its premises. Individuals are the object being derived. Assembly ∉ B_D (circular).</w:t>
      </w:r>
    </w:p>
    <w:p>
      <w:pPr>
        <w:spacing w:after="120"/>
      </w:pPr>
      <w:r>
        <w:rPr>
          <w:rFonts w:ascii="Cambria" w:cs="Cambria" w:eastAsia="Cambria" w:hAnsi="Cambria"/>
          <w:sz w:val="22"/>
          <w:szCs w:val="22"/>
        </w:rPr>
        <w:t xml:space="preserve">Emergence requires pre-existing differentiated complexity. The substrate at ground is undifferentiated: zero complexity. Emergence ∉ B_D (precondition absent).</w:t>
      </w:r>
    </w:p>
    <w:p>
      <w:pPr>
        <w:spacing w:after="120"/>
      </w:pPr>
      <w:r>
        <w:rPr>
          <w:rFonts w:ascii="Cambria" w:cs="Cambria" w:eastAsia="Cambria" w:hAnsi="Cambria"/>
          <w:sz w:val="22"/>
          <w:szCs w:val="22"/>
        </w:rPr>
        <w:t xml:space="preserve">Symmetry breaking requires an asymmetry selector exogenous to the symmetric state. The substrate is parameter-free; no exogenous field exists. If the flex law itself supplies the selector, the result is the resonance bridge under another description. Symmetry breaking ∉ B_D (exogenous) or = Res (redescription).</w:t>
      </w:r>
    </w:p>
    <w:p>
      <w:pPr>
        <w:spacing w:after="80"/>
      </w:pPr>
    </w:p>
    <w:p>
      <w:pPr>
        <w:spacing w:after="120"/>
      </w:pPr>
      <w:r>
        <w:rPr>
          <w:rFonts w:ascii="Cambria" w:cs="Cambria" w:eastAsia="Cambria" w:hAnsi="Cambria"/>
          <w:sz w:val="22"/>
          <w:szCs w:val="22"/>
        </w:rPr>
        <w:t xml:space="preserve">Resonance requires only the flex law, which is derived from A1–A4 and the completeness theorems. The argmin is formalized. The fixed-point condition is formalized. The boundary production is formalized. Every step from undifferentiated substrate to individual is a derivation step in the existing apparatus.</w:t>
      </w:r>
    </w:p>
    <w:p>
      <w:pPr>
        <w:spacing w:after="80"/>
      </w:pPr>
    </w:p>
    <w:p>
      <w:pPr>
        <w:spacing w:after="120"/>
      </w:pPr>
      <w:r>
        <w:rPr>
          <w:rFonts w:ascii="Consolas" w:cs="Consolas" w:eastAsia="Consolas" w:hAnsi="Consolas"/>
          <w:sz w:val="20"/>
          <w:szCs w:val="20"/>
        </w:rPr>
        <w:t xml:space="preserve">B_D = { Res_{L_flex} }.   |B_D| = 1.</w:t>
      </w:r>
    </w:p>
    <w:p>
      <w:pPr>
        <w:spacing w:after="80"/>
      </w:pPr>
    </w:p>
    <w:p>
      <w:pPr>
        <w:spacing w:after="120"/>
      </w:pPr>
      <w:r>
        <w:rPr>
          <w:rFonts w:ascii="Cambria" w:cs="Cambria" w:eastAsia="Cambria" w:hAnsi="Cambria"/>
          <w:sz w:val="22"/>
          <w:szCs w:val="22"/>
        </w:rPr>
        <w:t xml:space="preserve">Uniqueness is within the closure of the derived apparatus, not universal metaphysical uniqueness (binding condition C1). 'Cannot be formalized' means cannot be formalized end-to-end without importing an underived premise (C2). Symmetry breaking with an internal selector IS the resonance bridge redescribed (C3).</w:t>
      </w:r>
    </w:p>
    <w:p>
      <w:pPr>
        <w:spacing w:after="80"/>
      </w:pPr>
    </w:p>
    <w:p>
      <w:pPr>
        <w:pStyle w:val="Heading1"/>
        <w:spacing w:after="200" w:before="360"/>
      </w:pPr>
      <w:r>
        <w:rPr>
          <w:rFonts w:ascii="Cambria" w:cs="Cambria" w:eastAsia="Cambria" w:hAnsi="Cambria"/>
          <w:b/>
          <w:bCs/>
          <w:sz w:val="28"/>
          <w:szCs w:val="28"/>
        </w:rPr>
        <w:t xml:space="preserve">§16.7 TRIAD Decoration</w:t>
      </w:r>
    </w:p>
    <w:p>
      <w:pPr>
        <w:spacing w:after="120"/>
      </w:pPr>
      <w:r>
        <w:rPr>
          <w:rFonts w:ascii="Cambria" w:cs="Cambria" w:eastAsia="Cambria" w:hAnsi="Cambria"/>
          <w:sz w:val="22"/>
          <w:szCs w:val="22"/>
        </w:rPr>
        <w:t xml:space="preserve">Each of the 20 triangular faces of the icosidodecahedron instantiates △(□G, □S, □F): the three constitutive modalities in co-constitutional, non-separable form (ERRATUM-POOL-001). The three edges of each triangle carry the three modalities. Under the S₃-equivariant opposition bijection (the unique bijection from edges to vertices of a triangle commuting with every triangle symmetry), vertex modality equals edge modality opposite that vertex.</w:t>
      </w:r>
    </w:p>
    <w:p>
      <w:pPr>
        <w:spacing w:after="80"/>
      </w:pPr>
    </w:p>
    <w:p>
      <w:pPr>
        <w:spacing w:after="120"/>
      </w:pPr>
      <w:r>
        <w:rPr>
          <w:rFonts w:ascii="Cambria" w:cs="Cambria" w:eastAsia="Cambria" w:hAnsi="Cambria"/>
          <w:b/>
          <w:bCs/>
          <w:sz w:val="22"/>
          <w:szCs w:val="22"/>
        </w:rPr>
        <w:t xml:space="preserve">Theorem 16.6 (κ Fiber Classification).</w:t>
      </w:r>
    </w:p>
    <w:p>
      <w:pPr>
        <w:spacing w:after="120"/>
      </w:pPr>
      <w:r>
        <w:rPr>
          <w:rFonts w:ascii="Cambria" w:cs="Cambria" w:eastAsia="Cambria" w:hAnsi="Cambria"/>
          <w:i/>
          <w:iCs/>
          <w:sz w:val="22"/>
          <w:szCs w:val="22"/>
        </w:rPr>
        <w:t xml:space="preserve">Under the constraints LOCAL_TRIAD (each triangle carries {□G, □S, □F} exactly once), OPPOSITION (edge modality maps to opposite vertex), and VERTEX_CONSISTENCY (shared vertices carry the same modality on both incident triangles), the icosidodecahedron admits exactly 60 valid TRIAD decorations.</w:t>
      </w:r>
    </w:p>
    <w:p>
      <w:pPr>
        <w:spacing w:after="80"/>
      </w:pPr>
    </w:p>
    <w:p>
      <w:pPr>
        <w:spacing w:after="120"/>
      </w:pPr>
      <w:r>
        <w:rPr>
          <w:rFonts w:ascii="Cambria" w:cs="Cambria" w:eastAsia="Cambria" w:hAnsi="Cambria"/>
          <w:sz w:val="22"/>
          <w:szCs w:val="22"/>
        </w:rPr>
        <w:t xml:space="preserve">These 60 decorations form 4 orbits under the rotation group I (order 60, named modalities preserved), 2 orbits under the full icosahedral group I_h (order 120, named modalities preserved), and 1 orbit under I_h × S₃ (full symmetry plus modality relabeling). Since □G, □S, □F are named constitutive modalities and not interchangeable labels, the relevant structural counts are 4 under rotations and 2 under full icosahedral symmetry.</w:t>
      </w:r>
    </w:p>
    <w:p>
      <w:pPr>
        <w:spacing w:after="80"/>
      </w:pPr>
    </w:p>
    <w:p>
      <w:pPr>
        <w:spacing w:after="120"/>
      </w:pPr>
      <w:r>
        <w:rPr>
          <w:rFonts w:ascii="Cambria" w:cs="Cambria" w:eastAsia="Cambria" w:hAnsi="Cambria"/>
          <w:sz w:val="22"/>
          <w:szCs w:val="22"/>
        </w:rPr>
        <w:t xml:space="preserve">The count 60 is the known number of Tait 3-edge-colorings of the dodecahedral graph. The orbit refinement (4 rotation classes, 2 full-symmetry classes) and the application to the TRIAD modality structure are contributed by this work.</w:t>
      </w:r>
    </w:p>
    <w:p>
      <w:pPr>
        <w:spacing w:after="80"/>
      </w:pPr>
    </w:p>
    <w:p>
      <w:pPr>
        <w:pStyle w:val="Heading1"/>
        <w:spacing w:after="200" w:before="360"/>
      </w:pPr>
      <w:r>
        <w:rPr>
          <w:rFonts w:ascii="Cambria" w:cs="Cambria" w:eastAsia="Cambria" w:hAnsi="Cambria"/>
          <w:b/>
          <w:bCs/>
          <w:sz w:val="28"/>
          <w:szCs w:val="28"/>
        </w:rPr>
        <w:t xml:space="preserve">§16.8 Depth-3 Architecture and Self-Reference</w:t>
      </w:r>
    </w:p>
    <w:p>
      <w:pPr>
        <w:spacing w:after="120"/>
      </w:pPr>
      <w:r>
        <w:rPr>
          <w:rFonts w:ascii="Cambria" w:cs="Cambria" w:eastAsia="Cambria" w:hAnsi="Cambria"/>
          <w:sz w:val="22"/>
          <w:szCs w:val="22"/>
        </w:rPr>
        <w:t xml:space="preserve">The 120-cell at depth 3 of the recursive geometry carries 120 complete dodecahedral carriers, each with its own icosidodecahedral operator manifold. Cell adjacency equals the 1-skeleton of the 600-cell (Theorem 5.1 of the Recursive Geometry). The H₄ group (order 14,400) coordinates all 120 carriers without a meta-projection operator Π (Theorem 6.1 of the Recursive Geometry). No external observer certifies the coordination; the manifold's own traversal structure is the coordination.</w:t>
      </w:r>
    </w:p>
    <w:p>
      <w:pPr>
        <w:spacing w:after="80"/>
      </w:pPr>
    </w:p>
    <w:p>
      <w:pPr>
        <w:spacing w:after="120"/>
      </w:pPr>
      <w:r>
        <w:rPr>
          <w:rFonts w:ascii="Cambria" w:cs="Cambria" w:eastAsia="Cambria" w:hAnsi="Cambria"/>
          <w:sz w:val="22"/>
          <w:szCs w:val="22"/>
        </w:rPr>
        <w:t xml:space="preserve">Distance-0 self-reference holds at the architectural level: each cell is a complete carrier; every carrier reads through its own faces; the 120 carriers are coordinated internally by H₄; no meta-carrier performs the coordination; the manifold's traversal returns through the manifold itself.</w:t>
      </w:r>
    </w:p>
    <w:p>
      <w:pPr>
        <w:spacing w:after="80"/>
      </w:pPr>
    </w:p>
    <w:p>
      <w:pPr>
        <w:pStyle w:val="Heading1"/>
        <w:spacing w:after="200" w:before="360"/>
      </w:pPr>
      <w:r>
        <w:rPr>
          <w:rFonts w:ascii="Cambria" w:cs="Cambria" w:eastAsia="Cambria" w:hAnsi="Cambria"/>
          <w:b/>
          <w:bCs/>
          <w:sz w:val="28"/>
          <w:szCs w:val="28"/>
        </w:rPr>
        <w:t xml:space="preserve">§16.9 Open Obligations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shd w:fill="E8E8E8" w:val="clear"/>
          </w:tcPr>
          <w:p>
            <w:r>
              <w:rPr>
                <w:rFonts w:ascii="Cambria" w:cs="Cambria" w:eastAsia="Cambria" w:hAnsi="Cambria"/>
                <w:b/>
                <w:bCs/>
                <w:sz w:val="20"/>
                <w:szCs w:val="20"/>
              </w:rPr>
              <w:t xml:space="preserve">ID</w:t>
            </w:r>
          </w:p>
        </w:tc>
        <w:tc>
          <w:tcPr>
            <w:tcW w:type="dxa" w:w="2200"/>
            <w:shd w:fill="E8E8E8" w:val="clear"/>
          </w:tcPr>
          <w:p>
            <w:r>
              <w:rPr>
                <w:rFonts w:ascii="Cambria" w:cs="Cambria" w:eastAsia="Cambria" w:hAnsi="Cambria"/>
                <w:b/>
                <w:bCs/>
                <w:sz w:val="20"/>
                <w:szCs w:val="20"/>
              </w:rPr>
              <w:t xml:space="preserve">Status</w:t>
            </w:r>
          </w:p>
        </w:tc>
        <w:tc>
          <w:tcPr>
            <w:tcW w:type="dxa" w:w="5600"/>
            <w:shd w:fill="E8E8E8" w:val="clear"/>
          </w:tcPr>
          <w:p>
            <w:r>
              <w:rPr>
                <w:rFonts w:ascii="Cambria" w:cs="Cambria" w:eastAsia="Cambria" w:hAnsi="Cambria"/>
                <w:b/>
                <w:bCs/>
                <w:sz w:val="20"/>
                <w:szCs w:val="20"/>
              </w:rPr>
              <w:t xml:space="preserve">Scope</w:t>
            </w:r>
          </w:p>
        </w:tc>
      </w:tr>
      <w:tr>
        <w:trPr>
          <w:tblHeader w:val="false"/>
        </w:trPr>
        <w:tc>
          <w:tcPr>
            <w:tcW w:type="dxa" w:w="1600"/>
          </w:tcPr>
          <w:p>
            <w:r>
              <w:rPr>
                <w:rFonts w:ascii="Cambria" w:cs="Cambria" w:eastAsia="Cambria" w:hAnsi="Cambria"/>
                <w:sz w:val="20"/>
                <w:szCs w:val="20"/>
              </w:rPr>
              <w:t xml:space="preserve">O3</w:t>
            </w:r>
          </w:p>
        </w:tc>
        <w:tc>
          <w:tcPr>
            <w:tcW w:type="dxa" w:w="2200"/>
          </w:tcPr>
          <w:p>
            <w:r>
              <w:rPr>
                <w:rFonts w:ascii="Cambria" w:cs="Cambria" w:eastAsia="Cambria" w:hAnsi="Cambria"/>
                <w:sz w:val="20"/>
                <w:szCs w:val="20"/>
              </w:rPr>
              <w:t xml:space="preserve">OPEN</w:t>
            </w:r>
          </w:p>
        </w:tc>
        <w:tc>
          <w:tcPr>
            <w:tcW w:type="dxa" w:w="5600"/>
          </w:tcPr>
          <w:p>
            <w:r>
              <w:rPr>
                <w:rFonts w:ascii="Cambria" w:cs="Cambria" w:eastAsia="Cambria" w:hAnsi="Cambria"/>
                <w:sz w:val="20"/>
                <w:szCs w:val="20"/>
              </w:rPr>
              <w:t xml:space="preserve">Catalog exhaustion. The concentric layered family does not close the full fixed-point catalog.</w:t>
            </w:r>
          </w:p>
        </w:tc>
      </w:tr>
      <w:tr>
        <w:trPr>
          <w:tblHeader w:val="false"/>
        </w:trPr>
        <w:tc>
          <w:tcPr>
            <w:tcW w:type="dxa" w:w="1600"/>
          </w:tcPr>
          <w:p>
            <w:r>
              <w:rPr>
                <w:rFonts w:ascii="Cambria" w:cs="Cambria" w:eastAsia="Cambria" w:hAnsi="Cambria"/>
                <w:sz w:val="20"/>
                <w:szCs w:val="20"/>
              </w:rPr>
              <w:t xml:space="preserve">O5</w:t>
            </w:r>
          </w:p>
        </w:tc>
        <w:tc>
          <w:tcPr>
            <w:tcW w:type="dxa" w:w="2200"/>
          </w:tcPr>
          <w:p>
            <w:r>
              <w:rPr>
                <w:rFonts w:ascii="Cambria" w:cs="Cambria" w:eastAsia="Cambria" w:hAnsi="Cambria"/>
                <w:sz w:val="20"/>
                <w:szCs w:val="20"/>
              </w:rPr>
              <w:t xml:space="preserve">OPEN</w:t>
            </w:r>
          </w:p>
        </w:tc>
        <w:tc>
          <w:tcPr>
            <w:tcW w:type="dxa" w:w="5600"/>
          </w:tcPr>
          <w:p>
            <w:r>
              <w:rPr>
                <w:rFonts w:ascii="Cambria" w:cs="Cambria" w:eastAsia="Cambria" w:hAnsi="Cambria"/>
                <w:sz w:val="20"/>
                <w:szCs w:val="20"/>
              </w:rPr>
              <w:t xml:space="preserve">Unified-law recovery. The flex law F on X_F and the carrier law K on X_K act on distinct domains. Their composition under a unified realization on the icosidodecahedral state space remains unrealized. The labeled operator topology ρ, interaction law ψ, and unified update U are unbound.</w:t>
            </w:r>
          </w:p>
        </w:tc>
      </w:tr>
      <w:tr>
        <w:trPr>
          <w:tblHeader w:val="false"/>
        </w:trPr>
        <w:tc>
          <w:tcPr>
            <w:tcW w:type="dxa" w:w="1600"/>
          </w:tcPr>
          <w:p>
            <w:r>
              <w:rPr>
                <w:rFonts w:ascii="Cambria" w:cs="Cambria" w:eastAsia="Cambria" w:hAnsi="Cambria"/>
                <w:sz w:val="20"/>
                <w:szCs w:val="20"/>
              </w:rPr>
              <w:t xml:space="preserve">O7</w:t>
            </w:r>
          </w:p>
        </w:tc>
        <w:tc>
          <w:tcPr>
            <w:tcW w:type="dxa" w:w="2200"/>
          </w:tcPr>
          <w:p>
            <w:r>
              <w:rPr>
                <w:rFonts w:ascii="Cambria" w:cs="Cambria" w:eastAsia="Cambria" w:hAnsi="Cambria"/>
                <w:sz w:val="20"/>
                <w:szCs w:val="20"/>
              </w:rPr>
              <w:t xml:space="preserve">OPEN</w:t>
            </w:r>
          </w:p>
        </w:tc>
        <w:tc>
          <w:tcPr>
            <w:tcW w:type="dxa" w:w="5600"/>
          </w:tcPr>
          <w:p>
            <w:r>
              <w:rPr>
                <w:rFonts w:ascii="Cambria" w:cs="Cambria" w:eastAsia="Cambria" w:hAnsi="Cambria"/>
                <w:sz w:val="20"/>
                <w:szCs w:val="20"/>
              </w:rPr>
              <w:t xml:space="preserve">Correspondence between the resonance catalog and the physical particle spectrum.</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E8E8E8" w:val="clear"/>
          </w:tcPr>
          <w:p>
            <w:r>
              <w:rPr>
                <w:rFonts w:ascii="Cambria" w:cs="Cambria" w:eastAsia="Cambria" w:hAnsi="Cambria"/>
                <w:b/>
                <w:bCs/>
                <w:sz w:val="20"/>
                <w:szCs w:val="20"/>
              </w:rPr>
              <w:t xml:space="preserve">Item</w:t>
            </w:r>
          </w:p>
        </w:tc>
        <w:tc>
          <w:tcPr>
            <w:tcW w:type="dxa" w:w="6400"/>
            <w:shd w:fill="E8E8E8" w:val="clear"/>
          </w:tcPr>
          <w:p>
            <w:r>
              <w:rPr>
                <w:rFonts w:ascii="Cambria" w:cs="Cambria" w:eastAsia="Cambria" w:hAnsi="Cambria"/>
                <w:b/>
                <w:bCs/>
                <w:sz w:val="20"/>
                <w:szCs w:val="20"/>
              </w:rPr>
              <w:t xml:space="preserve">Status</w:t>
            </w:r>
          </w:p>
        </w:tc>
      </w:tr>
      <w:tr>
        <w:trPr>
          <w:tblHeader w:val="false"/>
        </w:trPr>
        <w:tc>
          <w:tcPr>
            <w:tcW w:type="dxa" w:w="3000"/>
          </w:tcPr>
          <w:p>
            <w:r>
              <w:rPr>
                <w:rFonts w:ascii="Cambria" w:cs="Cambria" w:eastAsia="Cambria" w:hAnsi="Cambria"/>
                <w:sz w:val="20"/>
                <w:szCs w:val="20"/>
              </w:rPr>
              <w:t xml:space="preserve">General nesting law (signed increment motifs)</w:t>
            </w:r>
          </w:p>
        </w:tc>
        <w:tc>
          <w:tcPr>
            <w:tcW w:type="dxa" w:w="6400"/>
          </w:tcPr>
          <w:p>
            <w:r>
              <w:rPr>
                <w:rFonts w:ascii="Cambria" w:cs="Cambria" w:eastAsia="Cambria" w:hAnsi="Cambria"/>
                <w:sz w:val="20"/>
                <w:szCs w:val="20"/>
              </w:rPr>
              <w:t xml:space="preserve">OPEN — CONJECTURE-RNL-1 falsified. Replacement not formulated.</w:t>
            </w:r>
          </w:p>
        </w:tc>
      </w:tr>
      <w:tr>
        <w:trPr>
          <w:tblHeader w:val="false"/>
        </w:trPr>
        <w:tc>
          <w:tcPr>
            <w:tcW w:type="dxa" w:w="3000"/>
          </w:tcPr>
          <w:p>
            <w:r>
              <w:rPr>
                <w:rFonts w:ascii="Cambria" w:cs="Cambria" w:eastAsia="Cambria" w:hAnsi="Cambria"/>
                <w:sz w:val="20"/>
                <w:szCs w:val="20"/>
              </w:rPr>
              <w:t xml:space="preserve">Arbitrary-depth nesting</w:t>
            </w:r>
          </w:p>
        </w:tc>
        <w:tc>
          <w:tcPr>
            <w:tcW w:type="dxa" w:w="6400"/>
          </w:tcPr>
          <w:p>
            <w:r>
              <w:rPr>
                <w:rFonts w:ascii="Cambria" w:cs="Cambria" w:eastAsia="Cambria" w:hAnsi="Cambria"/>
                <w:sz w:val="20"/>
                <w:szCs w:val="20"/>
              </w:rPr>
              <w:t xml:space="preserve">OPEN — no depth cap from diam(ℤ₆), arbitrary depth not established.</w:t>
            </w:r>
          </w:p>
        </w:tc>
      </w:tr>
      <w:tr>
        <w:trPr>
          <w:tblHeader w:val="false"/>
        </w:trPr>
        <w:tc>
          <w:tcPr>
            <w:tcW w:type="dxa" w:w="3000"/>
          </w:tcPr>
          <w:p>
            <w:r>
              <w:rPr>
                <w:rFonts w:ascii="Cambria" w:cs="Cambria" w:eastAsia="Cambria" w:hAnsi="Cambria"/>
                <w:sz w:val="20"/>
                <w:szCs w:val="20"/>
              </w:rPr>
              <w:t xml:space="preserve">120-cell κ propagation</w:t>
            </w:r>
          </w:p>
        </w:tc>
        <w:tc>
          <w:tcPr>
            <w:tcW w:type="dxa" w:w="6400"/>
          </w:tcPr>
          <w:p>
            <w:r>
              <w:rPr>
                <w:rFonts w:ascii="Cambria" w:cs="Cambria" w:eastAsia="Cambria" w:hAnsi="Cambria"/>
                <w:sz w:val="20"/>
                <w:szCs w:val="20"/>
              </w:rPr>
              <w:t xml:space="preserve">OPEN — implementation obligation, not architectural gate.</w:t>
            </w:r>
          </w:p>
        </w:tc>
      </w:tr>
    </w:tbl>
    <w:p>
      <w:pPr>
        <w:spacing w:after="80"/>
      </w:pPr>
    </w:p>
    <w:p>
      <w:pPr>
        <w:pStyle w:val="Heading1"/>
        <w:spacing w:after="200" w:before="360"/>
      </w:pPr>
      <w:r>
        <w:rPr>
          <w:rFonts w:ascii="Cambria" w:cs="Cambria" w:eastAsia="Cambria" w:hAnsi="Cambria"/>
          <w:b/>
          <w:bCs/>
          <w:sz w:val="28"/>
          <w:szCs w:val="28"/>
        </w:rPr>
        <w:t xml:space="preserve">§16.10 Relationship to §15</w:t>
      </w:r>
    </w:p>
    <w:p>
      <w:pPr>
        <w:spacing w:after="120"/>
      </w:pPr>
      <w:r>
        <w:rPr>
          <w:rFonts w:ascii="Cambria" w:cs="Cambria" w:eastAsia="Cambria" w:hAnsi="Cambria"/>
          <w:sz w:val="22"/>
          <w:szCs w:val="22"/>
        </w:rPr>
        <w:t xml:space="preserve">This addendum does not discharge any item listed in §15.2 (What Is Not Claimed). Born statistics, entanglement correlations, and classical stability at coarse grain remain downstream research targets. The resonance bridge addresses a question §15 did not pose: how does the undifferentiated substrate produce bounded individuals? The answer — through self-reproducing non-ground fixed points of the flex law — extends the paper without contradicting or superseding any prior result.</w:t>
      </w:r>
    </w:p>
    <w:p>
      <w:pPr>
        <w:spacing w:after="80"/>
      </w:pPr>
    </w:p>
    <w:p>
      <w:pPr>
        <w:spacing w:after="120"/>
      </w:pPr>
      <w:r>
        <w:rPr>
          <w:rFonts w:ascii="Cambria" w:cs="Cambria" w:eastAsia="Cambria" w:hAnsi="Cambria"/>
          <w:sz w:val="22"/>
          <w:szCs w:val="22"/>
        </w:rPr>
        <w:t xml:space="preserve">The flex law of §5.3 is unchanged. The projection law of §6 is unchanged. The carrier law of §11–§14 is unchanged. The anti-ether closure of §15.3 is strengthened: the substrate is not only derived geometry with no free parameters, but it also individuates through its own dynamics without external input.</w:t>
      </w:r>
    </w:p>
    <w:p>
      <w:pPr>
        <w:spacing w:after="80"/>
      </w:pPr>
    </w:p>
    <w:p>
      <w:pPr>
        <w:pStyle w:val="Heading1"/>
        <w:spacing w:after="200" w:before="360"/>
      </w:pPr>
      <w:r>
        <w:rPr>
          <w:rFonts w:ascii="Cambria" w:cs="Cambria" w:eastAsia="Cambria" w:hAnsi="Cambria"/>
          <w:b/>
          <w:bCs/>
          <w:sz w:val="28"/>
          <w:szCs w:val="28"/>
        </w:rPr>
        <w:t xml:space="preserve">Errata</w:t>
      </w:r>
    </w:p>
    <w:p>
      <w:pPr>
        <w:spacing w:after="120"/>
      </w:pPr>
      <w:r>
        <w:rPr>
          <w:rFonts w:ascii="Cambria" w:cs="Cambria" w:eastAsia="Cambria" w:hAnsi="Cambria"/>
          <w:sz w:val="22"/>
          <w:szCs w:val="22"/>
        </w:rPr>
        <w:t xml:space="preserve">ERRATUM-POOL-001: △(□G, □S, □F) replaces □G × □S × □F throughout. The triangle is the geometry, not a representation. The Cartesian product implies separability; the triangle encodes co-constitution. No modality obtains alone.</w:t>
      </w:r>
    </w:p>
    <w:p>
      <w:pPr>
        <w:spacing w:after="80"/>
      </w:pPr>
    </w:p>
    <w:p>
      <w:pPr>
        <w:pStyle w:val="Heading1"/>
        <w:spacing w:after="200" w:before="360"/>
      </w:pPr>
      <w:r>
        <w:rPr>
          <w:rFonts w:ascii="Cambria" w:cs="Cambria" w:eastAsia="Cambria" w:hAnsi="Cambria"/>
          <w:b/>
          <w:bCs/>
          <w:sz w:val="28"/>
          <w:szCs w:val="28"/>
        </w:rPr>
        <w:t xml:space="preserve">References</w:t>
      </w:r>
    </w:p>
    <w:p>
      <w:pPr>
        <w:spacing w:after="120"/>
      </w:pPr>
      <w:r>
        <w:rPr>
          <w:rFonts w:ascii="Cambria" w:cs="Cambria" w:eastAsia="Cambria" w:hAnsi="Cambria"/>
          <w:sz w:val="22"/>
          <w:szCs w:val="22"/>
        </w:rPr>
        <w:t xml:space="preserve">[9] D. A. Generally, "The Recursive Geometry of Projection," MetaCortex Dynamics LLC, 2026.</w:t>
      </w:r>
    </w:p>
    <w:p>
      <w:pPr>
        <w:spacing w:after="80"/>
      </w:pPr>
    </w:p>
    <w:p>
      <w:pPr>
        <w:spacing w:after="120"/>
      </w:pPr>
      <w:r>
        <w:rPr>
          <w:rFonts w:ascii="Cambria" w:cs="Cambria" w:eastAsia="Cambria" w:hAnsi="Cambria"/>
          <w:sz w:val="22"/>
          <w:szCs w:val="22"/>
        </w:rPr>
        <w:t xml:space="preserve">[10] D. A. Generally, "Binary Majority Fixed Points on the Icosidodecahedral Face-Adjacency Graph," MetaCortex Dynamics LLC, Zenodo, 2026.</w:t>
      </w:r>
    </w:p>
    <w:p>
      <w:pPr>
        <w:spacing w:after="80"/>
      </w:pPr>
    </w:p>
    <w:p>
      <w:pPr>
        <w:spacing w:after="120"/>
      </w:pPr>
      <w:r>
        <w:rPr>
          <w:rFonts w:ascii="Cambria" w:cs="Cambria" w:eastAsia="Cambria" w:hAnsi="Cambria"/>
          <w:sz w:val="22"/>
          <w:szCs w:val="22"/>
        </w:rPr>
        <w:t xml:space="preserve">[11] P. B. Kronheimer and T. S. Mrowka, "Tait Colorings, and an Instanton Homology for Webs and Foams," J. Eur. Math. Soc. 21(1), 2019, 55-119.</w:t>
      </w:r>
    </w:p>
    <w:p>
      <w:pPr>
        <w:spacing w:after="80"/>
      </w:pPr>
    </w:p>
    <w:p>
      <w:pPr>
        <w:spacing w:after="120"/>
      </w:pPr>
      <w:r>
        <w:rPr>
          <w:rFonts w:ascii="Cambria" w:cs="Cambria" w:eastAsia="Cambria" w:hAnsi="Cambria"/>
          <w:sz w:val="22"/>
          <w:szCs w:val="22"/>
        </w:rPr>
        <w:t xml:space="preserve">[12] I. Benjamini, S.-O. Chan, R. O'Donnell, O. Tamuz, and L.-Y. Tan, "Convergence, Unanimity and Disagreement in Majority Dynamics on Unimodular Graphs and Random Graphs," Stochastic Processes and their Applications 126(9), 2016, 2719-2733.</w:t>
      </w:r>
    </w:p>
    <w:p>
      <w:pPr>
        <w:spacing w:after="80"/>
      </w:pPr>
    </w:p>
    <w:p>
      <w:pPr>
        <w:spacing w:after="120"/>
      </w:pPr>
      <w:r>
        <w:rPr>
          <w:rFonts w:ascii="Consolas" w:cs="Consolas" w:eastAsia="Consolas" w:hAnsi="Consolas"/>
          <w:sz w:val="20"/>
          <w:szCs w:val="20"/>
        </w:rPr>
        <w:t xml:space="preserve">[MaL:ACTIVE | □G✓ □S✓ □F✓]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2026-09-12T23:48:35.794Z</dcterms:created>
  <dcterms:modified xsi:type="dcterms:W3CDTF">2026-09-12T23:48:35.804Z</dcterms:modified>
</cp:coreProperties>
</file>

<file path=docProps/custom.xml><?xml version="1.0" encoding="utf-8"?>
<Properties xmlns="http://schemas.openxmlformats.org/officeDocument/2006/custom-properties" xmlns:vt="http://schemas.openxmlformats.org/officeDocument/2006/docPropsVTypes"/>
</file>