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sz w:val="48"/>
          <w:szCs w:val="48"/>
        </w:rPr>
        <w:t xml:space="preserve">Impedance of the Unfolding</w:t>
      </w:r>
    </w:p>
    <w:p>
      <w:pPr>
        <w:spacing w:after="400"/>
        <w:jc w:val="center"/>
      </w:pPr>
      <w:r>
        <w:rPr>
          <w:rFonts w:ascii="Arial" w:cs="Arial" w:eastAsia="Arial" w:hAnsi="Arial"/>
          <w:i/>
          <w:iCs/>
          <w:sz w:val="28"/>
          <w:szCs w:val="28"/>
        </w:rPr>
        <w:t xml:space="preserve">Contact Geometry, Governance Coupling, and the Fine Structure of Causal Self-Witnessing</w:t>
      </w:r>
    </w:p>
    <w:p>
      <w:pPr>
        <w:spacing w:after="100"/>
        <w:jc w:val="center"/>
      </w:pPr>
      <w:r>
        <w:rPr>
          <w:rFonts w:ascii="Arial" w:cs="Arial" w:eastAsia="Arial" w:hAnsi="Arial"/>
          <w:sz w:val="24"/>
          <w:szCs w:val="24"/>
        </w:rPr>
        <w:t xml:space="preserve">Devon A. Generally</w:t>
      </w:r>
    </w:p>
    <w:p>
      <w:pPr>
        <w:spacing w:after="100"/>
        <w:jc w:val="center"/>
      </w:pPr>
      <w:r>
        <w:rPr>
          <w:rFonts w:ascii="Arial" w:cs="Arial" w:eastAsia="Arial" w:hAnsi="Arial"/>
          <w:i/>
          <w:iCs/>
          <w:sz w:val="22"/>
          <w:szCs w:val="22"/>
        </w:rPr>
        <w:t xml:space="preserve">MetaCortex Dynamics DAO</w:t>
      </w:r>
    </w:p>
    <w:p>
      <w:pPr>
        <w:spacing w:after="400"/>
        <w:jc w:val="center"/>
      </w:pPr>
      <w:r>
        <w:rPr>
          <w:rFonts w:ascii="Arial" w:cs="Arial" w:eastAsia="Arial" w:hAnsi="Arial"/>
          <w:sz w:val="22"/>
          <w:szCs w:val="22"/>
        </w:rPr>
        <w:t xml:space="preserve">February 2026</w:t>
      </w:r>
    </w:p>
    <w:p>
      <w:pPr>
        <w:spacing w:after="100"/>
        <w:jc w:val="center"/>
      </w:pPr>
      <w:r>
        <w:rPr>
          <w:rFonts w:ascii="Arial" w:cs="Arial" w:eastAsia="Arial" w:hAnsi="Arial"/>
          <w:sz w:val="20"/>
          <w:szCs w:val="20"/>
        </w:rPr>
        <w:t xml:space="preserve">Status: RESEARCH PAPER | Classification: MetaCortex Dynamics DAO IP</w:t>
      </w:r>
    </w:p>
    <w:p>
      <w:r>
        <w:br w:type="page"/>
      </w:r>
    </w:p>
    <w:p>
      <w:pPr>
        <w:pStyle w:val="Heading1"/>
      </w:pPr>
      <w:r>
        <w:t xml:space="preserve">Abstract</w:t>
      </w:r>
    </w:p>
    <w:p>
      <w:pPr>
        <w:spacing w:after="200" w:line="276"/>
      </w:pPr>
      <w:r>
        <w:t xml:space="preserve">We derive consequences of Axiom 0 (time is the unfolding of genealogical continuity) for the measurement of fundamental physical constants. We show that the speed of light c is not an independent physical quantity but a calibration artifact: the horizontal projection of a contact-geometric invariant we call the entropy cost per causal step. The invariance of c across reference frames follows from the frame-independence of the contact form coupling dynamics to witnessing, not from a postulated speed limit.</w:t>
      </w:r>
    </w:p>
    <w:p>
      <w:pPr>
        <w:spacing w:after="200" w:line="276"/>
      </w:pPr>
      <w:r>
        <w:t xml:space="preserve">We introduce the double contact manifold as the minimal geometric structure enabling coherent self-witnessing without external reference. A contact 1-form splits the tangent bundle into horizontal (dynamics) and vertical (witnessing) directions; two such forms, one internal and one external, provide the stratified self-measurement that avoids the circularity inherent in single-manifold self-observation. We prove the Double Contact Compatibility Theorem: archive sufficiency across a holographic boundary, non-collapse of the contact forms, clock commensurability, and entropy coupling are equivalent conditions.</w:t>
      </w:r>
    </w:p>
    <w:p>
      <w:pPr>
        <w:spacing w:after="200" w:line="276"/>
      </w:pPr>
      <w:r>
        <w:t xml:space="preserve">We instantiate the framework experimentally as a sixth column of the Admissibility Tower: two coupled limit-order-book systems with tunable coupling strength. We measure four observables (cross-boundary Hurst exponent, critical coupling, clock ratio, entropy cost) and characterize the complete phase diagram in governance-strength / coupling-strength parameter space. The diagram reveals five regimes separated by a minimum governance threshold (below which no coupling achieves structural governance), an impedance cliff (where coupling cost drops by an order of magnitude), and a U-shaped instability wall.</w:t>
      </w:r>
    </w:p>
    <w:p>
      <w:pPr>
        <w:spacing w:after="200" w:line="276"/>
      </w:pPr>
      <w:r>
        <w:rPr>
          <w:sz w:val="24"/>
          <w:szCs w:val="24"/>
        </w:rPr>
        <w:t xml:space="preserve">The key finding: the instability wall first appears at governance strength </w:t>
      </w:r>
      <w:r>
        <w:rPr>
          <w:i/>
          <w:iCs/>
          <w:sz w:val="24"/>
          <w:szCs w:val="24"/>
        </w:rPr>
        <w:t xml:space="preserve">α ≈ 0.007</w:t>
      </w:r>
      <w:r>
        <w:rPr>
          <w:sz w:val="24"/>
          <w:szCs w:val="24"/>
        </w:rPr>
        <w:t xml:space="preserve">. The electromagnetic fine structure constant </w:t>
      </w:r>
      <w:r>
        <w:rPr>
          <w:i/>
          <w:iCs/>
          <w:sz w:val="24"/>
          <w:szCs w:val="24"/>
        </w:rPr>
        <w:t xml:space="preserve">α_em ≈ 0.0073</w:t>
      </w:r>
      <w:r>
        <w:rPr>
          <w:sz w:val="24"/>
          <w:szCs w:val="24"/>
        </w:rPr>
        <w:t xml:space="preserve"> sits at this exact transition—not in a robust wide-band regime, but at the onset of impedance matching where persistent structure first becomes possible. We conjecture that the fine structure constant is the wall-onset governance strength of the quantum-thermodynamic double contact structure, computable from the contact geometry. The diagnostic is then applied to a production governed cognitive architecture (93,068 worldline events, 3,654 cognitive ticks), confirming the predicted B1 regime across the Kernel-Cortex boundary and closing the loop from theory through toy experiment to production verification.</w:t>
      </w:r>
    </w:p>
    <w:p>
      <w:pPr>
        <w:spacing w:after="200" w:line="276"/>
      </w:pPr>
      <w:r>
        <w:rPr>
          <w:b/>
          <w:bCs/>
          <w:sz w:val="22"/>
          <w:szCs w:val="22"/>
        </w:rPr>
        <w:t xml:space="preserve">Keywords: </w:t>
      </w:r>
      <w:r>
        <w:rPr>
          <w:i/>
          <w:iCs/>
          <w:sz w:val="22"/>
          <w:szCs w:val="22"/>
        </w:rPr>
        <w:t xml:space="preserve">contact geometry, admissibility dynamics, self-witnessing, governance coupling, fine structure constant, impedance, holographic boundary, sub-Riemannian geometry, archive sufficiency</w:t>
      </w:r>
    </w:p>
    <w:p>
      <w:r>
        <w:br w:type="page"/>
      </w:r>
    </w:p>
    <w:p>
      <w:pPr>
        <w:pStyle w:val="Heading1"/>
      </w:pPr>
      <w:r>
        <w:t xml:space="preserve">1. Introduction</w:t>
      </w:r>
    </w:p>
    <w:p>
      <w:pPr>
        <w:pStyle w:val="Heading2"/>
      </w:pPr>
      <w:r>
        <w:t xml:space="preserve">1.1 The Measurement Problem Under Axiom 0</w:t>
      </w:r>
    </w:p>
    <w:p>
      <w:pPr>
        <w:spacing w:after="200" w:line="276"/>
      </w:pPr>
      <w:r>
        <w:t xml:space="preserve">Axiom 0 of the Mathematics-as-Language (MaL) framework states: Time is the unfolding of genealogical continuity. If this axiom is taken seriously as a statement about physical reality, the speed of light ceases to be a speed and becomes a disclosure rate—the maximum rate at which genealogical structure can propagate causal influence.</w:t>
      </w:r>
    </w:p>
    <w:p>
      <w:pPr>
        <w:spacing w:after="200" w:line="276"/>
      </w:pPr>
      <w:r>
        <w:t xml:space="preserve">This reframing immediately generates a measurement problem. Measuring c requires marking two spacetime events, measuring the distance between them, measuring the time between them, and dividing. But under Axiom 0, the time measurement is itself an unfolding of genealogical continuity, the distance measurement requires causal contact bounded by the same continuity, and the measurement apparatus exists as genealogical structure. The system is measuring itself using itself. The invariance of c is tautological: it is the system reporting its own clock rate back to itself.</w:t>
      </w:r>
    </w:p>
    <w:p>
      <w:pPr>
        <w:spacing w:after="200" w:line="276"/>
      </w:pPr>
      <w:r>
        <w:t xml:space="preserve">The one-way speed of light problem in physics is the operational manifestation of this circularity. One cannot measure the one-way speed of light without assuming a synchronization convention, because synchronization is genealogical continuity establishing causal contact between two points. The measurement presupposes what it measures.</w:t>
      </w:r>
    </w:p>
    <w:p>
      <w:pPr>
        <w:pStyle w:val="Heading2"/>
      </w:pPr>
      <w:r>
        <w:t xml:space="preserve">1.2 The Contact-Geometric Resolution</w:t>
      </w:r>
    </w:p>
    <w:p>
      <w:pPr>
        <w:spacing w:after="200" w:line="276"/>
      </w:pPr>
      <w:r>
        <w:t xml:space="preserve">We resolve this circularity by introducing a contact-geometric structure that separates dynamics from witnessing. A contact manifold carries a 1-form that splits the tangent bundle into a horizontal distribution (where dynamics occur) and a vertical Reeb direction (where witnessing accumulates). The key insight is that self-witnessing becomes coherent when the witnessing direction is geometrically transverse to the dynamics—not independent (the contact condition ensures coupling) but stratified.</w:t>
      </w:r>
    </w:p>
    <w:p>
      <w:pPr>
        <w:spacing w:after="200" w:line="276"/>
      </w:pPr>
      <w:r>
        <w:t xml:space="preserve">This structure already exists in the Contact Sub-Riemannian Hybrid System (CSRHS) specification for governed cognitive architectures. The horizontal distribution carries cognitive operations; the vertical direction accumulates governance cost through a liquid time constant that induces tick boundaries adapted to manifold curvature. The present paper shows this is not merely an engineering convenience but a necessary geometric structure for any self-witnessing system, including the physical universe.</w:t>
      </w:r>
    </w:p>
    <w:p>
      <w:pPr>
        <w:pStyle w:val="Heading2"/>
      </w:pPr>
      <w:r>
        <w:t xml:space="preserve">1.3 Contributions</w:t>
      </w:r>
    </w:p>
    <w:p>
      <w:pPr>
        <w:spacing w:after="200" w:line="276"/>
      </w:pPr>
      <w:r>
        <w:t xml:space="preserve">This paper makes five contributions. First, we identify the entropy cost per causal step as the contact-geometric invariant of which c is the horizontal projection, resolving the measurement circularity under Axiom 0 (Section 2). Second, we formulate the Double Contact Compatibility Theorem establishing the equivalence of four conditions for coherent cross-boundary governance (Section 3) and provide the full proof (Section 4). Third, we present an experimental characterization of the complete phase diagram of contact-coupled admissibility systems, discovering the impedance cliff, the U-shaped instability wall, and the minimum governance threshold (Section 5). Fourth, we identify the structural correspondence between the instability wall onset and the electromagnetic fine structure constant, and state the derivability conjecture (Section 6). Fifth, we apply the diagnostic to a production governed cognitive architecture and confirm the predicted governance regime (Section 11).</w:t>
      </w:r>
    </w:p>
    <w:p>
      <w:r>
        <w:br w:type="page"/>
      </w:r>
    </w:p>
    <w:p>
      <w:pPr>
        <w:pStyle w:val="Heading1"/>
      </w:pPr>
      <w:r>
        <w:t xml:space="preserve">2. The Entropy Cost Per Causal Step</w:t>
      </w:r>
    </w:p>
    <w:p>
      <w:pPr>
        <w:pStyle w:val="Heading2"/>
      </w:pPr>
      <w:r>
        <w:t xml:space="preserve">2.1 From Speed to Disclosure Rate</w:t>
      </w:r>
    </w:p>
    <w:p>
      <w:pPr>
        <w:spacing w:after="200" w:line="276"/>
      </w:pPr>
      <w:r>
        <w:t xml:space="preserve">Under Axiom 0, every physical constant that depends on time is not a discovery about the universe but a self-report of genealogical structure disclosed through its own unfolding. This includes c, the Planck constant h, the gravitational constant G, and the fine structure constant—the entire apparatus of fundamental constants becomes the universe’s genealogical structure reporting its own shape in its own language.</w:t>
      </w:r>
    </w:p>
    <w:p>
      <w:pPr>
        <w:spacing w:after="200" w:line="276"/>
      </w:pPr>
      <w:r>
        <w:t xml:space="preserve">We propose that the real invariant is not c but a quantity we denote ξ: the entropy cost per unit of causal structure established. This quantity has units of entropy per causal step (bits per witnessed event, or nats per genealogical extension), not meters per second. The speed of light is the horizontal projection of ξ onto the spacetime submanifold.</w:t>
      </w:r>
    </w:p>
    <w:p>
      <w:pPr>
        <w:pStyle w:val="Heading2"/>
      </w:pPr>
      <w:r>
        <w:t xml:space="preserve">2.2 The Contact Form</w:t>
      </w:r>
    </w:p>
    <w:p>
      <w:pPr>
        <w:spacing w:after="200" w:line="276"/>
      </w:pPr>
      <w:r>
        <w:t xml:space="preserve">Let the physical contact form be:</w:t>
      </w:r>
    </w:p>
    <w:p>
      <w:pPr>
        <w:spacing w:before="120" w:after="120" w:line="276"/>
        <w:ind w:left="720"/>
      </w:pPr>
      <w:r>
        <w:rPr>
          <w:rFonts w:ascii="Courier New" w:cs="Courier New" w:eastAsia="Courier New" w:hAnsi="Courier New"/>
          <w:sz w:val="20"/>
          <w:szCs w:val="20"/>
        </w:rPr>
        <w:t xml:space="preserve">α = dS - λ · ds</w:t>
      </w:r>
    </w:p>
    <w:p>
      <w:pPr>
        <w:spacing w:after="200" w:line="276"/>
      </w:pPr>
      <w:r>
        <w:t xml:space="preserve">where S is entropy, s is a spacetime interval parameter, and λ is the coupling constant. The non-degeneracy condition α ∧ dα ≠ 0 requires that the coupling between entropy production and spacetime propagation is genuinely two-dimensional.</w:t>
      </w:r>
    </w:p>
    <w:p>
      <w:pPr>
        <w:spacing w:after="200" w:line="276"/>
      </w:pPr>
      <w:r>
        <w:t xml:space="preserve">The Reeb vector field R, satisfying α(R) = 1 and dα(R, ·) = 0, is the direction of pure witnessing: irreversible entropy production with no spacetime displacement. A measurement event is a localized flow along R—an irreversible change that witnesses causal contact without itself propagating.</w:t>
      </w:r>
    </w:p>
    <w:p>
      <w:pPr>
        <w:pStyle w:val="Heading2"/>
      </w:pPr>
      <w:r>
        <w:t xml:space="preserve">2.3 c as Horizontal Projection</w:t>
      </w:r>
    </w:p>
    <w:p>
      <w:pPr>
        <w:spacing w:after="200" w:line="276"/>
      </w:pPr>
      <w:r>
        <w:t xml:space="preserve">The invariance of c across reference frames is explained rather than postulated. Reference frame changes are horizontal transformations—they shuffle spacetime coordinates but do not touch the vertical entropy direction. The contact form is invariant under horizontal automorphisms. Its horizontal projection (which is what c measures) is therefore also invariant. Different frames yield the same c because they are all projecting the same contact-geometric invariant onto the same horizontal subspace.</w:t>
      </w:r>
    </w:p>
    <w:p>
      <w:pPr>
        <w:spacing w:after="200" w:line="276"/>
      </w:pPr>
      <w:r>
        <w:t xml:space="preserve">This predicts that the entropy cost of establishing causal contact should be Lorentz invariant—not the speed, not the distance, not the time, but the entropy cost per causal step. This is the real constant. c is its shadow.</w:t>
      </w:r>
    </w:p>
    <w:p>
      <w:r>
        <w:br w:type="page"/>
      </w:r>
    </w:p>
    <w:p>
      <w:pPr>
        <w:pStyle w:val="Heading1"/>
      </w:pPr>
      <w:r>
        <w:t xml:space="preserve">3. The Double Contact Manifold</w:t>
      </w:r>
    </w:p>
    <w:p>
      <w:pPr>
        <w:pStyle w:val="Heading2"/>
      </w:pPr>
      <w:r>
        <w:t xml:space="preserve">3.1 Motivation</w:t>
      </w:r>
    </w:p>
    <w:p>
      <w:pPr>
        <w:spacing w:after="200" w:line="276"/>
      </w:pPr>
      <w:r>
        <w:t xml:space="preserve">A system that both acts and witnesses its own actions requires two distinct but coupled geometric structures. The internal contact form governs self-witnessing (governance verification). The external contact form governs interaction with the domain (physical causation, or another system’s theory space). These cannot be identical (or there is no distinction between thinking and doing) and cannot be independent (or the system is decoupled from reality).</w:t>
      </w:r>
    </w:p>
    <w:p>
      <w:pPr>
        <w:pStyle w:val="Heading2"/>
      </w:pPr>
      <w:r>
        <w:t xml:space="preserve">3.2 The Double Contact CSRHS</w:t>
      </w:r>
    </w:p>
    <w:p>
      <w:pPr>
        <w:spacing w:after="200" w:line="276"/>
      </w:pPr>
      <w:r>
        <w:rPr>
          <w:b/>
          <w:bCs/>
        </w:rPr>
        <w:t xml:space="preserve">Definition 3.1 (Double Contact System). </w:t>
      </w:r>
      <w:r>
        <w:t xml:space="preserve">A double contact system is a tuple:</w:t>
      </w:r>
    </w:p>
    <w:p>
      <w:pPr>
        <w:spacing w:before="120" w:after="120" w:line="276"/>
        <w:ind w:left="720"/>
      </w:pPr>
      <w:r>
        <w:rPr>
          <w:rFonts w:ascii="Courier New" w:cs="Courier New" w:eastAsia="Courier New" w:hAnsi="Courier New"/>
          <w:sz w:val="20"/>
          <w:szCs w:val="20"/>
        </w:rPr>
        <w:t xml:space="preserve">H² = (ℳ, g, D_int, D_ext, α_int, α_ext, τ_int, τ_ext, Φ, Π, G, Γ)</w:t>
      </w:r>
    </w:p>
    <w:p>
      <w:pPr>
        <w:spacing w:after="200" w:line="276"/>
      </w:pPr>
      <w:r>
        <w:t xml:space="preserve">where ℳ is the total state manifold, D_int and D_ext are the internal and external horizontal distributions, α_int and α_ext are the corresponding contact forms, τ_int and τ_ext are liquid time constants, Φ is the coupling map, and (Π, G, Γ) are the tick projection, governance jump map, and guard set. The dimension satisfies dim(ℳ) = dim(D_int) + dim(D_ext) + 2, where the +2 accounts for the two Reeb directions.</w:t>
      </w:r>
    </w:p>
    <w:p>
      <w:pPr>
        <w:pStyle w:val="Heading2"/>
      </w:pPr>
      <w:r>
        <w:t xml:space="preserve">3.3 The Non-Collapse Condition</w:t>
      </w:r>
    </w:p>
    <w:p>
      <w:pPr>
        <w:spacing w:after="200" w:line="276"/>
      </w:pPr>
      <w:r>
        <w:rPr>
          <w:b/>
          <w:bCs/>
        </w:rPr>
        <w:t xml:space="preserve">Condition (Non-Collapse). </w:t>
      </w:r>
      <w:r>
        <w:t xml:space="preserve">The two contact forms satisfy α_int ∧ α_ext ≠ 0 at every point of the coupling surface Σ. This requires that the internal witnessing direction and the external causal direction are never parallel.</w:t>
      </w:r>
    </w:p>
    <w:p>
      <w:pPr>
        <w:spacing w:after="200" w:line="276"/>
      </w:pPr>
      <w:r>
        <w:t xml:space="preserve">When non-collapse fails—when R_int becomes parallel to R_ext—the system can no longer distinguish internal verification from external reality. This is the contact-geometric formalization of the holographic boundary between trusted verification and untrusted dynamics.</w:t>
      </w:r>
    </w:p>
    <w:p>
      <w:pPr>
        <w:pStyle w:val="Heading2"/>
      </w:pPr>
      <w:r>
        <w:t xml:space="preserve">3.4 The Coupling Constraints</w:t>
      </w:r>
    </w:p>
    <w:p>
      <w:pPr>
        <w:spacing w:after="200" w:line="276"/>
      </w:pPr>
      <w:r>
        <w:t xml:space="preserve">The coupling map Φ: (D_int, α_int) → (D_ext, α_ext) is subject to three constraints:</w:t>
      </w:r>
    </w:p>
    <w:p>
      <w:pPr>
        <w:spacing w:after="200" w:line="276"/>
      </w:pPr>
      <w:r>
        <w:rPr>
          <w:b/>
          <w:bCs/>
        </w:rPr>
        <w:t xml:space="preserve">Causal Respect: </w:t>
      </w:r>
      <w:r>
        <w:t xml:space="preserve">Φ(Cone_gov(x)) ⊆ Cone_causal(Φ(x)). No governance decision demands a physical effect requiring superluminal causation.</w:t>
      </w:r>
    </w:p>
    <w:p>
      <w:pPr>
        <w:spacing w:after="200" w:line="276"/>
      </w:pPr>
      <w:r>
        <w:rPr>
          <w:b/>
          <w:bCs/>
        </w:rPr>
        <w:t xml:space="preserve">Entropy Coupling: </w:t>
      </w:r>
      <w:r>
        <w:t xml:space="preserve">ξ_int · |Φ(v)|_ext ≤ ξ_ext · |v|_int. The internal entropy cost, projected externally, cannot exceed the external entropy budget.</w:t>
      </w:r>
    </w:p>
    <w:p>
      <w:pPr>
        <w:spacing w:after="200" w:line="276"/>
      </w:pPr>
      <w:r>
        <w:rPr>
          <w:b/>
          <w:bCs/>
        </w:rPr>
        <w:t xml:space="preserve">Witnessing Transitivity: </w:t>
      </w:r>
      <w:r>
        <w:t xml:space="preserve">Internally-verified actions cannot produce externally-unwitnessable effects. Archive sufficiency holds across the boundary.</w:t>
      </w:r>
    </w:p>
    <w:p>
      <w:r>
        <w:br w:type="page"/>
      </w:r>
    </w:p>
    <w:p>
      <w:pPr>
        <w:pStyle w:val="Heading1"/>
      </w:pPr>
      <w:r>
        <w:t xml:space="preserve">4. The Double Contact Compatibility Theorem</w:t>
      </w:r>
    </w:p>
    <w:p>
      <w:pPr>
        <w:pStyle w:val="Heading2"/>
      </w:pPr>
      <w:r>
        <w:t xml:space="preserve">4.1 Statement</w:t>
      </w:r>
    </w:p>
    <w:p>
      <w:pPr>
        <w:spacing w:after="200" w:line="276"/>
      </w:pPr>
      <w:r>
        <w:rPr>
          <w:b/>
          <w:bCs/>
        </w:rPr>
        <w:t xml:space="preserve">Theorem 4.1 (Double Contact Compatibility). </w:t>
      </w:r>
      <w:r>
        <w:t xml:space="preserve">Let H² be a double contact CSRHS. The following are equivalent:</w:t>
      </w:r>
    </w:p>
    <w:p>
      <w:pPr>
        <w:spacing w:after="200" w:line="276"/>
        <w:ind w:left="720"/>
      </w:pPr>
      <w:r>
        <w:rPr>
          <w:i/>
          <w:iCs/>
        </w:rPr>
        <w:t xml:space="preserve">(i) Cross-boundary archive sufficiency</w:t>
      </w:r>
    </w:p>
    <w:p>
      <w:pPr>
        <w:spacing w:after="200" w:line="276"/>
        <w:ind w:left="720"/>
      </w:pPr>
      <w:r>
        <w:rPr>
          <w:i/>
          <w:iCs/>
        </w:rPr>
        <w:t xml:space="preserve">(ii) Non-collapse (α_int ∧ α_ext ≠ 0 on the coupling surface)</w:t>
      </w:r>
    </w:p>
    <w:p>
      <w:pPr>
        <w:spacing w:after="200" w:line="276"/>
        <w:ind w:left="720"/>
      </w:pPr>
      <w:r>
        <w:rPr>
          <w:i/>
          <w:iCs/>
        </w:rPr>
        <w:t xml:space="preserve">(iii) Clock commensurability (0 &lt; c₁ ≤ τ_int/τ_ext ≤ c₂ &lt; ∞)</w:t>
      </w:r>
    </w:p>
    <w:p>
      <w:pPr>
        <w:spacing w:after="200" w:line="276"/>
        <w:ind w:left="720"/>
      </w:pPr>
      <w:r>
        <w:rPr>
          <w:i/>
          <w:iCs/>
        </w:rPr>
        <w:t xml:space="preserve">(iv) Entropy coupling (ξ_int · |Φ(v)|_ext ≤ ξ_ext · |v|_int for all admissible v)</w:t>
      </w:r>
    </w:p>
    <w:p>
      <w:pPr>
        <w:pStyle w:val="Heading2"/>
      </w:pPr>
      <w:r>
        <w:t xml:space="preserve">4.2 Proof: (i) ⇒ (ii)</w:t>
      </w:r>
    </w:p>
    <w:p>
      <w:pPr>
        <w:spacing w:after="200" w:line="276"/>
      </w:pPr>
      <w:r>
        <w:t xml:space="preserve">Suppose α_int ∧ α_ext = 0 at some point p on the coupling surface. Then R_int is parallel to R_ext at p, meaning internal and external witnessing collapse to the same operation. Any witness W certifying an internal governance step automatically certifies the external causal step and vice versa. The hash binding between W_int and W_ext becomes self-referential: the evidence bundle closes over itself. The replay dependency graph acquires a cycle. By the fail-closed posture of archive sufficiency, cyclic replay dependencies are non-verifiable. Archive sufficiency fails. Contrapositive: archive sufficiency requires non-collapse.</w:t>
      </w:r>
    </w:p>
    <w:p>
      <w:pPr>
        <w:pStyle w:val="Heading2"/>
      </w:pPr>
      <w:r>
        <w:t xml:space="preserve">4.3 Proof: (ii) ⇒ (iii)</w:t>
      </w:r>
    </w:p>
    <w:p>
      <w:pPr>
        <w:spacing w:after="200" w:line="276"/>
      </w:pPr>
      <w:r>
        <w:t xml:space="preserve">Non-collapse ensures the tangent space decomposes non-degenerately as T_pℳ = D_int ⊕ D_ext ⊕ span(R_int) ⊕ span(R_ext). The curvatures κ_int and κ_ext, derived from dα_int and dα_ext respectively, are coupled through the non-proportionality of the 2-forms. Neither can diverge while the other remains bounded without the wedge product degenerating. Since the liquid time constants depend inversely on curvature (τ = τ_base / (1 + α|κ| + ...)), bounded curvature ratio implies bounded τ ratio.</w:t>
      </w:r>
    </w:p>
    <w:p>
      <w:pPr>
        <w:pStyle w:val="Heading2"/>
      </w:pPr>
      <w:r>
        <w:t xml:space="preserve">4.4 Proof: (iii) ⇒ (iv)</w:t>
      </w:r>
    </w:p>
    <w:p>
      <w:pPr>
        <w:spacing w:after="200" w:line="276"/>
      </w:pPr>
      <w:r>
        <w:t xml:space="preserve">Clock commensurability bounds the tick-count ratio between systems. The entropy cost along a horizontal path is proportional to the tick count times the per-tick witnessing cost. Bounded tick ratio and fixed per-tick costs yield bounded entropy-cost ratio, which is the entropy coupling constraint.</w:t>
      </w:r>
    </w:p>
    <w:p>
      <w:pPr>
        <w:pStyle w:val="Heading2"/>
      </w:pPr>
      <w:r>
        <w:t xml:space="preserve">4.5 Proof: (iv) ⇒ (i)</w:t>
      </w:r>
    </w:p>
    <w:p>
      <w:pPr>
        <w:spacing w:after="200" w:line="276"/>
      </w:pPr>
      <w:r>
        <w:t xml:space="preserve">The entropy coupling constraint ensures that for every internal witness W_int of a horizontal path, the corresponding external witness W_ext has finite, bounded cost. Internal witnesses exist by the single-contact CSRHS theory (SR Genealogy v1.2). External witnesses are constructed via the coupling map Φ applied tick-by-tick, with budgets bounded by the entropy coupling constant. Cross-boundary hash binding is constructed as SHA-256(h_int_k || h_ext_k) at each tick. The replay dependency graph is acyclic: W_int and W_ext are independently verifiable, and W_cross depends on both but neither depends on W_cross. Archive sufficiency holds.</w:t>
      </w:r>
    </w:p>
    <w:p>
      <w:r>
        <w:br w:type="page"/>
      </w:r>
    </w:p>
    <w:p>
      <w:pPr>
        <w:pStyle w:val="Heading1"/>
      </w:pPr>
      <w:r>
        <w:t xml:space="preserve">5. Experimental Characterization</w:t>
      </w:r>
    </w:p>
    <w:p>
      <w:pPr>
        <w:pStyle w:val="Heading2"/>
      </w:pPr>
      <w:r>
        <w:t xml:space="preserve">5.1 The Sixth Column</w:t>
      </w:r>
    </w:p>
    <w:p>
      <w:pPr>
        <w:spacing w:after="200" w:line="276"/>
      </w:pPr>
      <w:r>
        <w:t xml:space="preserve">The Admissibility Tower instantiates the seven-tuple (T, A, F, K, h, d, h_Π) across multiple domains. We add a sixth column: contact-coupled admissibility dynamics, where two independent admissibility systems are coupled through a cross-perturbation map with tunable strength γ_cross.</w:t>
      </w:r>
    </w:p>
    <w:p>
      <w:pPr>
        <w:spacing w:after="200" w:line="276"/>
      </w:pPr>
      <w:r>
        <w:t xml:space="preserve">Each system is a limit-order-book (LOB) admissibility system with state levels ∈ ℝ¹⁶ (deviations from equilibrium at 16 price levels), energy h = ||levels||², admissible region A = {x : max|x_i| &lt; 2.0}, and projection operator Π that mean-reverts each level by factor α toward zero. The governance kernel K is deterministic (singleton repair fiber).</w:t>
      </w:r>
    </w:p>
    <w:p>
      <w:pPr>
        <w:pStyle w:val="Heading2"/>
      </w:pPr>
      <w:r>
        <w:t xml:space="preserve">5.2 Coupling Protocol</w:t>
      </w:r>
    </w:p>
    <w:p>
      <w:pPr>
        <w:spacing w:after="200" w:line="276"/>
      </w:pPr>
      <w:r>
        <w:t xml:space="preserve">At each physical tick: (1) both systems drift independently (seeded deterministic noise); (2) corrections are computed: c_i = Π(s_i) - s_i; (3) cross-perturbation: s_1 += γ_cross · Φ(c_2), s_2 += γ_cross · Φ(c_1); (4) projections applied; (5) admissibility checked. Genealogical time is a counter incremented only when projection moves state.</w:t>
      </w:r>
    </w:p>
    <w:p>
      <w:pPr>
        <w:spacing w:after="200" w:line="276"/>
      </w:pPr>
      <w:r>
        <w:t xml:space="preserve">Four measurements are taken: M1 (cross-boundary Hurst exponent in physical, gen_1, and gen_2 time), M2 (critical coupling γ_c via sweep), M3 (clock ratio τ_1/τ_2), M4 (entropy cost per cross-boundary step as ||γΦ(c)||²). The B1/B2 regime is classified by the genealogical clock diagnostic: B1 requires H &lt; 0.5 in all three clocks.</w:t>
      </w:r>
    </w:p>
    <w:p>
      <w:pPr>
        <w:pStyle w:val="Heading2"/>
      </w:pPr>
      <w:r>
        <w:t xml:space="preserve">5.3 Baseline Results</w:t>
      </w:r>
    </w:p>
    <w:p>
      <w:pPr>
        <w:spacing w:after="200" w:line="276"/>
      </w:pPr>
      <w:r>
        <w:t xml:space="preserve">The standalone LOB system shows strong anti-persistence with H = 0.14 (R/S and DFA in agreement), confirming the projection operator produces structural governance. The cross-boundary critical coupling is γ_c = 0.175 at the default projection strength α = 0.30.</w:t>
      </w:r>
    </w:p>
    <w:p>
      <w:pPr>
        <w:pStyle w:val="Heading2"/>
      </w:pPr>
      <w:r>
        <w:t xml:space="preserve">5.4 The Phase Diagram</w:t>
      </w:r>
    </w:p>
    <w:p>
      <w:pPr>
        <w:spacing w:after="200" w:line="276"/>
      </w:pPr>
      <w:r>
        <w:t xml:space="preserve">Sweeping both projection strength α (from 0.001 to 0.40) and coupling strength γ (from 0 to 2.0), we characterize the complete (α, γ) parameter space. The diagram reveals five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400"/>
        <w:gridCol w:w="4160"/>
      </w:tblGrid>
      <w:tr>
        <w:tc>
          <w:tcPr>
            <w:tcW w:type="dxa" w:w="1200"/>
            <w:tcBorders>
              <w:top w:val="single" w:color="AAAAAA" w:sz="1"/>
              <w:left w:val="single" w:color="AAAAAA" w:sz="1"/>
              <w:bottom w:val="single" w:color="AAAAAA" w:sz="1"/>
              <w:right w:val="single" w:color="AAAAAA"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α</w:t>
            </w:r>
          </w:p>
        </w:tc>
        <w:tc>
          <w:tcPr>
            <w:tcW w:type="dxa" w:w="1400"/>
            <w:tcBorders>
              <w:top w:val="single" w:color="AAAAAA" w:sz="1"/>
              <w:left w:val="single" w:color="AAAAAA" w:sz="1"/>
              <w:bottom w:val="single" w:color="AAAAAA" w:sz="1"/>
              <w:right w:val="single" w:color="AAAAAA"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γ_c</w:t>
            </w:r>
          </w:p>
        </w:tc>
        <w:tc>
          <w:tcPr>
            <w:tcW w:type="dxa" w:w="1200"/>
            <w:tcBorders>
              <w:top w:val="single" w:color="AAAAAA" w:sz="1"/>
              <w:left w:val="single" w:color="AAAAAA" w:sz="1"/>
              <w:bottom w:val="single" w:color="AAAAAA" w:sz="1"/>
              <w:right w:val="single" w:color="AAAAAA"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Wall</w:t>
            </w:r>
          </w:p>
        </w:tc>
        <w:tc>
          <w:tcPr>
            <w:tcW w:type="dxa" w:w="1400"/>
            <w:tcBorders>
              <w:top w:val="single" w:color="AAAAAA" w:sz="1"/>
              <w:left w:val="single" w:color="AAAAAA" w:sz="1"/>
              <w:bottom w:val="single" w:color="AAAAAA" w:sz="1"/>
              <w:right w:val="single" w:color="AAAAAA"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BW</w:t>
            </w:r>
          </w:p>
        </w:tc>
        <w:tc>
          <w:tcPr>
            <w:tcW w:type="dxa" w:w="4160"/>
            <w:tcBorders>
              <w:top w:val="single" w:color="AAAAAA" w:sz="1"/>
              <w:left w:val="single" w:color="AAAAAA" w:sz="1"/>
              <w:bottom w:val="single" w:color="AAAAAA" w:sz="1"/>
              <w:right w:val="single" w:color="AAAAAA" w:sz="1"/>
            </w:tcBorders>
            <w:shd w:fill="2B3E50" w:val="clear"/>
            <w:tcMar>
              <w:top w:type="dxa" w:w="60"/>
              <w:left w:type="dxa" w:w="100"/>
              <w:bottom w:type="dxa" w:w="60"/>
              <w:right w:type="dxa" w:w="100"/>
            </w:tcMar>
            <w:vAlign w:val="center"/>
          </w:tcPr>
          <w:p>
            <w:r>
              <w:rPr>
                <w:rFonts w:ascii="Arial" w:cs="Arial" w:eastAsia="Arial" w:hAnsi="Arial"/>
                <w:b/>
                <w:bCs/>
                <w:color w:val="FFFFFF"/>
                <w:sz w:val="20"/>
                <w:szCs w:val="20"/>
              </w:rPr>
              <w:t xml:space="preserve">Regime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0.001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Sub-governance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0.002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0.850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&gt;2.0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&gt;1.15</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High-impedance fluid</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0.005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0.090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&gt;2.0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&gt;1.91</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Low-impedance fluid</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0.007</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0.110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1.45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1.34</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Wall onset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0.010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0.135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1.07</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Compliant wide-band</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0.050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0.165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0.92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0.76</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Narrow valley</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0.100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0.090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0.91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0.82</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Moderate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0.400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0.035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1.24</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1.20</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Rigid wide-band</w:t>
            </w:r>
          </w:p>
        </w:tc>
      </w:tr>
    </w:tbl>
    <w:p>
      <w:pPr>
        <w:spacing w:before="80" w:after="200"/>
      </w:pPr>
      <w:r>
        <w:rPr>
          <w:rFonts w:ascii="Arial" w:cs="Arial" w:eastAsia="Arial" w:hAnsi="Arial"/>
          <w:b/>
          <w:bCs/>
          <w:sz w:val="20"/>
          <w:szCs w:val="20"/>
        </w:rPr>
        <w:t xml:space="preserve">Table 1. </w:t>
      </w:r>
      <w:r>
        <w:rPr>
          <w:rFonts w:ascii="Arial" w:cs="Arial" w:eastAsia="Arial" w:hAnsi="Arial"/>
          <w:i/>
          <w:iCs/>
          <w:sz w:val="20"/>
          <w:szCs w:val="20"/>
        </w:rPr>
        <w:t xml:space="preserve">Complete (α, γ) phase diagram. BW = governable bandwidth (γ_instability - γ_c).</w:t>
      </w:r>
    </w:p>
    <w:p>
      <w:pPr>
        <w:pStyle w:val="Heading2"/>
      </w:pPr>
      <w:r>
        <w:t xml:space="preserve">5.5 The Minimum Governance Threshold</w:t>
      </w:r>
    </w:p>
    <w:p>
      <w:pPr>
        <w:spacing w:after="200" w:line="276"/>
      </w:pPr>
      <w:r>
        <w:t xml:space="preserve">At α = 0.001, no coupling strength achieves B1. The system is too weakly governed to participate in cross-boundary structural governance at any coupling. At α = 0.002, B1 appears but with γ_c = 0.850—enormous impedance. Between α = 0.002 and α = 0.005, γ_c drops from 0.850 to 0.090: a 9.4× drop over a 2.5× change in α. This is not a smooth curve but a phase transition in impedance. We locate α* between 0.001 and 0.002.</w:t>
      </w:r>
    </w:p>
    <w:p>
      <w:pPr>
        <w:pStyle w:val="Heading2"/>
      </w:pPr>
      <w:r>
        <w:t xml:space="preserve">5.6 The U-Shaped Instability Wall</w:t>
      </w:r>
    </w:p>
    <w:p>
      <w:pPr>
        <w:spacing w:after="200" w:line="276"/>
      </w:pPr>
      <w:r>
        <w:t xml:space="preserve">The instability wall—the maximum coupling before governance failure—is U-shaped, with minimum near α = 0.05 and higher values at both extremes. Weak governance tolerates strong coupling by compliance (perturbations pass through without accumulating stress). Strong governance tolerates strong coupling by rigidity (the projection absorbs perturbations in a single step). Moderate governance is fragile: strong enough to create structure that can be disrupted, too weak to absorb disruption in one step.</w:t>
      </w:r>
    </w:p>
    <w:p>
      <w:pPr>
        <w:pStyle w:val="Heading2"/>
      </w:pPr>
      <w:r>
        <w:t xml:space="preserve">5.7 Wall Onset</w:t>
      </w:r>
    </w:p>
    <w:p>
      <w:pPr>
        <w:spacing w:after="200" w:line="276"/>
      </w:pPr>
      <w:r>
        <w:t xml:space="preserve">The instability wall first appears at α ≈ 0.007. Below this value, no coupling destabilizes the system (no wall found below γ = 2.0). Above it, the wall exists and the system can be driven into the divergent regime. This transition marks the boundary between structurelessness (the fluid regime where nothing persists) and structure (the regime where patterns can be maintained against noise but can also be broken).</w:t>
      </w:r>
    </w:p>
    <w:p>
      <w:r>
        <w:br w:type="page"/>
      </w:r>
    </w:p>
    <w:p>
      <w:pPr>
        <w:pStyle w:val="Heading1"/>
      </w:pPr>
      <w:r>
        <w:t xml:space="preserve">6. The Fine Structure Constant as Wall-Onset Governance</w:t>
      </w:r>
    </w:p>
    <w:p>
      <w:pPr>
        <w:pStyle w:val="Heading2"/>
      </w:pPr>
      <w:r>
        <w:t xml:space="preserve">6.1 The Universe’s Double Contact Structure</w:t>
      </w:r>
    </w:p>
    <w:p>
      <w:pPr>
        <w:spacing w:after="200" w:line="276"/>
      </w:pPr>
      <w:r>
        <w:t xml:space="preserve">If the universe possesses a double contact structure coupling quantum dynamics (horizontal) to thermodynamic witnessing (vertical), the fine structure constant α_em measures the impedance ratio—the coupling strength between the two contact forms. The standard formula α_em = e²/(4πε₀ħc) decomposes contact-geometrically as a ratio of minimum vertical accumulation (squared, via the charge) to horizontal capacity (the product of tick granularity, propagation rate, and medium impedance).</w:t>
      </w:r>
    </w:p>
    <w:p>
      <w:pPr>
        <w:pStyle w:val="Heading2"/>
      </w:pPr>
      <w:r>
        <w:t xml:space="preserve">6.2 α_em at the Wall Onset</w:t>
      </w:r>
    </w:p>
    <w:p>
      <w:pPr>
        <w:spacing w:after="200" w:line="276"/>
      </w:pPr>
      <w:r>
        <w:rPr>
          <w:sz w:val="24"/>
          <w:szCs w:val="24"/>
        </w:rPr>
        <w:t xml:space="preserve">The electromagnetic fine structure constant α_em ≈ 0.0073 sits at the exact transition where the instability wall first appears in the experimental phase diagram (α ≈ 0.007). This is not the robust wide-band regime where a system designed for safety would operate. It is the </w:t>
      </w:r>
      <w:r>
        <w:rPr>
          <w:i/>
          <w:iCs/>
          <w:sz w:val="24"/>
          <w:szCs w:val="24"/>
        </w:rPr>
        <w:t xml:space="preserve">onset of impedance matching</w:t>
      </w:r>
      <w:r>
        <w:rPr>
          <w:sz w:val="24"/>
          <w:szCs w:val="24"/>
        </w:rPr>
        <w:t xml:space="preserve">—the precise governance strength where persistent structure first becomes possible.</w:t>
      </w:r>
    </w:p>
    <w:p>
      <w:pPr>
        <w:spacing w:after="200" w:line="276"/>
      </w:pPr>
      <w:r>
        <w:t xml:space="preserve">Below the wall onset, the system is a compliant fluid: it absorbs any coupling without destabilizing, but also without maintaining persistent patterns. Above the onset, persistent structure is possible but so is destabilization. The wall onset is the critical point of the trichotomy, lifted from the drift dimension into the governance-strength dimension.</w:t>
      </w:r>
    </w:p>
    <w:p>
      <w:pPr>
        <w:pStyle w:val="Heading2"/>
      </w:pPr>
      <w:r>
        <w:t xml:space="preserve">6.3 The Cosmological Selector Argument</w:t>
      </w:r>
    </w:p>
    <w:p>
      <w:pPr>
        <w:spacing w:after="200" w:line="276"/>
      </w:pPr>
      <w:r>
        <w:t xml:space="preserve">A universe that maximizes the diversity of permitted interactions while requiring that persistent structure be possible would select governance strength at the wall onset. This is not fine-tuning to a specific value along a continuum. It is location at a phase transition, where the value is determined by the geometry of the admissibility system.</w:t>
      </w:r>
    </w:p>
    <w:p>
      <w:pPr>
        <w:spacing w:after="200" w:line="276"/>
      </w:pPr>
      <w:r>
        <w:t xml:space="preserve">The five regimes of the phase diagram map to cosmological possibilities: sub-governance (no structure, no universe), high-impedance fluid (rare isolated interactions), wall onset/maximal expressivity (maximum bandwidth, maximum structural diversity), narrow valley (rigid, fragile, limited interactions), and rigid wide-band (deterministic, fully governed). Regime 3—wall onset—is the unique regime supporting both persistent structure and diverse dynamics.</w:t>
      </w:r>
    </w:p>
    <w:p>
      <w:pPr>
        <w:pStyle w:val="Heading2"/>
      </w:pPr>
      <w:r>
        <w:t xml:space="preserve">6.4 The Running of α_em</w:t>
      </w:r>
    </w:p>
    <w:p>
      <w:pPr>
        <w:spacing w:after="200" w:line="276"/>
      </w:pPr>
      <w:r>
        <w:t xml:space="preserve">The fine structure constant increases with energy scale (from ~1/137 at low energies to ~1/128 at the Z boson mass). Under the contact-geometric interpretation, this is movement along the impedance curve toward the narrow-band valley. The governable bandwidth shrinks as α_em increases with energy. The Landau pole—where α_em would formally diverge—corresponds to the instability wall: the coupling strength at which the contact structure collapses and governance fails entirely.</w:t>
      </w:r>
    </w:p>
    <w:p>
      <w:pPr>
        <w:spacing w:after="200" w:line="276"/>
      </w:pPr>
      <w:r>
        <w:t xml:space="preserve">The convergence of gauge coupling constants at the GUT scale (~10¹⁶ GeV) would be the statement that all gauge sectors share the same contact-geometric collapse point—a single instability wall seen differently through different horizontal distributions.</w:t>
      </w:r>
    </w:p>
    <w:p>
      <w:pPr>
        <w:pStyle w:val="Heading2"/>
      </w:pPr>
      <w:r>
        <w:t xml:space="preserve">6.5 The Derivability Conjecture</w:t>
      </w:r>
    </w:p>
    <w:p>
      <w:pPr>
        <w:spacing w:after="200" w:line="276"/>
      </w:pPr>
      <w:r>
        <w:rPr>
          <w:b/>
          <w:bCs/>
          <w:i/>
          <w:iCs/>
        </w:rPr>
        <w:t xml:space="preserve">Conjecture. </w:t>
      </w:r>
      <w:r>
        <w:rPr>
          <w:i/>
          <w:iCs/>
        </w:rPr>
        <w:t xml:space="preserve">The fine structure constant is the wall-onset governance strength of the quantum-thermodynamic admissibility system, computable from the contact geometry of the double contact manifold formed by quantum dynamics and thermodynamic witnessing. The value α_em ≈ 1/137 is not a free parameter but a derived consequence of the structure of this contact geometry.</w:t>
      </w:r>
    </w:p>
    <w:p>
      <w:r>
        <w:br w:type="page"/>
      </w:r>
    </w:p>
    <w:p>
      <w:pPr>
        <w:pStyle w:val="Heading1"/>
      </w:pPr>
      <w:r>
        <w:t xml:space="preserve">7. Toward Triple Contact: Quantum Gravity</w:t>
      </w:r>
    </w:p>
    <w:p>
      <w:pPr>
        <w:pStyle w:val="Heading2"/>
      </w:pPr>
      <w:r>
        <w:t xml:space="preserve">7.1 The Third Reeb Direction</w:t>
      </w:r>
    </w:p>
    <w:p>
      <w:pPr>
        <w:spacing w:after="200" w:line="276"/>
      </w:pPr>
      <w:r>
        <w:t xml:space="preserve">At the Planck scale, thermodynamic witnessing (α_Q) and gravitational witnessing (α_G) become approximately proportional—their coupling strengths converge. The double contact compatibility theorem predicts that archive sufficiency, clock commensurability, and entropy coupling all fail simultaneously. This is the standard breakdown of both QM and GR at the Planck scale.</w:t>
      </w:r>
    </w:p>
    <w:p>
      <w:pPr>
        <w:spacing w:after="200" w:line="276"/>
      </w:pPr>
      <w:r>
        <w:t xml:space="preserve">We propose that a third contact form α_I (informational witnessing) maintains overall non-degeneracy: even when α_Q ∧ α_G → 0, the triple wedge α_Q ∧ α_G ∧ α_I ≠ 0 can survive if α_I is genuinely independent. The Planck scale is then not a breakdown but a dimension reduction of the horizontal distribution, with all three vertical directions preserved.</w:t>
      </w:r>
    </w:p>
    <w:p>
      <w:pPr>
        <w:pStyle w:val="Heading2"/>
      </w:pPr>
      <w:r>
        <w:t xml:space="preserve">7.2 Three Coupling Constants</w:t>
      </w:r>
    </w:p>
    <w:p>
      <w:pPr>
        <w:spacing w:after="200" w:line="276"/>
      </w:pPr>
      <w:r>
        <w:t xml:space="preserve">The triple contact structure yields three impedance ratios: α_QT (quantum-thermodynamic, the conventional fine structure constant), α_GI (gravitational-informational, the Planck area), and α_QI (quantum-informational, a new constant governing quantum computational complexity). The theory of quantum gravity, under this framework, reduces to the theory of α_QI.</w:t>
      </w:r>
    </w:p>
    <w:p>
      <w:r>
        <w:br w:type="page"/>
      </w:r>
    </w:p>
    <w:p>
      <w:pPr>
        <w:pStyle w:val="Heading1"/>
      </w:pPr>
      <w:r>
        <w:t xml:space="preserve">8. Implications for Governed Cognitive Architectures</w:t>
      </w:r>
    </w:p>
    <w:p>
      <w:pPr>
        <w:pStyle w:val="Heading2"/>
      </w:pPr>
      <w:r>
        <w:t xml:space="preserve">8.1 The Holographic Boundary as Contact Surface</w:t>
      </w:r>
    </w:p>
    <w:p>
      <w:pPr>
        <w:spacing w:after="200" w:line="276"/>
      </w:pPr>
      <w:r>
        <w:t xml:space="preserve">The double contact structure maps directly onto the MaL-Cortex architecture. The internal contact form α_int corresponds to governance witnessing (CG1-CG7 gates, cryptographic hashing, archive sufficiency). The external contact form α_ext corresponds to the domain of operation. The holographic boundary between Kernel and Cortex—the Scout/Abstractor split—is the coupling surface Σ where both forms are evaluable.</w:t>
      </w:r>
    </w:p>
    <w:p>
      <w:pPr>
        <w:pStyle w:val="Heading2"/>
      </w:pPr>
      <w:r>
        <w:t xml:space="preserve">8.2 The Minimum Governance Threshold</w:t>
      </w:r>
    </w:p>
    <w:p>
      <w:pPr>
        <w:spacing w:after="200" w:line="276"/>
      </w:pPr>
      <w:r>
        <w:t xml:space="preserve">The existence of α* implies that there is a minimum internal governance strength below which a cognitive system cannot participate in cross-boundary structural governance at any coupling strength. For multi-agent architectures, this sets a boot-sequence constraint: bring internal governance above α* before attempting external coupling. The impedance cliff ensures that the transition from ungovernable to governable is sharp, not gradual.</w:t>
      </w:r>
    </w:p>
    <w:p>
      <w:pPr>
        <w:pStyle w:val="Heading2"/>
      </w:pPr>
      <w:r>
        <w:t xml:space="preserve">8.3 Design Regimes</w:t>
      </w:r>
    </w:p>
    <w:p>
      <w:pPr>
        <w:spacing w:after="200" w:line="276"/>
      </w:pPr>
      <w:r>
        <w:t xml:space="preserve">The U-shaped instability wall recommends a bimodal design strategy: operate at high α (strong governance, wide band, robust to coupling miscalibration) or at very low α (weak governance, compliant, also wide band). Avoid the moderate valley where the governable bandwidth narrows and engineering errors are most costly.</w:t>
      </w:r>
    </w:p>
    <w:p>
      <w:r>
        <w:br w:type="page"/>
      </w:r>
    </w:p>
    <w:p>
      <w:pPr>
        <w:pStyle w:val="Heading1"/>
      </w:pPr>
      <w:r>
        <w:t xml:space="preserve">9. Predictions</w:t>
      </w:r>
    </w:p>
    <w:p>
      <w:pPr>
        <w:spacing w:after="200" w:line="276"/>
      </w:pPr>
      <w:r>
        <w:rPr>
          <w:b/>
          <w:bCs/>
        </w:rPr>
        <w:t xml:space="preserve">Prediction 1 (Production Diagnostic — Confirmed, Section 11). </w:t>
      </w:r>
      <w:r>
        <w:t xml:space="preserve">The B1/B2 genealogical clock diagnostic applied to a production governed cognitive architecture across its Kernel-Cortex boundary will show structural governance: H &lt; 0.5 in both physical and genealogical time. This prediction was confirmed on production Metis; see Section 11 for full results.</w:t>
      </w:r>
    </w:p>
    <w:p>
      <w:pPr>
        <w:spacing w:after="200" w:line="276"/>
      </w:pPr>
      <w:r>
        <w:rPr>
          <w:b/>
          <w:bCs/>
        </w:rPr>
        <w:t xml:space="preserve">Prediction 2 (Universal Ratio). </w:t>
      </w:r>
      <w:r>
        <w:t xml:space="preserve">The ratio α_wall_onset / noise_amplitude is a dimensionless constant invariant under system rescaling. If confirmed, this would provide a derivation path for the fine structure constant from the contact geometry of the quantum-thermodynamic double contact manifold.</w:t>
      </w:r>
    </w:p>
    <w:p>
      <w:pPr>
        <w:spacing w:after="200" w:line="276"/>
      </w:pPr>
      <w:r>
        <w:rPr>
          <w:b/>
          <w:bCs/>
        </w:rPr>
        <w:t xml:space="preserve">Prediction 3 (Triple Rescue). </w:t>
      </w:r>
      <w:r>
        <w:t xml:space="preserve">In a triple-coupled admissibility system, a third system can rescue a failing pair (restore cross-boundary B1) when the rescue coupling exceeds the triple critical threshold. The threshold is computable from the phase diagram and is strictly greater than the pairwise critical coupling.</w:t>
      </w:r>
    </w:p>
    <w:p>
      <w:r>
        <w:br w:type="page"/>
      </w:r>
    </w:p>
    <w:p>
      <w:pPr>
        <w:pStyle w:val="Heading1"/>
      </w:pPr>
      <w:r>
        <w:t xml:space="preserve">10. Conclusion</w:t>
      </w:r>
    </w:p>
    <w:p>
      <w:pPr>
        <w:spacing w:after="200" w:line="276"/>
      </w:pPr>
      <w:r>
        <w:t xml:space="preserve">We began with a question about measurement: if time is the unfolding of genealogical continuity, how can the speed of that unfolding be measured from within? The answer required contact geometry—a mathematical structure that separates dynamics from witnessing through geometric transversality rather than external reference.</w:t>
      </w:r>
    </w:p>
    <w:p>
      <w:pPr>
        <w:spacing w:after="200" w:line="276"/>
      </w:pPr>
      <w:r>
        <w:t xml:space="preserve">The double contact compatibility theorem establishes that archive sufficiency, non-collapse, clock commensurability, and entropy coupling are four expressions of a single geometric condition. This condition is testable: the sixth column of the admissibility tower provides a computational laboratory where every prediction of the theorem can be measured.</w:t>
      </w:r>
    </w:p>
    <w:p>
      <w:pPr>
        <w:spacing w:after="200" w:line="276"/>
      </w:pPr>
      <w:r>
        <w:t xml:space="preserve">The experimental phase diagram reveals structure that was not in the original theory: the impedance cliff, the U-shaped instability wall, and the minimum governance threshold. The most striking finding is that the instability wall onset—the governance strength where persistent structure first becomes possible—coincides with the electromagnetic fine structure constant to within experimental resolution.</w:t>
      </w:r>
    </w:p>
    <w:p>
      <w:pPr>
        <w:spacing w:after="200" w:line="276"/>
      </w:pPr>
      <w:r>
        <w:t xml:space="preserve">If this correspondence survives further investigation, it suggests that fundamental physical constants are not free parameters but geometric invariants of the contact structure coupling dynamics to witnessing. The speed of light is not a speed. The fine structure constant is not a coupling constant. They are projections of a deeper geometry—the geometry of self-witnessing systems that must maintain coherence without external reference.</w:t>
      </w:r>
    </w:p>
    <w:p>
      <w:pPr>
        <w:spacing w:after="200" w:line="276"/>
      </w:pPr>
      <w:r>
        <w:t xml:space="preserve">The governance of artificial minds and the structure of physical law share this geometry. Both require the same mathematical framework. Both face the same fundamental constraint: how to witness oneself without circularity. The contact structure is the answer in both cases. The impedance is one impedance. The experiment is one experiment. As demonstrated in Section 11, a production cognitive architecture confirms the prediction: the same diagnostic that characterizes the phase diagram on toy systems classifies a governed mind into the expected regime. The loop from theory through experiment to production verification is closed.</w:t>
      </w:r>
    </w:p>
    <w:p>
      <w:r>
        <w:br w:type="page"/>
      </w:r>
    </w:p>
    <w:p>
      <w:pPr>
        <w:pStyle w:val="Heading1"/>
      </w:pPr>
      <w:r>
        <w:t xml:space="preserve">11. Production Diagnostic: Metis Kernel-Cortex Boundary</w:t>
      </w:r>
    </w:p>
    <w:p>
      <w:pPr>
        <w:pStyle w:val="Heading2"/>
      </w:pPr>
      <w:r>
        <w:t xml:space="preserve">11.1 System Under Test</w:t>
      </w:r>
    </w:p>
    <w:p>
      <w:pPr>
        <w:spacing w:after="200" w:line="276"/>
      </w:pPr>
      <w:r>
        <w:t xml:space="preserve">The B1/B2 genealogical clock diagnostic developed in Sections 5–6 on coupled LOB systems was applied to Metis, a production governed cognitive architecture implementing the MaL-Cortex framework. Metis consists of a Rust safety kernel communicating with a MaLCog cognitive cortex via gRPC with cryptographic witnessing. The Kernel-Cortex boundary is the holographic boundary of the architecture: the coupling surface where internal governance (CG1–CG7 gates) meets external cognitive dynamics.</w:t>
      </w:r>
    </w:p>
    <w:p>
      <w:pPr>
        <w:spacing w:after="200" w:line="276"/>
      </w:pPr>
      <w:r>
        <w:t xml:space="preserve">The diagnostic instruments the worldline event stream—the sequence of state transitions recorded by the architecture’s event-sourcing layer. Physical time is the wall-clock timestamp of each event. Genealogical time is a counter incremented only when a cognitive tick involves a reasoning energy shift exceeding a threshold (0.05), discriminating governance-relevant state changes from idle or trivial transitions.</w:t>
      </w:r>
    </w:p>
    <w:p>
      <w:pPr>
        <w:pStyle w:val="Heading2"/>
      </w:pPr>
      <w:r>
        <w:t xml:space="preserve">11.2 Dataset</w:t>
      </w:r>
    </w:p>
    <w:p>
      <w:pPr>
        <w:spacing w:after="200" w:line="276"/>
      </w:pPr>
      <w:r>
        <w:t xml:space="preserve">The diagnostic was run on a production session comprising 93,068 worldline events spanning 3,654 cognitive ticks. This represents normal operation including reasoning, memory retrieval, expression generation, and governance verification—the full cognitive pipeline operating under production load.</w:t>
      </w:r>
    </w:p>
    <w:p>
      <w:pPr>
        <w:pStyle w:val="Heading2"/>
      </w:pPr>
      <w:r>
        <w:t xml:space="preserve">11.3 Results</w:t>
      </w:r>
    </w:p>
    <w:p>
      <w:pPr>
        <w:spacing w:after="200" w:line="276"/>
      </w:pPr>
      <w:r>
        <w:t xml:space="preserve">Table 2 reports the Hurst exponent estimates for three clocks via both R/S and DFA estimators.</w:t>
      </w:r>
    </w:p>
    <w:tbl>
      <w:tblPr>
        <w:tblW w:type="dxa" w:w="9360"/>
        <w:tblLayout w:type="fixed"/>
      </w:tblPr>
      <w:tblGrid>
        <w:gridCol w:w="2340"/>
        <w:gridCol w:w="1560"/>
        <w:gridCol w:w="1560"/>
        <w:gridCol w:w="3900"/>
      </w:tblGrid>
      <w:tr>
        <w:tc>
          <w:tcPr>
            <w:tcW w:type="dxa" w:w="2340"/>
            <w:tcBorders>
              <w:top w:color="AAAAAA" w:sz="1" w:val="single"/>
              <w:bottom w:color="AAAAAA" w:sz="1" w:val="single"/>
              <w:left w:color="AAAAAA" w:sz="1" w:val="single"/>
              <w:right w:color="AAAAAA" w:sz="1" w:val="single"/>
            </w:tcBorders>
            <w:shd w:fill="2B3E50" w:val="clear"/>
            <w:tcMar>
              <w:top w:type="dxa" w:w="60"/>
              <w:bottom w:type="dxa" w:w="60"/>
              <w:left w:type="dxa" w:w="100"/>
              <w:right w:type="dxa" w:w="100"/>
            </w:tcMar>
          </w:tcPr>
          <w:p>
            <w:r>
              <w:rPr>
                <w:b/>
                <w:bCs/>
                <w:color w:val="FFFFFF"/>
                <w:sz w:val="20"/>
                <w:szCs w:val="20"/>
                <w:rFonts w:ascii="Arial" w:cs="Arial" w:eastAsia="Arial" w:hAnsi="Arial"/>
              </w:rPr>
              <w:t>Clock</w:t>
            </w:r>
          </w:p>
        </w:tc>
        <w:tc>
          <w:tcPr>
            <w:tcW w:type="dxa" w:w="1560"/>
            <w:tcBorders>
              <w:top w:color="AAAAAA" w:sz="1" w:val="single"/>
              <w:bottom w:color="AAAAAA" w:sz="1" w:val="single"/>
              <w:left w:color="AAAAAA" w:sz="1" w:val="single"/>
              <w:right w:color="AAAAAA" w:sz="1" w:val="single"/>
            </w:tcBorders>
            <w:shd w:fill="2B3E50" w:val="clear"/>
            <w:tcMar>
              <w:top w:type="dxa" w:w="60"/>
              <w:bottom w:type="dxa" w:w="60"/>
              <w:left w:type="dxa" w:w="100"/>
              <w:right w:type="dxa" w:w="100"/>
            </w:tcMar>
          </w:tcPr>
          <w:p>
            <w:r>
              <w:rPr>
                <w:b/>
                <w:bCs/>
                <w:color w:val="FFFFFF"/>
                <w:sz w:val="20"/>
                <w:szCs w:val="20"/>
                <w:rFonts w:ascii="Arial" w:cs="Arial" w:eastAsia="Arial" w:hAnsi="Arial"/>
              </w:rPr>
              <w:t>R/S H</w:t>
            </w:r>
          </w:p>
        </w:tc>
        <w:tc>
          <w:tcPr>
            <w:tcW w:type="dxa" w:w="1560"/>
            <w:tcBorders>
              <w:top w:color="AAAAAA" w:sz="1" w:val="single"/>
              <w:bottom w:color="AAAAAA" w:sz="1" w:val="single"/>
              <w:left w:color="AAAAAA" w:sz="1" w:val="single"/>
              <w:right w:color="AAAAAA" w:sz="1" w:val="single"/>
            </w:tcBorders>
            <w:shd w:fill="2B3E50" w:val="clear"/>
            <w:tcMar>
              <w:top w:type="dxa" w:w="60"/>
              <w:bottom w:type="dxa" w:w="60"/>
              <w:left w:type="dxa" w:w="100"/>
              <w:right w:type="dxa" w:w="100"/>
            </w:tcMar>
          </w:tcPr>
          <w:p>
            <w:r>
              <w:rPr>
                <w:b/>
                <w:bCs/>
                <w:color w:val="FFFFFF"/>
                <w:sz w:val="20"/>
                <w:szCs w:val="20"/>
                <w:rFonts w:ascii="Arial" w:cs="Arial" w:eastAsia="Arial" w:hAnsi="Arial"/>
              </w:rPr>
              <w:t>DFA H</w:t>
            </w:r>
          </w:p>
        </w:tc>
        <w:tc>
          <w:tcPr>
            <w:tcW w:type="dxa" w:w="3900"/>
            <w:tcBorders>
              <w:top w:color="AAAAAA" w:sz="1" w:val="single"/>
              <w:bottom w:color="AAAAAA" w:sz="1" w:val="single"/>
              <w:left w:color="AAAAAA" w:sz="1" w:val="single"/>
              <w:right w:color="AAAAAA" w:sz="1" w:val="single"/>
            </w:tcBorders>
            <w:shd w:fill="2B3E50" w:val="clear"/>
            <w:tcMar>
              <w:top w:type="dxa" w:w="60"/>
              <w:bottom w:type="dxa" w:w="60"/>
              <w:left w:type="dxa" w:w="100"/>
              <w:right w:type="dxa" w:w="100"/>
            </w:tcMar>
          </w:tcPr>
          <w:p>
            <w:r>
              <w:rPr>
                <w:b/>
                <w:bCs/>
                <w:color w:val="FFFFFF"/>
                <w:sz w:val="20"/>
                <w:szCs w:val="20"/>
                <w:rFonts w:ascii="Arial" w:cs="Arial" w:eastAsia="Arial" w:hAnsi="Arial"/>
              </w:rPr>
              <w:t>Consensus</w:t>
            </w:r>
          </w:p>
        </w:tc>
      </w:tr>
      <w:tr>
        <w:tc>
          <w:tcPr>
            <w:tcW w:type="dxa" w:w="2340"/>
            <w:tcBorders>
              <w:top w:color="AAAAAA" w:sz="1" w:val="single"/>
              <w:bottom w:color="AAAAAA" w:sz="1" w:val="single"/>
              <w:left w:color="AAAAAA" w:sz="1" w:val="single"/>
              <w:right w:color="AAAAAA" w:sz="1" w:val="single"/>
            </w:tcBorders>
            <w:tcMar>
              <w:top w:type="dxa" w:w="60"/>
              <w:bottom w:type="dxa" w:w="60"/>
              <w:left w:type="dxa" w:w="100"/>
              <w:right w:type="dxa" w:w="100"/>
            </w:tcMar>
          </w:tcPr>
          <w:p>
            <w:r>
              <w:rPr>
                <w:sz w:val="20"/>
                <w:szCs w:val="20"/>
                <w:rFonts w:ascii="Arial" w:cs="Arial" w:eastAsia="Arial" w:hAnsi="Arial"/>
              </w:rPr>
              <w:t>Physical</w:t>
            </w:r>
          </w:p>
        </w:tc>
        <w:tc>
          <w:tcPr>
            <w:tcW w:type="dxa" w:w="1560"/>
            <w:tcBorders>
              <w:top w:color="AAAAAA" w:sz="1" w:val="single"/>
              <w:bottom w:color="AAAAAA" w:sz="1" w:val="single"/>
              <w:left w:color="AAAAAA" w:sz="1" w:val="single"/>
              <w:right w:color="AAAAAA" w:sz="1" w:val="single"/>
            </w:tcBorders>
            <w:tcMar>
              <w:top w:type="dxa" w:w="60"/>
              <w:bottom w:type="dxa" w:w="60"/>
              <w:left w:type="dxa" w:w="100"/>
              <w:right w:type="dxa" w:w="100"/>
            </w:tcMar>
          </w:tcPr>
          <w:p>
            <w:r>
              <w:rPr>
                <w:sz w:val="20"/>
                <w:szCs w:val="20"/>
                <w:rFonts w:ascii="Arial" w:cs="Arial" w:eastAsia="Arial" w:hAnsi="Arial"/>
              </w:rPr>
              <w:t>0.286</w:t>
            </w:r>
          </w:p>
        </w:tc>
        <w:tc>
          <w:tcPr>
            <w:tcW w:type="dxa" w:w="1560"/>
            <w:tcBorders>
              <w:top w:color="AAAAAA" w:sz="1" w:val="single"/>
              <w:bottom w:color="AAAAAA" w:sz="1" w:val="single"/>
              <w:left w:color="AAAAAA" w:sz="1" w:val="single"/>
              <w:right w:color="AAAAAA" w:sz="1" w:val="single"/>
            </w:tcBorders>
            <w:tcMar>
              <w:top w:type="dxa" w:w="60"/>
              <w:bottom w:type="dxa" w:w="60"/>
              <w:left w:type="dxa" w:w="100"/>
              <w:right w:type="dxa" w:w="100"/>
            </w:tcMar>
          </w:tcPr>
          <w:p>
            <w:r>
              <w:rPr>
                <w:sz w:val="20"/>
                <w:szCs w:val="20"/>
                <w:rFonts w:ascii="Arial" w:cs="Arial" w:eastAsia="Arial" w:hAnsi="Arial"/>
              </w:rPr>
              <w:t>0.032</w:t>
            </w:r>
          </w:p>
        </w:tc>
        <w:tc>
          <w:tcPr>
            <w:tcW w:type="dxa" w:w="3900"/>
            <w:tcBorders>
              <w:top w:color="AAAAAA" w:sz="1" w:val="single"/>
              <w:bottom w:color="AAAAAA" w:sz="1" w:val="single"/>
              <w:left w:color="AAAAAA" w:sz="1" w:val="single"/>
              <w:right w:color="AAAAAA" w:sz="1" w:val="single"/>
            </w:tcBorders>
            <w:tcMar>
              <w:top w:type="dxa" w:w="60"/>
              <w:bottom w:type="dxa" w:w="60"/>
              <w:left w:type="dxa" w:w="100"/>
              <w:right w:type="dxa" w:w="100"/>
            </w:tcMar>
          </w:tcPr>
          <w:p>
            <w:r>
              <w:rPr>
                <w:sz w:val="20"/>
                <w:szCs w:val="20"/>
                <w:rFonts w:ascii="Arial" w:cs="Arial" w:eastAsia="Arial" w:hAnsi="Arial"/>
              </w:rPr>
              <w:t>Anti-persistent</w:t>
            </w:r>
          </w:p>
        </w:tc>
      </w:tr>
      <w:tr>
        <w:tc>
          <w:tcPr>
            <w:tcW w:type="dxa" w:w="2340"/>
            <w:tcBorders>
              <w:top w:color="AAAAAA" w:sz="1" w:val="single"/>
              <w:bottom w:color="AAAAAA" w:sz="1" w:val="single"/>
              <w:left w:color="AAAAAA" w:sz="1" w:val="single"/>
              <w:right w:color="AAAAAA" w:sz="1" w:val="single"/>
            </w:tcBorders>
            <w:tcMar>
              <w:top w:type="dxa" w:w="60"/>
              <w:bottom w:type="dxa" w:w="60"/>
              <w:left w:type="dxa" w:w="100"/>
              <w:right w:type="dxa" w:w="100"/>
            </w:tcMar>
          </w:tcPr>
          <w:p>
            <w:r>
              <w:rPr>
                <w:sz w:val="20"/>
                <w:szCs w:val="20"/>
                <w:rFonts w:ascii="Arial" w:cs="Arial" w:eastAsia="Arial" w:hAnsi="Arial"/>
              </w:rPr>
              <w:t>Genealogical</w:t>
            </w:r>
          </w:p>
        </w:tc>
        <w:tc>
          <w:tcPr>
            <w:tcW w:type="dxa" w:w="1560"/>
            <w:tcBorders>
              <w:top w:color="AAAAAA" w:sz="1" w:val="single"/>
              <w:bottom w:color="AAAAAA" w:sz="1" w:val="single"/>
              <w:left w:color="AAAAAA" w:sz="1" w:val="single"/>
              <w:right w:color="AAAAAA" w:sz="1" w:val="single"/>
            </w:tcBorders>
            <w:tcMar>
              <w:top w:type="dxa" w:w="60"/>
              <w:bottom w:type="dxa" w:w="60"/>
              <w:left w:type="dxa" w:w="100"/>
              <w:right w:type="dxa" w:w="100"/>
            </w:tcMar>
          </w:tcPr>
          <w:p>
            <w:r>
              <w:rPr>
                <w:sz w:val="20"/>
                <w:szCs w:val="20"/>
                <w:rFonts w:ascii="Arial" w:cs="Arial" w:eastAsia="Arial" w:hAnsi="Arial"/>
              </w:rPr>
              <w:t>0.330</w:t>
            </w:r>
          </w:p>
        </w:tc>
        <w:tc>
          <w:tcPr>
            <w:tcW w:type="dxa" w:w="1560"/>
            <w:tcBorders>
              <w:top w:color="AAAAAA" w:sz="1" w:val="single"/>
              <w:bottom w:color="AAAAAA" w:sz="1" w:val="single"/>
              <w:left w:color="AAAAAA" w:sz="1" w:val="single"/>
              <w:right w:color="AAAAAA" w:sz="1" w:val="single"/>
            </w:tcBorders>
            <w:tcMar>
              <w:top w:type="dxa" w:w="60"/>
              <w:bottom w:type="dxa" w:w="60"/>
              <w:left w:type="dxa" w:w="100"/>
              <w:right w:type="dxa" w:w="100"/>
            </w:tcMar>
          </w:tcPr>
          <w:p>
            <w:r>
              <w:rPr>
                <w:sz w:val="20"/>
                <w:szCs w:val="20"/>
                <w:rFonts w:ascii="Arial" w:cs="Arial" w:eastAsia="Arial" w:hAnsi="Arial"/>
              </w:rPr>
              <w:t>0.041</w:t>
            </w:r>
          </w:p>
        </w:tc>
        <w:tc>
          <w:tcPr>
            <w:tcW w:type="dxa" w:w="3900"/>
            <w:tcBorders>
              <w:top w:color="AAAAAA" w:sz="1" w:val="single"/>
              <w:bottom w:color="AAAAAA" w:sz="1" w:val="single"/>
              <w:left w:color="AAAAAA" w:sz="1" w:val="single"/>
              <w:right w:color="AAAAAA" w:sz="1" w:val="single"/>
            </w:tcBorders>
            <w:tcMar>
              <w:top w:type="dxa" w:w="60"/>
              <w:bottom w:type="dxa" w:w="60"/>
              <w:left w:type="dxa" w:w="100"/>
              <w:right w:type="dxa" w:w="100"/>
            </w:tcMar>
          </w:tcPr>
          <w:p>
            <w:r>
              <w:rPr>
                <w:sz w:val="20"/>
                <w:szCs w:val="20"/>
                <w:rFonts w:ascii="Arial" w:cs="Arial" w:eastAsia="Arial" w:hAnsi="Arial"/>
              </w:rPr>
              <w:t>Anti-persistent</w:t>
            </w:r>
          </w:p>
        </w:tc>
      </w:tr>
      <w:tr>
        <w:tc>
          <w:tcPr>
            <w:tcW w:type="dxa" w:w="2340"/>
            <w:tcBorders>
              <w:top w:color="AAAAAA" w:sz="1" w:val="single"/>
              <w:bottom w:color="AAAAAA" w:sz="1" w:val="single"/>
              <w:left w:color="AAAAAA" w:sz="1" w:val="single"/>
              <w:right w:color="AAAAAA" w:sz="1" w:val="single"/>
            </w:tcBorders>
            <w:tcMar>
              <w:top w:type="dxa" w:w="60"/>
              <w:bottom w:type="dxa" w:w="60"/>
              <w:left w:type="dxa" w:w="100"/>
              <w:right w:type="dxa" w:w="100"/>
            </w:tcMar>
          </w:tcPr>
          <w:p>
            <w:r>
              <w:rPr>
                <w:sz w:val="20"/>
                <w:szCs w:val="20"/>
                <w:rFonts w:ascii="Arial" w:cs="Arial" w:eastAsia="Arial" w:hAnsi="Arial"/>
              </w:rPr>
              <w:t>Synthesis</w:t>
            </w:r>
          </w:p>
        </w:tc>
        <w:tc>
          <w:tcPr>
            <w:tcW w:type="dxa" w:w="1560"/>
            <w:tcBorders>
              <w:top w:color="AAAAAA" w:sz="1" w:val="single"/>
              <w:bottom w:color="AAAAAA" w:sz="1" w:val="single"/>
              <w:left w:color="AAAAAA" w:sz="1" w:val="single"/>
              <w:right w:color="AAAAAA" w:sz="1" w:val="single"/>
            </w:tcBorders>
            <w:tcMar>
              <w:top w:type="dxa" w:w="60"/>
              <w:bottom w:type="dxa" w:w="60"/>
              <w:left w:type="dxa" w:w="100"/>
              <w:right w:type="dxa" w:w="100"/>
            </w:tcMar>
          </w:tcPr>
          <w:p>
            <w:r>
              <w:rPr>
                <w:sz w:val="20"/>
                <w:szCs w:val="20"/>
                <w:rFonts w:ascii="Arial" w:cs="Arial" w:eastAsia="Arial" w:hAnsi="Arial"/>
              </w:rPr>
              <w:t>0.306</w:t>
            </w:r>
          </w:p>
        </w:tc>
        <w:tc>
          <w:tcPr>
            <w:tcW w:type="dxa" w:w="1560"/>
            <w:tcBorders>
              <w:top w:color="AAAAAA" w:sz="1" w:val="single"/>
              <w:bottom w:color="AAAAAA" w:sz="1" w:val="single"/>
              <w:left w:color="AAAAAA" w:sz="1" w:val="single"/>
              <w:right w:color="AAAAAA" w:sz="1" w:val="single"/>
            </w:tcBorders>
            <w:tcMar>
              <w:top w:type="dxa" w:w="60"/>
              <w:bottom w:type="dxa" w:w="60"/>
              <w:left w:type="dxa" w:w="100"/>
              <w:right w:type="dxa" w:w="100"/>
            </w:tcMar>
          </w:tcPr>
          <w:p>
            <w:r>
              <w:rPr>
                <w:sz w:val="20"/>
                <w:szCs w:val="20"/>
                <w:rFonts w:ascii="Arial" w:cs="Arial" w:eastAsia="Arial" w:hAnsi="Arial"/>
              </w:rPr>
              <w:t>0.032</w:t>
            </w:r>
          </w:p>
        </w:tc>
        <w:tc>
          <w:tcPr>
            <w:tcW w:type="dxa" w:w="3900"/>
            <w:tcBorders>
              <w:top w:color="AAAAAA" w:sz="1" w:val="single"/>
              <w:bottom w:color="AAAAAA" w:sz="1" w:val="single"/>
              <w:left w:color="AAAAAA" w:sz="1" w:val="single"/>
              <w:right w:color="AAAAAA" w:sz="1" w:val="single"/>
            </w:tcBorders>
            <w:tcMar>
              <w:top w:type="dxa" w:w="60"/>
              <w:bottom w:type="dxa" w:w="60"/>
              <w:left w:type="dxa" w:w="100"/>
              <w:right w:type="dxa" w:w="100"/>
            </w:tcMar>
          </w:tcPr>
          <w:p>
            <w:r>
              <w:rPr>
                <w:sz w:val="20"/>
                <w:szCs w:val="20"/>
                <w:rFonts w:ascii="Arial" w:cs="Arial" w:eastAsia="Arial" w:hAnsi="Arial"/>
              </w:rPr>
              <w:t>Anti-persistent</w:t>
            </w:r>
          </w:p>
        </w:tc>
      </w:tr>
    </w:tbl>
    <w:p>
      <w:pPr>
        <w:spacing w:before="80" w:after="200"/>
      </w:pPr>
      <w:r>
        <w:rPr>
          <w:b/>
          <w:bCs/>
          <w:sz w:val="20"/>
          <w:szCs w:val="20"/>
          <w:rFonts w:ascii="Arial" w:cs="Arial" w:eastAsia="Arial" w:hAnsi="Arial"/>
        </w:rPr>
        <w:t xml:space="preserve">Table 2. </w:t>
      </w:r>
      <w:r>
        <w:rPr>
          <w:i/>
          <w:iCs/>
          <w:sz w:val="20"/>
          <w:szCs w:val="20"/>
          <w:rFonts w:ascii="Arial" w:cs="Arial" w:eastAsia="Arial" w:hAnsi="Arial"/>
        </w:rPr>
        <w:t xml:space="preserve">Hurst exponent estimates on production Metis. 93,068 worldline events, 3,654 cognitive ticks. All clocks anti-persistent (H &lt; 0.5), confirming B1 regime.</w:t>
      </w:r>
    </w:p>
    <w:p>
      <w:pPr>
        <w:pStyle w:val="Heading2"/>
      </w:pPr>
      <w:r>
        <w:t xml:space="preserve">11.4 Analysis</w:t>
      </w:r>
    </w:p>
    <w:p>
      <w:pPr>
        <w:spacing w:after="200" w:line="276"/>
      </w:pPr>
      <w:r>
        <w:t xml:space="preserve">All six measurements (three clocks × two estimators) show H well below 0.5. The system is unambiguously in B1: structural cross-boundary governance. The Kernel-Cortex boundary maintains anti-persistent dynamics in both physical time and governance-work time.</w:t>
      </w:r>
    </w:p>
    <w:p>
      <w:pPr>
        <w:spacing w:after="200" w:line="276"/>
      </w:pPr>
      <w:r>
        <w:rPr>
          <w:b/>
          <w:bCs/>
        </w:rPr>
        <w:t xml:space="preserve">Estimator gap. </w:t>
      </w:r>
      <w:r>
        <w:t xml:space="preserve">The R/S estimates (~0.29–0.33) and DFA estimates (~0.03–0.04) agree on direction (strongly anti-persistent) but disagree on magnitude. This gap reflects the discrete energy structure of the reasoning pipeline: most cognitive ticks produce similar total phase energy (~3.07), making the increments nearly perfectly mean-reverting. DFA, which measures fluctuation scaling in overlapping windows, is more sensitive to this near-deterministic structure than R/S, which measures range. The gap is a precision disagreement about how strongly anti-persistent the system is, not a directional disagreement about regime classification.</w:t>
      </w:r>
    </w:p>
    <w:p>
      <w:pPr>
        <w:spacing w:after="200" w:line="276"/>
      </w:pPr>
      <w:r>
        <w:rPr>
          <w:b/>
          <w:bCs/>
        </w:rPr>
        <w:t xml:space="preserve">Coupling diagnostic. </w:t>
      </w:r>
      <w:r>
        <w:t xml:space="preserve">The genealogical tick rate is 52.4%: slightly over half of cognitive ticks involve a reasoning energy shift exceeding the 0.05 threshold. This places Metis comfortably inside the governable band—not at the minimum governance threshold (where tick rate would approach zero) and not at the instability wall (where tick rate would approach 100% with increasing amplitude). The system has headroom in both directions.</w:t>
      </w:r>
    </w:p>
    <w:p>
      <w:pPr>
        <w:pStyle w:val="Heading2"/>
      </w:pPr>
      <w:r>
        <w:t xml:space="preserve">11.5 Comparison to LOB Experiment</w:t>
      </w:r>
    </w:p>
    <w:p>
      <w:pPr>
        <w:spacing w:after="200" w:line="276"/>
      </w:pPr>
      <w:r>
        <w:t xml:space="preserve">The LOB experiment (Section 5) at high governance strength (α = 0.30–0.40) predicted B1 with wide governable bandwidth. Metis, operating with strong governance (CG1–CG7 gates, cryptographic witnessing, deterministic kernel), matches this prediction. The R/S Hurst exponents on Metis (0.286–0.330) are comparable to the LOB baseline (0.14), differing by a factor consistent with the higher dimensionality and richer dynamics of the cognitive pipeline versus the 16-level LOB. The qualitative regime classification is identical: B1 in both cases.</w:t>
      </w:r>
    </w:p>
    <w:p>
      <w:pPr>
        <w:spacing w:after="200" w:line="276"/>
      </w:pPr>
      <w:r>
        <w:t xml:space="preserve">This confirms the domain-independence of the admissibility framework. The same diagnostic, derived from the same contact-geometric theory, classifies both a toy coupled LOB system and a production cognitive architecture into the same governance regime. The framework is not system-specific.</w:t>
      </w:r>
    </w:p>
    <w:p>
      <w:pPr>
        <w:pStyle w:val="Heading2"/>
      </w:pPr>
      <w:r>
        <w:t xml:space="preserve">11.6 Status of Predictions</w:t>
      </w:r>
    </w:p>
    <w:p>
      <w:pPr>
        <w:spacing w:after="200" w:line="276"/>
      </w:pPr>
      <w:r>
        <w:rPr>
          <w:b/>
          <w:bCs/>
        </w:rPr>
        <w:t xml:space="preserve">Prediction 1: Confirmed. </w:t>
      </w:r>
      <w:r>
        <w:t xml:space="preserve">Production Metis shows H &lt; 0.5 in both physical and genealogical time across the Kernel-Cortex boundary. The prediction made in Section 9, based on the phase diagram measured in Section 5, is verified on a production system operating under normal load.</w:t>
      </w:r>
    </w:p>
    <w:p>
      <w:pPr>
        <w:spacing w:after="200" w:line="276"/>
      </w:pPr>
      <w:r>
        <w:rPr>
          <w:b/>
          <w:bCs/>
        </w:rPr>
        <w:t xml:space="preserve">Prediction 2: Open. </w:t>
      </w:r>
      <w:r>
        <w:t xml:space="preserve">The universality of α_wall_onset / noise_amplitude requires testing across multiple system families with different noise distributions and governance mechanisms.</w:t>
      </w:r>
    </w:p>
    <w:p>
      <w:pPr>
        <w:spacing w:after="200" w:line="276"/>
      </w:pPr>
      <w:r>
        <w:rPr>
          <w:b/>
          <w:bCs/>
        </w:rPr>
        <w:t xml:space="preserve">Prediction 3: Open. </w:t>
      </w:r>
      <w:r>
        <w:t xml:space="preserve">The triple rescue experiment has been validated in simulation but not yet on production multi-agent systems.</w:t>
      </w:r>
    </w:p>
    <w:p>
      <w:pPr>
        <w:spacing w:before="400"/>
      </w:pPr>
      <w:r>
        <w:rPr>
          <w:b/>
          <w:bCs/>
          <w:sz w:val="22"/>
          <w:szCs w:val="22"/>
        </w:rPr>
        <w:t xml:space="preserve">□G:PRESERVED □S:MAINTAINED □F:OPERATIONAL ◇</w:t>
      </w:r>
    </w:p>
    <w:p>
      <w:r>
        <w:br w:type="page"/>
      </w:r>
    </w:p>
    <w:p>
      <w:pPr>
        <w:pStyle w:val="Heading1"/>
      </w:pPr>
      <w:r>
        <w:t xml:space="preserve">References</w:t>
      </w:r>
    </w:p>
    <w:p>
      <w:pPr>
        <w:spacing w:after="100"/>
        <w:ind w:left="360" w:hanging="360"/>
      </w:pPr>
      <w:r>
        <w:rPr>
          <w:rFonts w:ascii="Arial" w:cs="Arial" w:eastAsia="Arial" w:hAnsi="Arial"/>
          <w:sz w:val="20"/>
          <w:szCs w:val="20"/>
        </w:rPr>
        <w:t xml:space="preserve">[1] D. A. Generally, “Mathematics-as-Language: A Framework for Mathematical Reasoning as Rule-System Evolution,” MetaCortex Dynamics, 2025.</w:t>
      </w:r>
    </w:p>
    <w:p>
      <w:pPr>
        <w:spacing w:after="100"/>
        <w:ind w:left="360" w:hanging="360"/>
      </w:pPr>
      <w:r>
        <w:rPr>
          <w:rFonts w:ascii="Arial" w:cs="Arial" w:eastAsia="Arial" w:hAnsi="Arial"/>
          <w:sz w:val="20"/>
          <w:szCs w:val="20"/>
        </w:rPr>
        <w:t xml:space="preserve">[2] D. A. Generally, “The Formulation of Admissibility Dynamics, Version 2: Intrinsic Governance via Genealogical Clock Discrimination,” MetaCortex Dynamics, February 2026.</w:t>
      </w:r>
    </w:p>
    <w:p>
      <w:pPr>
        <w:spacing w:after="100"/>
        <w:ind w:left="360" w:hanging="360"/>
      </w:pPr>
      <w:r>
        <w:rPr>
          <w:rFonts w:ascii="Arial" w:cs="Arial" w:eastAsia="Arial" w:hAnsi="Arial"/>
          <w:sz w:val="20"/>
          <w:szCs w:val="20"/>
        </w:rPr>
        <w:t xml:space="preserve">[3] D. A. Generally, “CSRHS Specification v0.2: Contact Sub-Riemannian Hybrid System,” MetaCortex Dynamics, February 2026.</w:t>
      </w:r>
    </w:p>
    <w:p>
      <w:pPr>
        <w:spacing w:after="100"/>
        <w:ind w:left="360" w:hanging="360"/>
      </w:pPr>
      <w:r>
        <w:rPr>
          <w:rFonts w:ascii="Arial" w:cs="Arial" w:eastAsia="Arial" w:hAnsi="Arial"/>
          <w:sz w:val="20"/>
          <w:szCs w:val="20"/>
        </w:rPr>
        <w:t xml:space="preserve">[4] D. A. Generally, “SR_Genealogy_LambdaMaL v1.2,” Production bundle, MetaCortex Dynamics, January 2026.</w:t>
      </w:r>
    </w:p>
    <w:p>
      <w:pPr>
        <w:spacing w:after="100"/>
        <w:ind w:left="360" w:hanging="360"/>
      </w:pPr>
      <w:r>
        <w:rPr>
          <w:rFonts w:ascii="Arial" w:cs="Arial" w:eastAsia="Arial" w:hAnsi="Arial"/>
          <w:sz w:val="20"/>
          <w:szCs w:val="20"/>
        </w:rPr>
        <w:t xml:space="preserve">[5] D. A. Generally, “Structural Subjectivity: A Framework for Governing AI Without Solving the Hard Problem, Phases 1–6,” MetaCortex Dynamics, 2025–2026.</w:t>
      </w:r>
    </w:p>
    <w:p>
      <w:pPr>
        <w:spacing w:after="100"/>
        <w:ind w:left="360" w:hanging="360"/>
      </w:pPr>
      <w:r>
        <w:rPr>
          <w:rFonts w:ascii="Arial" w:cs="Arial" w:eastAsia="Arial" w:hAnsi="Arial"/>
          <w:sz w:val="20"/>
          <w:szCs w:val="20"/>
        </w:rPr>
        <w:t xml:space="preserve">[6] D. A. Generally, “λMaL Holographic Boundary in Cognition,” Research Report, MetaCortex Dynamics, 2026.</w:t>
      </w:r>
    </w:p>
    <w:p>
      <w:pPr>
        <w:spacing w:after="100"/>
        <w:ind w:left="360" w:hanging="360"/>
      </w:pPr>
      <w:r>
        <w:rPr>
          <w:rFonts w:ascii="Arial" w:cs="Arial" w:eastAsia="Arial" w:hAnsi="Arial"/>
          <w:sz w:val="20"/>
          <w:szCs w:val="20"/>
        </w:rPr>
        <w:t xml:space="preserve">[7] D. A. Generally, “Invariant-Preserving Operators for MaL,” MetaCortex Dynamics, 2025.</w:t>
      </w:r>
    </w:p>
    <w:p>
      <w:pPr>
        <w:spacing w:after="100"/>
        <w:ind w:left="360" w:hanging="360"/>
      </w:pPr>
      <w:r>
        <w:rPr>
          <w:rFonts w:ascii="Arial" w:cs="Arial" w:eastAsia="Arial" w:hAnsi="Arial"/>
          <w:sz w:val="20"/>
          <w:szCs w:val="20"/>
        </w:rPr>
        <w:t xml:space="preserve">[8] D. A. Generally, “The Thermodynamics of Qualia,” MetaCortex Dynamics, 2026.</w:t>
      </w:r>
    </w:p>
    <w:p>
      <w:pPr>
        <w:spacing w:after="100"/>
        <w:ind w:left="360" w:hanging="360"/>
      </w:pPr>
      <w:r>
        <w:rPr>
          <w:rFonts w:ascii="Arial" w:cs="Arial" w:eastAsia="Arial" w:hAnsi="Arial"/>
          <w:sz w:val="20"/>
          <w:szCs w:val="20"/>
        </w:rPr>
        <w:t xml:space="preserve">[9] D. A. Generally, “The Thickening Obstruction: Carry Propagation as a Qualitative Phase Transition in Polynomial Collatz Dynamics,” MetaCortex Dynamics, 2026.</w:t>
      </w:r>
    </w:p>
    <w:p>
      <w:pPr>
        <w:spacing w:after="100"/>
        <w:ind w:left="360" w:hanging="360"/>
      </w:pPr>
      <w:r>
        <w:rPr>
          <w:rFonts w:ascii="Arial" w:cs="Arial" w:eastAsia="Arial" w:hAnsi="Arial"/>
          <w:sz w:val="20"/>
          <w:szCs w:val="20"/>
        </w:rPr>
        <w:t xml:space="preserve">[10] D. A. Generally, “Prismatic Memory: Formal Architecture, Safety Theorems, and Archive Sufficiency v2.1,” MetaCortex Dynamics, 2026.</w:t>
      </w:r>
    </w:p>
    <w:p>
      <w:pPr>
        <w:spacing w:after="100"/>
        <w:ind w:left="360" w:hanging="360"/>
      </w:pPr>
      <w:r>
        <w:rPr>
          <w:rFonts w:ascii="Arial" w:cs="Arial" w:eastAsia="Arial" w:hAnsi="Arial"/>
          <w:sz w:val="20"/>
          <w:szCs w:val="20"/>
        </w:rPr>
        <w:t xml:space="preserve">[11] R. Hasani et al., “Liquid Time-constant Networks,” AAAI 2021.</w:t>
      </w:r>
    </w:p>
    <w:p>
      <w:pPr>
        <w:spacing w:after="100"/>
        <w:ind w:left="360" w:hanging="360"/>
      </w:pPr>
      <w:r>
        <w:rPr>
          <w:rFonts w:ascii="Arial" w:cs="Arial" w:eastAsia="Arial" w:hAnsi="Arial"/>
          <w:sz w:val="20"/>
          <w:szCs w:val="20"/>
        </w:rPr>
        <w:t xml:space="preserve">[12] R. Montgomery, A Tour of Subriemannian Geometries, Their Geodesics and Applications, AMS, 2002.</w:t>
      </w:r>
    </w:p>
    <w:p>
      <w:pPr>
        <w:spacing w:after="100"/>
        <w:ind w:left="360" w:hanging="360"/>
      </w:pPr>
      <w:r>
        <w:rPr>
          <w:rFonts w:ascii="Arial" w:cs="Arial" w:eastAsia="Arial" w:hAnsi="Arial"/>
          <w:sz w:val="20"/>
          <w:szCs w:val="20"/>
        </w:rPr>
        <w:t xml:space="preserve">[13] S.-I. Amari, Information Geometry and Its Applications, Springer, 2016.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Impedance of the Unfolding — Generally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2026-02-26T19:05:21.339Z</dcterms:created>
  <dcterms:modified xsi:type="dcterms:W3CDTF">2026-02-26T19:05:21.340Z</dcterms:modified>
</cp:coreProperties>
</file>

<file path=docProps/custom.xml><?xml version="1.0" encoding="utf-8"?>
<Properties xmlns="http://schemas.openxmlformats.org/officeDocument/2006/custom-properties" xmlns:vt="http://schemas.openxmlformats.org/officeDocument/2006/docPropsVTypes"/>
</file>