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200"/>
        <w:jc w:val="center"/>
      </w:pPr>
      <w:r>
        <w:rPr>
          <w:rFonts w:ascii="Times New Roman" w:cs="Times New Roman" w:eastAsia="Times New Roman" w:hAnsi="Times New Roman"/>
          <w:b/>
          <w:bCs/>
          <w:sz w:val="44"/>
          <w:szCs w:val="44"/>
        </w:rPr>
        <w:t xml:space="preserve">The Constructive Substrate</w:t>
      </w:r>
    </w:p>
    <w:p>
      <w:pPr>
        <w:spacing w:after="100"/>
        <w:jc w:val="center"/>
      </w:pPr>
      <w:r>
        <w:rPr>
          <w:rFonts w:ascii="Times New Roman" w:cs="Times New Roman" w:eastAsia="Times New Roman" w:hAnsi="Times New Roman"/>
          <w:sz w:val="28"/>
          <w:szCs w:val="28"/>
        </w:rPr>
        <w:t xml:space="preserve">Forced Geometry, Deterministic Flex, and Projection Loss</w:t>
      </w:r>
    </w:p>
    <w:p>
      <w:pPr>
        <w:spacing w:after="100"/>
        <w:jc w:val="center"/>
      </w:pPr>
      <w:r>
        <w:rPr>
          <w:rFonts w:ascii="Times New Roman" w:cs="Times New Roman" w:eastAsia="Times New Roman" w:hAnsi="Times New Roman"/>
          <w:sz w:val="28"/>
          <w:szCs w:val="28"/>
        </w:rPr>
        <w:t xml:space="preserve">on a Single Manifold</w:t>
      </w:r>
    </w:p>
    <w:p>
      <w:pPr>
        <w:spacing w:after="100"/>
      </w:pPr>
    </w:p>
    <w:p>
      <w:pPr>
        <w:spacing w:after="100"/>
      </w:pPr>
    </w:p>
    <w:p>
      <w:pPr>
        <w:spacing w:after="100"/>
        <w:jc w:val="center"/>
      </w:pPr>
      <w:r>
        <w:rPr>
          <w:rFonts w:ascii="Times New Roman" w:cs="Times New Roman" w:eastAsia="Times New Roman" w:hAnsi="Times New Roman"/>
          <w:sz w:val="26"/>
          <w:szCs w:val="26"/>
        </w:rPr>
        <w:t xml:space="preserve">Devon A. Generally</w:t>
      </w:r>
    </w:p>
    <w:p>
      <w:pPr>
        <w:spacing w:after="100"/>
        <w:jc w:val="center"/>
      </w:pPr>
      <w:r>
        <w:rPr>
          <w:rFonts w:ascii="Times New Roman" w:cs="Times New Roman" w:eastAsia="Times New Roman" w:hAnsi="Times New Roman"/>
          <w:i/>
          <w:iCs/>
          <w:sz w:val="24"/>
          <w:szCs w:val="24"/>
        </w:rPr>
        <w:t xml:space="preserve">Principal Investigator, MetaCortex Dynamics DAO</w:t>
      </w:r>
    </w:p>
    <w:p>
      <w:pPr>
        <w:spacing w:after="100"/>
      </w:pPr>
    </w:p>
    <w:p>
      <w:pPr>
        <w:spacing w:after="100"/>
        <w:jc w:val="center"/>
      </w:pPr>
      <w:r>
        <w:rPr>
          <w:rFonts w:ascii="Times New Roman" w:cs="Times New Roman" w:eastAsia="Times New Roman" w:hAnsi="Times New Roman"/>
          <w:i/>
          <w:iCs/>
          <w:sz w:val="24"/>
          <w:szCs w:val="24"/>
        </w:rPr>
        <w:t xml:space="preserve">April 2026</w:t>
      </w:r>
    </w:p>
    <w:p>
      <w:pPr>
        <w:spacing w:after="100"/>
      </w:pPr>
    </w:p>
    <w:p>
      <w:pPr>
        <w:spacing w:after="100"/>
      </w:pPr>
    </w:p>
    <w:p>
      <w:pPr>
        <w:spacing w:after="100"/>
      </w:pPr>
    </w:p>
    <w:p>
      <w:pPr>
        <w:spacing w:after="200"/>
        <w:jc w:val="center"/>
      </w:pPr>
      <w:r>
        <w:rPr>
          <w:rFonts w:ascii="Times New Roman" w:cs="Times New Roman" w:eastAsia="Times New Roman" w:hAnsi="Times New Roman"/>
          <w:b/>
          <w:bCs/>
          <w:sz w:val="24"/>
          <w:szCs w:val="24"/>
        </w:rPr>
        <w:t xml:space="preserve">Abstract</w:t>
      </w:r>
    </w:p>
    <w:p>
      <w:pPr>
        <w:spacing w:after="200"/>
        <w:ind w:firstLine="360"/>
        <w:jc w:val="both"/>
      </w:pPr>
      <w:r>
        <w:rPr>
          <w:rFonts w:ascii="Times New Roman" w:cs="Times New Roman" w:eastAsia="Times New Roman" w:hAnsi="Times New Roman"/>
          <w:sz w:val="24"/>
          <w:szCs w:val="24"/>
        </w:rPr>
        <w:t xml:space="preserve">We derive the unique minimal geometry entailed by the constitutive conditions of projection. Beginning from the irreducibility of three continuity modalities </w:t>
      </w:r>
      <w:r>
        <w:rPr>
          <w:rFonts w:ascii="Times New Roman" w:cs="Times New Roman" w:eastAsia="Times New Roman" w:hAnsi="Times New Roman"/>
          <w:sz w:val="24"/>
          <w:szCs w:val="24"/>
        </w:rPr>
        <w:t xml:space="preserve">(genealogical, structural, functional) </w:t>
      </w:r>
      <w:r>
        <w:rPr>
          <w:rFonts w:ascii="Times New Roman" w:cs="Times New Roman" w:eastAsia="Times New Roman" w:hAnsi="Times New Roman"/>
          <w:sz w:val="24"/>
          <w:szCs w:val="24"/>
        </w:rPr>
        <w:t xml:space="preserve">and the theorem-proved counts of 15 invariant operators and 7 interrogative witnesses, we show that the regular dodecahedron is the forced global carrier, its icosahedral dual provides the local triangular grammar, and repeated triadic closure yields hexagonal constructive cells on a flat development. A deterministic energy-monotone flex law governs the substrate dynamics. A projection law establishes that observation is partial by construction: the observer, made of the same substrate, can only sample it through projections that are themselves flex patterns, producing probability as projection loss rather than substrate indeterminacy. The golden ratio enters the carrier dynamics spectrally through the irreducible representations of the icosahedral symmetry group, appearing as eigenvalues of the carrier Laplacian. We prove that no face-local synchronous equivariant law can guarantee universal ground-state convergence, identify the exact obstruction as locally-satisfied faces requiring globally-coordinated movement, and construct an orbit-global carrier law with exhaustively-verified universal convergence in at most four steps. The substrate is not a medium postulated beneath physics. It is a forced geometric closure theorem.</w:t>
      </w:r>
    </w:p>
    <w:p>
      <w:r>
        <w:br w:type="page"/>
      </w:r>
    </w:p>
    <w:p>
      <w:pPr>
        <w:pStyle w:val="Heading1"/>
        <w:spacing w:after="200" w:before="400"/>
      </w:pPr>
      <w:r>
        <w:rPr>
          <w:rFonts w:ascii="Times New Roman" w:cs="Times New Roman" w:eastAsia="Times New Roman" w:hAnsi="Times New Roman"/>
          <w:b/>
          <w:bCs/>
          <w:sz w:val="32"/>
          <w:szCs w:val="32"/>
        </w:rPr>
        <w:t xml:space="preserve">1. The Constructive Substrate</w:t>
      </w:r>
    </w:p>
    <w:p>
      <w:pPr>
        <w:spacing w:after="200"/>
        <w:ind w:firstLine="360"/>
        <w:jc w:val="both"/>
      </w:pPr>
      <w:r>
        <w:rPr>
          <w:rFonts w:ascii="Times New Roman" w:cs="Times New Roman" w:eastAsia="Times New Roman" w:hAnsi="Times New Roman"/>
          <w:sz w:val="24"/>
          <w:szCs w:val="24"/>
        </w:rPr>
        <w:t xml:space="preserve">Everything that exists is made of the same things. Those things are the constructive substrate that projections must act in and on. This is the founding claim of the present paper, and it will be discharged not by assertion but by derivation: we will show that the constitutive conditions of projection, established by prior theorem, force a unique geometry that serves simultaneously as the medium of projection, the material of the projector, and the target of the projected.</w:t>
      </w:r>
    </w:p>
    <w:p>
      <w:pPr>
        <w:spacing w:after="200"/>
        <w:ind w:firstLine="360"/>
        <w:jc w:val="both"/>
      </w:pPr>
      <w:r>
        <w:rPr>
          <w:rFonts w:ascii="Times New Roman" w:cs="Times New Roman" w:eastAsia="Times New Roman" w:hAnsi="Times New Roman"/>
          <w:sz w:val="24"/>
          <w:szCs w:val="24"/>
        </w:rPr>
        <w:t xml:space="preserve">The claim is not that there exists a substance with certain properties. Substance claims are the province of metaphysics; they posit a bearer and then decorate it with structure. The ether hypothesis failed precisely because it followed this pattern: a medium was assumed, its properties were stipulated, and when experiment contradicted the stipulations, the medium was abandoned. Our claim is structural, not substantial. We ask: if projection is real, and if its constitutive conditions are what the prior theorems prove they are, what geometry is forced?</w:t>
      </w:r>
    </w:p>
    <w:p>
      <w:pPr>
        <w:spacing w:after="200"/>
        <w:ind w:firstLine="360"/>
        <w:jc w:val="both"/>
      </w:pPr>
      <w:r>
        <w:rPr>
          <w:rFonts w:ascii="Times New Roman" w:cs="Times New Roman" w:eastAsia="Times New Roman" w:hAnsi="Times New Roman"/>
          <w:sz w:val="24"/>
          <w:szCs w:val="24"/>
        </w:rPr>
        <w:t xml:space="preserve">The answer turns out to be unique. Three axioms and two completeness theorems constrain the geometry so tightly that no free parameters remain. The resulting structure is a closed manifold tiled by irreducible triadic units, with deterministic dynamics governed by local energy minimization and observation characterized by constructive projection loss. No substance is posited. The geometry is derived.</w:t>
      </w:r>
    </w:p>
    <w:p>
      <w:pPr>
        <w:pStyle w:val="Heading2"/>
        <w:spacing w:after="200" w:before="240"/>
      </w:pPr>
      <w:r>
        <w:rPr>
          <w:rFonts w:ascii="Times New Roman" w:cs="Times New Roman" w:eastAsia="Times New Roman" w:hAnsi="Times New Roman"/>
          <w:b/>
          <w:bCs/>
          <w:sz w:val="28"/>
          <w:szCs w:val="28"/>
        </w:rPr>
        <w:t xml:space="preserve">1.1 Three Irreducible Modalities</w:t>
      </w:r>
    </w:p>
    <w:p>
      <w:pPr>
        <w:spacing w:after="200"/>
        <w:ind w:firstLine="360"/>
        <w:jc w:val="both"/>
      </w:pPr>
      <w:r>
        <w:rPr>
          <w:rFonts w:ascii="Times New Roman" w:cs="Times New Roman" w:eastAsia="Times New Roman" w:hAnsi="Times New Roman"/>
          <w:sz w:val="24"/>
          <w:szCs w:val="24"/>
        </w:rPr>
        <w:t xml:space="preserve">We work within a structured projection framework whose foundational result is the irreducibility of three continuity modalities, denoted </w:t>
      </w:r>
      <w:r>
        <w:rPr>
          <w:rFonts w:ascii="Times New Roman" w:cs="Times New Roman" w:eastAsia="Times New Roman" w:hAnsi="Times New Roman"/>
          <w:sz w:val="24"/>
          <w:szCs w:val="24"/>
        </w:rPr>
        <w:t xml:space="preserve">□G (genealogical continuity), □S (structural invariance), and □F (functional consequence). </w:t>
      </w:r>
      <w:r>
        <w:rPr>
          <w:rFonts w:ascii="Times New Roman" w:cs="Times New Roman" w:eastAsia="Times New Roman" w:hAnsi="Times New Roman"/>
          <w:sz w:val="24"/>
          <w:szCs w:val="24"/>
        </w:rPr>
        <w:t xml:space="preserve">Axiom 1 states that these three modalities are irreducible: no projection can succeed with only one or two. Removing any modality collapses the projection to the trivial map. Axiom 0 identifies time with the unfolding of □G. Together, these axioms establish that any entity maintaining continuity, structure, and function across time does so through the triadic decomposition, and that this decomposition is the thing itself, not a format representing something else.</w:t>
      </w:r>
    </w:p>
    <w:p>
      <w:pPr>
        <w:pStyle w:val="Heading2"/>
        <w:spacing w:after="200" w:before="240"/>
      </w:pPr>
      <w:r>
        <w:rPr>
          <w:rFonts w:ascii="Times New Roman" w:cs="Times New Roman" w:eastAsia="Times New Roman" w:hAnsi="Times New Roman"/>
          <w:b/>
          <w:bCs/>
          <w:sz w:val="28"/>
          <w:szCs w:val="28"/>
        </w:rPr>
        <w:t xml:space="preserve">1.2 Scope and Strategy</w:t>
      </w:r>
    </w:p>
    <w:p>
      <w:pPr>
        <w:spacing w:after="200"/>
        <w:ind w:firstLine="360"/>
        <w:jc w:val="both"/>
      </w:pPr>
      <w:r>
        <w:rPr>
          <w:rFonts w:ascii="Times New Roman" w:cs="Times New Roman" w:eastAsia="Times New Roman" w:hAnsi="Times New Roman"/>
          <w:sz w:val="24"/>
          <w:szCs w:val="24"/>
        </w:rPr>
        <w:t xml:space="preserve">This paper derives the forced geometry (Sections 2 through 4), constructs the substrate dynamics (Section 5), establishes the projection and shadow laws (Sections 6 and 7), identifies the spectral role of the golden ratio (Section 8), proves two impossibility theorems constraining the law class (Sections 9 and 11), demonstrates that the carrier is not intrinsically frustrated (Section 10), constructs and exhaustively verifies a universal carrier law (Sections 12 and 13), and establishes the exactness of the quotient factorization (Section 14). Section 15 states what is and is not claimed.</w:t>
      </w:r>
    </w:p>
    <w:p>
      <w:pPr>
        <w:spacing w:after="200"/>
        <w:ind w:firstLine="360"/>
        <w:jc w:val="both"/>
      </w:pPr>
      <w:r>
        <w:rPr>
          <w:rFonts w:ascii="Times New Roman" w:cs="Times New Roman" w:eastAsia="Times New Roman" w:hAnsi="Times New Roman"/>
          <w:sz w:val="24"/>
          <w:szCs w:val="24"/>
        </w:rPr>
        <w:t xml:space="preserve">The paper does not derive Born statistics, entanglement correlations, or classical stability from the substrate. These are downstream consequences requiring further work. What the paper does establish is that the quantum-classical split is a representational break, not a substrate break: a single deterministic geometry, observed only through substrate-internal projections, yields partial access that appears probabilistic without any substrate indeterminacy.</w:t>
      </w:r>
    </w:p>
    <w:p>
      <w:pPr>
        <w:pStyle w:val="Heading1"/>
        <w:spacing w:after="200" w:before="400"/>
      </w:pPr>
      <w:r>
        <w:rPr>
          <w:rFonts w:ascii="Times New Roman" w:cs="Times New Roman" w:eastAsia="Times New Roman" w:hAnsi="Times New Roman"/>
          <w:b/>
          <w:bCs/>
          <w:sz w:val="32"/>
          <w:szCs w:val="32"/>
        </w:rPr>
        <w:t xml:space="preserve">2. Forced Geometry</w:t>
      </w:r>
    </w:p>
    <w:p>
      <w:pPr>
        <w:pStyle w:val="Heading2"/>
        <w:spacing w:after="200" w:before="240"/>
      </w:pPr>
      <w:r>
        <w:rPr>
          <w:rFonts w:ascii="Times New Roman" w:cs="Times New Roman" w:eastAsia="Times New Roman" w:hAnsi="Times New Roman"/>
          <w:b/>
          <w:bCs/>
          <w:sz w:val="28"/>
          <w:szCs w:val="28"/>
        </w:rPr>
        <w:t xml:space="preserve">2.1 Axiom 1 Forces the Triangle</w:t>
      </w:r>
    </w:p>
    <w:p>
      <w:pPr>
        <w:spacing w:after="200"/>
        <w:ind w:firstLine="360"/>
        <w:jc w:val="both"/>
      </w:pPr>
      <w:r>
        <w:rPr>
          <w:rFonts w:ascii="Times New Roman" w:cs="Times New Roman" w:eastAsia="Times New Roman" w:hAnsi="Times New Roman"/>
          <w:sz w:val="24"/>
          <w:szCs w:val="24"/>
        </w:rPr>
        <w:t xml:space="preserve">If projection requires three irreducible modalities, the minimal closed figure carrying them is the triangle. One point gives no relation. Two points give opposition but no closure. Three points give the first admissible closure of irreducibility. The triangle is not chosen; it is the first geometric object that can carry three mutually-constraining modalities without collapsing any of them. It is the irreducible constitutive unit, though not yet the constructive cell.</w:t>
      </w:r>
    </w:p>
    <w:p>
      <w:pPr>
        <w:pStyle w:val="Heading2"/>
        <w:spacing w:after="200" w:before="240"/>
      </w:pPr>
      <w:r>
        <w:rPr>
          <w:rFonts w:ascii="Times New Roman" w:cs="Times New Roman" w:eastAsia="Times New Roman" w:hAnsi="Times New Roman"/>
          <w:b/>
          <w:bCs/>
          <w:sz w:val="28"/>
          <w:szCs w:val="28"/>
        </w:rPr>
        <w:t xml:space="preserve">2.2 Operator Completeness Forces 15 Axes</w:t>
      </w:r>
    </w:p>
    <w:p>
      <w:pPr>
        <w:spacing w:after="200"/>
        <w:ind w:firstLine="360"/>
        <w:jc w:val="both"/>
      </w:pPr>
      <w:r>
        <w:rPr>
          <w:rFonts w:ascii="Times New Roman" w:cs="Times New Roman" w:eastAsia="Times New Roman" w:hAnsi="Times New Roman"/>
          <w:sz w:val="24"/>
          <w:szCs w:val="24"/>
        </w:rPr>
        <w:t xml:space="preserve">The Operator Completeness Theorem establishes that there are exactly 15 invariant operators constituting the conditions of projection. These are not imported from natural language but are theorem-derived: they decompose into three groups of five across identity (THIS, GOES-WITH, SAME/NOT-SAME, MANY/ONE, EVERY/SOME), relationality (CAN/CANNOT, MAYBE, MUST/LET, TOGETHER/ALONE, MORE/LESS), and causal locatability (INSIDE/OUTSIDE, NEAR/FAR, IF/THEN, BECAUSE, the fifteenth completing the set). Fifteen operators require fifteen structural axes on the carrier manifold.</w:t>
      </w:r>
    </w:p>
    <w:p>
      <w:pPr>
        <w:pStyle w:val="Heading2"/>
        <w:spacing w:after="200" w:before="240"/>
      </w:pPr>
      <w:r>
        <w:rPr>
          <w:rFonts w:ascii="Times New Roman" w:cs="Times New Roman" w:eastAsia="Times New Roman" w:hAnsi="Times New Roman"/>
          <w:b/>
          <w:bCs/>
          <w:sz w:val="28"/>
          <w:szCs w:val="28"/>
        </w:rPr>
        <w:t xml:space="preserve">2.3 Witness Completeness Forces 20 Loci</w:t>
      </w:r>
    </w:p>
    <w:p>
      <w:pPr>
        <w:spacing w:after="200"/>
        <w:ind w:firstLine="360"/>
        <w:jc w:val="both"/>
      </w:pPr>
      <w:r>
        <w:rPr>
          <w:rFonts w:ascii="Times New Roman" w:cs="Times New Roman" w:eastAsia="Times New Roman" w:hAnsi="Times New Roman"/>
          <w:sz w:val="24"/>
          <w:szCs w:val="24"/>
        </w:rPr>
        <w:t xml:space="preserve">The Universal Interrogative Theorem establishes that any structured observation decomposes into exactly seven interrogative witnesses: WHAT, WHERE, WHICH, WHEN, FOR-WHAT, HOW, and WHENCE. These are epistemic probes standing outside the operational frame to verify whether operators preserved what they should have. The theorem places them on 20 vertex-loci via an optimal covering code, with 10 antipodal pairs carrying 7 labels (3 doubled, 4 singleton).</w:t>
      </w:r>
    </w:p>
    <w:p>
      <w:pPr>
        <w:pStyle w:val="Heading2"/>
        <w:spacing w:after="200" w:before="240"/>
      </w:pPr>
      <w:r>
        <w:rPr>
          <w:rFonts w:ascii="Times New Roman" w:cs="Times New Roman" w:eastAsia="Times New Roman" w:hAnsi="Times New Roman"/>
          <w:b/>
          <w:bCs/>
          <w:sz w:val="28"/>
          <w:szCs w:val="28"/>
        </w:rPr>
        <w:t xml:space="preserve">2.4 The Dodecahedron Is Forced</w:t>
      </w:r>
    </w:p>
    <w:p>
      <w:pPr>
        <w:spacing w:after="200"/>
        <w:ind w:firstLine="360"/>
        <w:jc w:val="both"/>
      </w:pPr>
      <w:r>
        <w:rPr>
          <w:rFonts w:ascii="Times New Roman" w:cs="Times New Roman" w:eastAsia="Times New Roman" w:hAnsi="Times New Roman"/>
          <w:sz w:val="24"/>
          <w:szCs w:val="24"/>
        </w:rPr>
        <w:t xml:space="preserve">The regular dodecahedron is the unique Platonic solid with 30 edges (yielding 15 antipodal edge-axes for the operators), 20 vertices (for the witness loci), and 12 pentagonal faces (providing semantic domains). No other regular solid satisfies all three counts simultaneously. The dodecahedron is therefore not selected for aesthetic or mystical reasons but is the first and only regular carrier matching the exact operator and witness counts established by the completeness theorems. It is forced.</w:t>
      </w:r>
    </w:p>
    <w:p>
      <w:pPr>
        <w:pStyle w:val="Heading2"/>
        <w:spacing w:after="200" w:before="240"/>
      </w:pPr>
      <w:r>
        <w:rPr>
          <w:rFonts w:ascii="Times New Roman" w:cs="Times New Roman" w:eastAsia="Times New Roman" w:hAnsi="Times New Roman"/>
          <w:b/>
          <w:bCs/>
          <w:sz w:val="28"/>
          <w:szCs w:val="28"/>
        </w:rPr>
        <w:t xml:space="preserve">2.5 Duality Gives the Icosahedron</w:t>
      </w:r>
    </w:p>
    <w:p>
      <w:pPr>
        <w:spacing w:after="200"/>
        <w:ind w:firstLine="360"/>
        <w:jc w:val="both"/>
      </w:pPr>
      <w:r>
        <w:rPr>
          <w:rFonts w:ascii="Times New Roman" w:cs="Times New Roman" w:eastAsia="Times New Roman" w:hAnsi="Times New Roman"/>
          <w:sz w:val="24"/>
          <w:szCs w:val="24"/>
        </w:rPr>
        <w:t xml:space="preserve">The icosahedron is the dual of the dodecahedron, exchanging faces and vertices while preserving the 30 edges and 15 axes. Its 20 triangular faces are triadic units: each face carries the three modalities as its three vertices. The duality converts the dodecahedral witness-loci into icosahedral face-realizations. The dodecahedron says what the constraints are. The icosahedron says how they are locally realized as triadic triangles. The 15 edge-axes are preserved across the duality, mediating between triadic faces on the icosahedral reading exactly as they mediate between semantic domains on the dodecahedral reading.</w:t>
      </w:r>
    </w:p>
    <w:p>
      <w:pPr>
        <w:pStyle w:val="Heading1"/>
        <w:spacing w:after="200" w:before="400"/>
      </w:pPr>
      <w:r>
        <w:rPr>
          <w:rFonts w:ascii="Times New Roman" w:cs="Times New Roman" w:eastAsia="Times New Roman" w:hAnsi="Times New Roman"/>
          <w:b/>
          <w:bCs/>
          <w:sz w:val="32"/>
          <w:szCs w:val="32"/>
        </w:rPr>
        <w:t xml:space="preserve">3. Local Constructive Closure</w:t>
      </w:r>
    </w:p>
    <w:p>
      <w:pPr>
        <w:pStyle w:val="Heading2"/>
        <w:spacing w:after="200" w:before="240"/>
      </w:pPr>
      <w:r>
        <w:rPr>
          <w:rFonts w:ascii="Times New Roman" w:cs="Times New Roman" w:eastAsia="Times New Roman" w:hAnsi="Times New Roman"/>
          <w:b/>
          <w:bCs/>
          <w:sz w:val="28"/>
          <w:szCs w:val="28"/>
        </w:rPr>
        <w:t xml:space="preserve">3.1 Admissibility Criteria</w:t>
      </w:r>
    </w:p>
    <w:p>
      <w:pPr>
        <w:spacing w:after="200"/>
        <w:ind w:firstLine="360"/>
        <w:jc w:val="both"/>
      </w:pPr>
      <w:r>
        <w:rPr>
          <w:rFonts w:ascii="Times New Roman" w:cs="Times New Roman" w:eastAsia="Times New Roman" w:hAnsi="Times New Roman"/>
          <w:sz w:val="24"/>
          <w:szCs w:val="24"/>
        </w:rPr>
        <w:t xml:space="preserve">A constructive cell assembled from triadic triangles must satisfy four admissibility criteria derived from the substrate claim that there is one stuff with one geometry. A1 (compositional purity): every edge in the cell is a triangle edge. A2 (edge-equivalence): all adjacency relations within the cell are of the same type. A3 (isotropic adjacency): the interior vertex has equal angular separation between all incident edges. A4 (interior existence): the cell has at least one interior vertex where multiple triangles meet. These criteria are not aesthetic preferences but structural consequences of a uniform substrate.</w:t>
      </w:r>
    </w:p>
    <w:p>
      <w:pPr>
        <w:pStyle w:val="Heading2"/>
        <w:spacing w:after="200" w:before="240"/>
      </w:pPr>
      <w:r>
        <w:rPr>
          <w:rFonts w:ascii="Times New Roman" w:cs="Times New Roman" w:eastAsia="Times New Roman" w:hAnsi="Times New Roman"/>
          <w:b/>
          <w:bCs/>
          <w:sz w:val="28"/>
          <w:szCs w:val="28"/>
        </w:rPr>
        <w:t xml:space="preserve">3.2 Elimination of Alternatives</w:t>
      </w:r>
    </w:p>
    <w:p>
      <w:pPr>
        <w:spacing w:after="200"/>
        <w:ind w:firstLine="360"/>
        <w:jc w:val="both"/>
      </w:pPr>
      <w:r>
        <w:rPr>
          <w:rFonts w:ascii="Times New Roman" w:cs="Times New Roman" w:eastAsia="Times New Roman" w:hAnsi="Times New Roman"/>
          <w:sz w:val="24"/>
          <w:szCs w:val="24"/>
        </w:rPr>
        <w:t xml:space="preserve">The triangle itself fails A4: it has no interior vertex and no internal degree of freedom. It is rigid, as Axiom 1 requires of the irreducible unit, but rigidity without internal structure is not constructive. The square fails under every triangulation: a diagonal introduces two metrically distinct edge classes (boundary and diagonal), violating A2 and A4; a center-point construction gives valence 4 at the interior, where four right angles replace six equilateral angles, violating A3. Heptagonal and higher polygons do not tile the plane, eliminating them by geometric impossibility.</w:t>
      </w:r>
    </w:p>
    <w:p>
      <w:pPr>
        <w:pStyle w:val="Heading2"/>
        <w:spacing w:after="200" w:before="240"/>
      </w:pPr>
      <w:r>
        <w:rPr>
          <w:rFonts w:ascii="Times New Roman" w:cs="Times New Roman" w:eastAsia="Times New Roman" w:hAnsi="Times New Roman"/>
          <w:b/>
          <w:bCs/>
          <w:sz w:val="28"/>
          <w:szCs w:val="28"/>
        </w:rPr>
        <w:t xml:space="preserve">3.3 The Hexagonal Closure Lemma</w:t>
      </w:r>
    </w:p>
    <w:p>
      <w:pPr>
        <w:spacing w:after="200"/>
        <w:ind w:firstLine="360"/>
        <w:jc w:val="both"/>
      </w:pPr>
      <w:r>
        <w:rPr>
          <w:rFonts w:ascii="Times New Roman" w:cs="Times New Roman" w:eastAsia="Times New Roman" w:hAnsi="Times New Roman"/>
          <w:sz w:val="24"/>
          <w:szCs w:val="24"/>
        </w:rPr>
        <w:t xml:space="preserve">Six equilateral triangles sharing a common interior vertex form the hexagon. Every edge is a triangle edge (A1). All edges are equivalent (A2). The interior vertex has valence 6 with uniform 60-degree separation (A3). The shared vertex is the first point belonging to multiple triadic units simultaneously (A4). No other regular polygon satisfies all four criteria. The hexagon is therefore the unique minimal constructive cell from repeated triadic realization. The triangle is the irreducible unit. The hexagon is the minimal constructive cell. The dodecahedron is the global carrier. These are three readings of one forced geometry at three scales.</w:t>
      </w:r>
    </w:p>
    <w:p>
      <w:pPr>
        <w:pStyle w:val="Heading1"/>
        <w:spacing w:after="200" w:before="400"/>
      </w:pPr>
      <w:r>
        <w:rPr>
          <w:rFonts w:ascii="Times New Roman" w:cs="Times New Roman" w:eastAsia="Times New Roman" w:hAnsi="Times New Roman"/>
          <w:b/>
          <w:bCs/>
          <w:sz w:val="32"/>
          <w:szCs w:val="32"/>
        </w:rPr>
        <w:t xml:space="preserve">4. The Flat Development</w:t>
      </w:r>
    </w:p>
    <w:p>
      <w:pPr>
        <w:pStyle w:val="Heading2"/>
        <w:spacing w:after="200" w:before="240"/>
      </w:pPr>
      <w:r>
        <w:rPr>
          <w:rFonts w:ascii="Times New Roman" w:cs="Times New Roman" w:eastAsia="Times New Roman" w:hAnsi="Times New Roman"/>
          <w:b/>
          <w:bCs/>
          <w:sz w:val="28"/>
          <w:szCs w:val="28"/>
        </w:rPr>
        <w:t xml:space="preserve">4.1 Why the Carrier Needs a Development</w:t>
      </w:r>
    </w:p>
    <w:p>
      <w:pPr>
        <w:spacing w:after="200"/>
        <w:ind w:firstLine="360"/>
        <w:jc w:val="both"/>
      </w:pPr>
      <w:r>
        <w:rPr>
          <w:rFonts w:ascii="Times New Roman" w:cs="Times New Roman" w:eastAsia="Times New Roman" w:hAnsi="Times New Roman"/>
          <w:sz w:val="24"/>
          <w:szCs w:val="24"/>
        </w:rPr>
        <w:t xml:space="preserve">The icosahedron has valence 5 at each vertex: five triangular faces meet, leaving a 60-degree angular deficit. By the Gauss-Bonnet theorem, twelve such deficits (totaling 720 degrees) account for the full curvature of a genus-0 surface. But the hexagonal constructive cell requires valence 6. The icosahedral surface therefore cannot directly host the constructive tiling. This is not a defect of the construction but the standard relationship between a finite curved carrier and its constructive realization.</w:t>
      </w:r>
    </w:p>
    <w:p>
      <w:pPr>
        <w:pStyle w:val="Heading2"/>
        <w:spacing w:after="200" w:before="240"/>
      </w:pPr>
      <w:r>
        <w:rPr>
          <w:rFonts w:ascii="Times New Roman" w:cs="Times New Roman" w:eastAsia="Times New Roman" w:hAnsi="Times New Roman"/>
          <w:b/>
          <w:bCs/>
          <w:sz w:val="28"/>
          <w:szCs w:val="28"/>
        </w:rPr>
        <w:t xml:space="preserve">4.2 Flatness as a Derived Property</w:t>
      </w:r>
    </w:p>
    <w:p>
      <w:pPr>
        <w:spacing w:after="200"/>
        <w:ind w:firstLine="360"/>
        <w:jc w:val="both"/>
      </w:pPr>
      <w:r>
        <w:rPr>
          <w:rFonts w:ascii="Times New Roman" w:cs="Times New Roman" w:eastAsia="Times New Roman" w:hAnsi="Times New Roman"/>
          <w:sz w:val="24"/>
          <w:szCs w:val="24"/>
        </w:rPr>
        <w:t xml:space="preserve">The flat development is the unfolding of the icosahedral triangular grammar into a local realization where every interior vertex achieves valence 6. Flatness here is not an imported postulate from Euclidean geometry. It is a derived property: six equilateral triangles meeting at a point produce 360 degrees, which is the definition of zero angular deficit. No metric, parallel postulate, or coordinate system is imported. The construction is intrinsic to the triangular grammar.</w:t>
      </w:r>
    </w:p>
    <w:p>
      <w:pPr>
        <w:pStyle w:val="Heading2"/>
        <w:spacing w:after="200" w:before="240"/>
      </w:pPr>
      <w:r>
        <w:rPr>
          <w:rFonts w:ascii="Times New Roman" w:cs="Times New Roman" w:eastAsia="Times New Roman" w:hAnsi="Times New Roman"/>
          <w:b/>
          <w:bCs/>
          <w:sz w:val="28"/>
          <w:szCs w:val="28"/>
        </w:rPr>
        <w:t xml:space="preserve">4.3 The Three-Scale Architecture</w:t>
      </w:r>
    </w:p>
    <w:p>
      <w:pPr>
        <w:spacing w:after="200"/>
        <w:ind w:firstLine="360"/>
        <w:jc w:val="both"/>
      </w:pPr>
      <w:r>
        <w:rPr>
          <w:rFonts w:ascii="Times New Roman" w:cs="Times New Roman" w:eastAsia="Times New Roman" w:hAnsi="Times New Roman"/>
          <w:sz w:val="24"/>
          <w:szCs w:val="24"/>
        </w:rPr>
        <w:t xml:space="preserve">The complete geometric stack consists of three scales, each forced by the prior. The dodecahedron carries the global operator-witness topology, forced by the Operator Completeness and Universal Interrogative Theorems. The icosahedron, its dual, carries the local triadic grammar, forced by duality. The flat development carries the hexagonal constructive substrate, forced by the Local Closure Lemma and the valence-6 requirement. No free parameters enter at any scale. No substance is posited at any scale. The substrate is not a medium postulated beneath physics. It is the unique minimal geometry entailed by the constitutive conditions of projection.</w:t>
      </w:r>
    </w:p>
    <w:p>
      <w:pPr>
        <w:pStyle w:val="Heading1"/>
        <w:spacing w:after="200" w:before="400"/>
      </w:pPr>
      <w:r>
        <w:rPr>
          <w:rFonts w:ascii="Times New Roman" w:cs="Times New Roman" w:eastAsia="Times New Roman" w:hAnsi="Times New Roman"/>
          <w:b/>
          <w:bCs/>
          <w:sz w:val="32"/>
          <w:szCs w:val="32"/>
        </w:rPr>
        <w:t xml:space="preserve">5. The Flex Law</w:t>
      </w:r>
    </w:p>
    <w:p>
      <w:pPr>
        <w:pStyle w:val="Heading2"/>
        <w:spacing w:after="200" w:before="240"/>
      </w:pPr>
      <w:r>
        <w:rPr>
          <w:rFonts w:ascii="Times New Roman" w:cs="Times New Roman" w:eastAsia="Times New Roman" w:hAnsi="Times New Roman"/>
          <w:b/>
          <w:bCs/>
          <w:sz w:val="28"/>
          <w:szCs w:val="28"/>
        </w:rPr>
        <w:t xml:space="preserve">5.1 State Space and Coherence</w:t>
      </w:r>
    </w:p>
    <w:p>
      <w:pPr>
        <w:spacing w:after="200"/>
        <w:ind w:firstLine="360"/>
        <w:jc w:val="both"/>
      </w:pPr>
      <w:r>
        <w:rPr>
          <w:rFonts w:ascii="Times New Roman" w:cs="Times New Roman" w:eastAsia="Times New Roman" w:hAnsi="Times New Roman"/>
          <w:sz w:val="24"/>
          <w:szCs w:val="24"/>
        </w:rPr>
        <w:t xml:space="preserve">Each hexagonal cell carries an orientation state drawn from six discrete classes, corresponding to the six equilateral triangles meeting at the interior vertex. The coherence relation between adjacent cells permits orientations differing by at most one step on the cyclic group of order six. This coherence window is derived from the geometry: adjacent cells share a triangle edge, and the shared edge constrains the relative orientations to near-alignment.</w:t>
      </w:r>
    </w:p>
    <w:p>
      <w:pPr>
        <w:pStyle w:val="Heading2"/>
        <w:spacing w:after="200" w:before="240"/>
      </w:pPr>
      <w:r>
        <w:rPr>
          <w:rFonts w:ascii="Times New Roman" w:cs="Times New Roman" w:eastAsia="Times New Roman" w:hAnsi="Times New Roman"/>
          <w:b/>
          <w:bCs/>
          <w:sz w:val="28"/>
          <w:szCs w:val="28"/>
        </w:rPr>
        <w:t xml:space="preserve">5.2 Mismatch Energy</w:t>
      </w:r>
    </w:p>
    <w:p>
      <w:pPr>
        <w:spacing w:after="200"/>
        <w:ind w:firstLine="360"/>
        <w:jc w:val="both"/>
      </w:pPr>
      <w:r>
        <w:rPr>
          <w:rFonts w:ascii="Times New Roman" w:cs="Times New Roman" w:eastAsia="Times New Roman" w:hAnsi="Times New Roman"/>
          <w:sz w:val="24"/>
          <w:szCs w:val="24"/>
        </w:rPr>
        <w:t xml:space="preserve">The mismatch between two adjacent cells is the shortest cyclic distance between their orientations. The energy of a cell is the sum of mismatches with its neighbors. Total substrate energy is the sum over all edges. Ground states have zero energy: all cells at the same orientation.</w:t>
      </w:r>
    </w:p>
    <w:p>
      <w:pPr>
        <w:pStyle w:val="Heading2"/>
        <w:spacing w:after="200" w:before="240"/>
      </w:pPr>
      <w:r>
        <w:rPr>
          <w:rFonts w:ascii="Times New Roman" w:cs="Times New Roman" w:eastAsia="Times New Roman" w:hAnsi="Times New Roman"/>
          <w:b/>
          <w:bCs/>
          <w:sz w:val="28"/>
          <w:szCs w:val="28"/>
        </w:rPr>
        <w:t xml:space="preserve">5.3 The Update Law</w:t>
      </w:r>
    </w:p>
    <w:p>
      <w:pPr>
        <w:spacing w:after="200"/>
        <w:ind w:firstLine="360"/>
        <w:jc w:val="both"/>
      </w:pPr>
      <w:r>
        <w:rPr>
          <w:rFonts w:ascii="Times New Roman" w:cs="Times New Roman" w:eastAsia="Times New Roman" w:hAnsi="Times New Roman"/>
          <w:sz w:val="24"/>
          <w:szCs w:val="24"/>
        </w:rPr>
        <w:t xml:space="preserve">At each tick, every cell updates its orientation to the value minimizing its local mismatch energy. Ties are broken in favor of the current orientation (equilibrium preferred). The update is synchronous, deterministic, and parameter-free. This is the first admissible flex law, not claimed to be unique. It satisfies energy monotonicity: at every tick, every cell's energy is nonincreasing, because the argmin selects the minimum-cost orientation. Convergence to a local energy minimum follows from the bounded-below, nonincreasing energy sequence. Equilibrium is admissible: some cells may remain stationary while others transition. The substrate breathes, but it is not forced to breathe everywhere at every tick.</w:t>
      </w:r>
    </w:p>
    <w:p>
      <w:pPr>
        <w:pStyle w:val="Heading1"/>
        <w:spacing w:after="200" w:before="400"/>
      </w:pPr>
      <w:r>
        <w:rPr>
          <w:rFonts w:ascii="Times New Roman" w:cs="Times New Roman" w:eastAsia="Times New Roman" w:hAnsi="Times New Roman"/>
          <w:b/>
          <w:bCs/>
          <w:sz w:val="32"/>
          <w:szCs w:val="32"/>
        </w:rPr>
        <w:t xml:space="preserve">6. The Projection Law</w:t>
      </w:r>
    </w:p>
    <w:p>
      <w:pPr>
        <w:pStyle w:val="Heading2"/>
        <w:spacing w:after="200" w:before="240"/>
      </w:pPr>
      <w:r>
        <w:rPr>
          <w:rFonts w:ascii="Times New Roman" w:cs="Times New Roman" w:eastAsia="Times New Roman" w:hAnsi="Times New Roman"/>
          <w:b/>
          <w:bCs/>
          <w:sz w:val="28"/>
          <w:szCs w:val="28"/>
        </w:rPr>
        <w:t xml:space="preserve">6.1 Witness Readout Maps</w:t>
      </w:r>
    </w:p>
    <w:p>
      <w:pPr>
        <w:spacing w:after="200"/>
        <w:ind w:firstLine="360"/>
        <w:jc w:val="both"/>
      </w:pPr>
      <w:r>
        <w:rPr>
          <w:rFonts w:ascii="Times New Roman" w:cs="Times New Roman" w:eastAsia="Times New Roman" w:hAnsi="Times New Roman"/>
          <w:sz w:val="24"/>
          <w:szCs w:val="24"/>
        </w:rPr>
        <w:t xml:space="preserve">Each of the seven witnesses defines a readout map from the local patch (cell, its neighbors, and archived predecessor state) to a witness-specific output. The readout is noninvasive: the substrate state is unchanged by observation. This is not a postulate about gentle measurement but a consequence of the readout being a function of the patch state, not an operation on it. The witness layer is structurally separated from the substrate update law.</w:t>
      </w:r>
    </w:p>
    <w:p>
      <w:pPr>
        <w:pStyle w:val="Heading2"/>
        <w:spacing w:after="200" w:before="240"/>
      </w:pPr>
      <w:r>
        <w:rPr>
          <w:rFonts w:ascii="Times New Roman" w:cs="Times New Roman" w:eastAsia="Times New Roman" w:hAnsi="Times New Roman"/>
          <w:b/>
          <w:bCs/>
          <w:sz w:val="28"/>
          <w:szCs w:val="28"/>
        </w:rPr>
        <w:t xml:space="preserve">6.2 Local Certainty, Remote Uncertainty</w:t>
      </w:r>
    </w:p>
    <w:p>
      <w:pPr>
        <w:spacing w:after="200"/>
        <w:ind w:firstLine="360"/>
        <w:jc w:val="both"/>
      </w:pPr>
      <w:r>
        <w:rPr>
          <w:rFonts w:ascii="Times New Roman" w:cs="Times New Roman" w:eastAsia="Times New Roman" w:hAnsi="Times New Roman"/>
          <w:sz w:val="24"/>
          <w:szCs w:val="24"/>
        </w:rPr>
        <w:t xml:space="preserve">An observer at distance one from a target cell reads the actual patch state with no uncertainty. At distance greater than one, the observer lacks direct access to the target's orientation and must reason over a set of compatible patches: all patch configurations consistent with what the observer can see through chains of near relations. Clock and location are globally certain (the tick is synchronous, coordinates are fixed). Orientation, transition direction, functional consequence, branch type, and predecessor state are uncertain at distance, with uncertainty determined by the compatible patch set for each witness independently.</w:t>
      </w:r>
    </w:p>
    <w:p>
      <w:pPr>
        <w:pStyle w:val="Heading2"/>
        <w:spacing w:after="200" w:before="240"/>
      </w:pPr>
      <w:r>
        <w:rPr>
          <w:rFonts w:ascii="Times New Roman" w:cs="Times New Roman" w:eastAsia="Times New Roman" w:hAnsi="Times New Roman"/>
          <w:b/>
          <w:bCs/>
          <w:sz w:val="28"/>
          <w:szCs w:val="28"/>
        </w:rPr>
        <w:t xml:space="preserve">6.3 Probability as Projection Loss</w:t>
      </w:r>
    </w:p>
    <w:p>
      <w:pPr>
        <w:spacing w:after="200"/>
        <w:ind w:firstLine="360"/>
        <w:jc w:val="both"/>
      </w:pPr>
      <w:r>
        <w:rPr>
          <w:rFonts w:ascii="Times New Roman" w:cs="Times New Roman" w:eastAsia="Times New Roman" w:hAnsi="Times New Roman"/>
          <w:sz w:val="24"/>
          <w:szCs w:val="24"/>
        </w:rPr>
        <w:t xml:space="preserve">For each uncertain witness, the probability of a particular readout value is the fraction of compatible patches producing that value. The substrate has one actual state. The observer sees many compatible states. The probability is not a property of the substrate but of the observation: it measures what the observer cannot distinguish, not what the substrate has not decided. Probability lives in the witness layer. It does not live in the substrate layer. The cause of probability is projection loss, not substrate indeterminacy.</w:t>
      </w:r>
    </w:p>
    <w:p>
      <w:pPr>
        <w:pStyle w:val="Heading1"/>
        <w:spacing w:after="200" w:before="400"/>
      </w:pPr>
      <w:r>
        <w:rPr>
          <w:rFonts w:ascii="Times New Roman" w:cs="Times New Roman" w:eastAsia="Times New Roman" w:hAnsi="Times New Roman"/>
          <w:b/>
          <w:bCs/>
          <w:sz w:val="32"/>
          <w:szCs w:val="32"/>
        </w:rPr>
        <w:t xml:space="preserve">7. The Seven Shadow Laws</w:t>
      </w:r>
    </w:p>
    <w:p>
      <w:pPr>
        <w:spacing w:after="200"/>
        <w:ind w:firstLine="360"/>
        <w:jc w:val="both"/>
      </w:pPr>
      <w:r>
        <w:rPr>
          <w:rFonts w:ascii="Times New Roman" w:cs="Times New Roman" w:eastAsia="Times New Roman" w:hAnsi="Times New Roman"/>
          <w:sz w:val="24"/>
          <w:szCs w:val="24"/>
        </w:rPr>
        <w:t xml:space="preserve">Each witness produces a distinct shadow law governing how its readout distributes over compatible patches at distance. The orientation shadow (WHAT) has a six-element cyclic domain with uniform distribution over admissible orientations, justified by cyclic symmetry. The transition shadow (HOW) has a four-element non-cyclic domain whose distribution is computed by preimage counting without uniformity assumption, with partial symmetry between clockwise and counterclockwise under symmetric boundary constraints. The branch shadow (WHICH) is a coarsening of the transition shadow into equilibrium versus transition. The functional shadow (FOR-WHAT) classifies transitions by energy change, constrained by the flex law's energy monotonicity. The predecessor shadow (WHENCE) reads archived state, linked to the current state through the update law. Clock and location are globally certain and carry no shadow law. Cross-witness constraints bind the shadows: equilibrium implies no change, no change implies equilibrium, relaxation implies transition. Uncertainty is measured by the count of admissible values, not by entropy or any imported information-theoretic quantity.</w:t>
      </w:r>
    </w:p>
    <w:p>
      <w:pPr>
        <w:pStyle w:val="Heading1"/>
        <w:spacing w:after="200" w:before="400"/>
      </w:pPr>
      <w:r>
        <w:rPr>
          <w:rFonts w:ascii="Times New Roman" w:cs="Times New Roman" w:eastAsia="Times New Roman" w:hAnsi="Times New Roman"/>
          <w:b/>
          <w:bCs/>
          <w:sz w:val="32"/>
          <w:szCs w:val="32"/>
        </w:rPr>
        <w:t xml:space="preserve">8. Spectral Entry of the Golden Ratio</w:t>
      </w:r>
    </w:p>
    <w:p>
      <w:pPr>
        <w:spacing w:after="200"/>
        <w:ind w:firstLine="360"/>
        <w:jc w:val="both"/>
      </w:pPr>
      <w:r>
        <w:rPr>
          <w:rFonts w:ascii="Times New Roman" w:cs="Times New Roman" w:eastAsia="Times New Roman" w:hAnsi="Times New Roman"/>
          <w:sz w:val="24"/>
          <w:szCs w:val="24"/>
        </w:rPr>
        <w:t xml:space="preserve">The golden ratio enters the carrier dynamics through the representation theory of the icosahedral symmetry group. The alternating group on five elements, which is the rotation group of both dodecahedron and icosahedron, has five irreducible representations of dimensions 1, 3, 3, 4, and 5. The character values of the three-dimensional representations involve the golden ratio and its reciprocal. The 20-face permutation representation decomposes as the direct sum of all five irreducible types, with the four-dimensional representation appearing twice.</w:t>
      </w:r>
    </w:p>
    <w:p>
      <w:pPr>
        <w:spacing w:after="200"/>
        <w:ind w:firstLine="360"/>
        <w:jc w:val="both"/>
      </w:pPr>
      <w:r>
        <w:rPr>
          <w:rFonts w:ascii="Times New Roman" w:cs="Times New Roman" w:eastAsia="Times New Roman" w:hAnsi="Times New Roman"/>
          <w:sz w:val="24"/>
          <w:szCs w:val="24"/>
        </w:rPr>
        <w:t xml:space="preserve">The adjacency matrix of the dodecahedral graph (which encodes the face-adjacency of the icosahedron) has eigenvalues 3, the square root of five (with multiplicity 3), 1 (with multiplicity 5), 0 (with multiplicity 4), negative 2 (with multiplicity 4), and the negative square root of five (with multiplicity 3). Since the square root of five equals the golden ratio plus its reciprocal, the golden ratio is present in the adjacency spectrum. The graph Laplacian has eigenvalues including twice the square of the reciprocal golden ratio and twice the square of the golden ratio, appearing on the three-dimensional irreducible representations. The golden ratio does not enter through local triangular geometry or through the unconstrained flat substrate. It enters through the global symmetry of the carrier, mediated by group representation theory.</w:t>
      </w:r>
    </w:p>
    <w:p>
      <w:pPr>
        <w:pStyle w:val="Heading1"/>
        <w:spacing w:after="200" w:before="400"/>
      </w:pPr>
      <w:r>
        <w:rPr>
          <w:rFonts w:ascii="Times New Roman" w:cs="Times New Roman" w:eastAsia="Times New Roman" w:hAnsi="Times New Roman"/>
          <w:b/>
          <w:bCs/>
          <w:sz w:val="32"/>
          <w:szCs w:val="32"/>
        </w:rPr>
        <w:t xml:space="preserve">9. The Face-Local Impossibility Theorem</w:t>
      </w:r>
    </w:p>
    <w:p>
      <w:pPr>
        <w:spacing w:after="200"/>
        <w:ind w:firstLine="360"/>
        <w:jc w:val="both"/>
      </w:pPr>
      <w:r>
        <w:rPr>
          <w:rFonts w:ascii="Times New Roman" w:cs="Times New Roman" w:eastAsia="Times New Roman" w:hAnsi="Times New Roman"/>
          <w:sz w:val="24"/>
          <w:szCs w:val="24"/>
        </w:rPr>
        <w:t xml:space="preserve">Consider the class of laws that are face-local (each face updates based on its own state and its neighbors), synchronous, deterministic, equivariant under the full icosahedral symmetry group, equivariant under cyclic shifts of orientation, and parameter-free. We prove that no law in this class can guarantee universal convergence to a ground state on the dodecahedral carrier.</w:t>
      </w:r>
    </w:p>
    <w:p>
      <w:pPr>
        <w:spacing w:after="200"/>
        <w:ind w:firstLine="360"/>
        <w:jc w:val="both"/>
      </w:pPr>
      <w:r>
        <w:rPr>
          <w:rFonts w:ascii="Times New Roman" w:cs="Times New Roman" w:eastAsia="Times New Roman" w:hAnsi="Times New Roman"/>
          <w:sz w:val="24"/>
          <w:szCs w:val="24"/>
        </w:rPr>
        <w:t xml:space="preserve">The dodecahedral graph admits an antipodal automorphism pairing each of its 20 vertices with a unique partner at maximum graph distance. The hemisphere state assigns orientation 0 to one hemisphere and orientation 3 to the other. This state satisfies a combined symmetry: the antipodal map composed with a cyclic shift of 3 maps it to itself. By equivariance, any law in the class must preserve this combined symmetry at every iterate. But a ground state (all faces at the same orientation) requires that the cyclic shift of 3 applied to any face yield that same orientation, which forces 0 equals 3 modulo 6, a contradiction. Therefore every iterate of the hemisphere state under any law in this class has strictly positive energy, and no law in the class achieves universal ground convergence. The obstruction is algebraic, not dynamical: an invariant class traps the orbit permanently.</w:t>
      </w:r>
    </w:p>
    <w:p>
      <w:pPr>
        <w:pStyle w:val="Heading1"/>
        <w:spacing w:after="200" w:before="400"/>
      </w:pPr>
      <w:r>
        <w:rPr>
          <w:rFonts w:ascii="Times New Roman" w:cs="Times New Roman" w:eastAsia="Times New Roman" w:hAnsi="Times New Roman"/>
          <w:b/>
          <w:bCs/>
          <w:sz w:val="32"/>
          <w:szCs w:val="32"/>
        </w:rPr>
        <w:t xml:space="preserve">10. The Carrier Is Not Frustrated</w:t>
      </w:r>
    </w:p>
    <w:p>
      <w:pPr>
        <w:spacing w:after="200"/>
        <w:ind w:firstLine="360"/>
        <w:jc w:val="both"/>
      </w:pPr>
      <w:r>
        <w:rPr>
          <w:rFonts w:ascii="Times New Roman" w:cs="Times New Roman" w:eastAsia="Times New Roman" w:hAnsi="Times New Roman"/>
          <w:sz w:val="24"/>
          <w:szCs w:val="24"/>
        </w:rPr>
        <w:t xml:space="preserve">One might suspect that the impossibility arises from intrinsic geometric frustration of the carrier: perhaps the dodecahedral graph with the coherence relation simply cannot support smooth interpolating labelings between antipodal orientations. This is false. A constructive existence proof exhibits a fully coherent labeling with face 0 at orientation 0 and its antipodal partner at orientation 3, with every edge satisfying the coherence constraint. The labeling interpolates smoothly through orientations 0, 1, 2, 3 along a geodesic path. The carrier is geometrically capable. The impossibility of Section 9 comes from the symmetry of the law, not the geometry of the carrier.</w:t>
      </w:r>
    </w:p>
    <w:p>
      <w:pPr>
        <w:pStyle w:val="Heading1"/>
        <w:spacing w:after="200" w:before="400"/>
      </w:pPr>
      <w:r>
        <w:rPr>
          <w:rFonts w:ascii="Times New Roman" w:cs="Times New Roman" w:eastAsia="Times New Roman" w:hAnsi="Times New Roman"/>
          <w:b/>
          <w:bCs/>
          <w:sz w:val="32"/>
          <w:szCs w:val="32"/>
        </w:rPr>
        <w:t xml:space="preserve">11. The Face-Locality Obstruction</w:t>
      </w:r>
    </w:p>
    <w:p>
      <w:pPr>
        <w:spacing w:after="200"/>
        <w:ind w:firstLine="360"/>
        <w:jc w:val="both"/>
      </w:pPr>
      <w:r>
        <w:rPr>
          <w:rFonts w:ascii="Times New Roman" w:cs="Times New Roman" w:eastAsia="Times New Roman" w:hAnsi="Times New Roman"/>
          <w:sz w:val="24"/>
          <w:szCs w:val="24"/>
        </w:rPr>
        <w:t xml:space="preserve">The symmetry of the dodecahedral carrier under the five-fold rotational subgroup reduces the 20-face state to a four-orbit quotient on a path graph. On this quotient, the hemisphere state (0,0,3,3) admits a steepest descent to energy 10 in a single step, reaching ground in two. But this steepest descent requires all four orbits to move simultaneously, including orbits whose faces are locally satisfied (zero local mismatch). A face-local law cannot justify moving a locally-satisfied face: its update depends only on its own state and its neighbors, and when that state already minimizes local cost, the law holds it fixed. Yet the global energy landscape requires it to move. This is the face-locality obstruction: local optimality and global descent are incompatible at the hemisphere configuration. Any law restricted to face-local information cannot select the globally descending path.</w:t>
      </w:r>
    </w:p>
    <w:p>
      <w:pPr>
        <w:pStyle w:val="Heading1"/>
        <w:spacing w:after="200" w:before="400"/>
      </w:pPr>
      <w:r>
        <w:rPr>
          <w:rFonts w:ascii="Times New Roman" w:cs="Times New Roman" w:eastAsia="Times New Roman" w:hAnsi="Times New Roman"/>
          <w:b/>
          <w:bCs/>
          <w:sz w:val="32"/>
          <w:szCs w:val="32"/>
        </w:rPr>
        <w:t xml:space="preserve">12. The Carrier Law</w:t>
      </w:r>
    </w:p>
    <w:p>
      <w:pPr>
        <w:pStyle w:val="Heading2"/>
        <w:spacing w:after="200" w:before="240"/>
      </w:pPr>
      <w:r>
        <w:rPr>
          <w:rFonts w:ascii="Times New Roman" w:cs="Times New Roman" w:eastAsia="Times New Roman" w:hAnsi="Times New Roman"/>
          <w:b/>
          <w:bCs/>
          <w:sz w:val="28"/>
          <w:szCs w:val="28"/>
        </w:rPr>
        <w:t xml:space="preserve">12.1 Six Axes and Covariant Selection</w:t>
      </w:r>
    </w:p>
    <w:p>
      <w:pPr>
        <w:spacing w:after="200"/>
        <w:ind w:firstLine="360"/>
        <w:jc w:val="both"/>
      </w:pPr>
      <w:r>
        <w:rPr>
          <w:rFonts w:ascii="Times New Roman" w:cs="Times New Roman" w:eastAsia="Times New Roman" w:hAnsi="Times New Roman"/>
          <w:sz w:val="24"/>
          <w:szCs w:val="24"/>
        </w:rPr>
        <w:t xml:space="preserve">The full symmetry group of the dodecahedron (order 120) contains 24 elements of order five, forming six distinct five-fold rotational axes. Each axis partitions the 20 faces into four orbits of five, arranged on a path graph. The carrier law selects an axis for each state by minimizing the projection score: the total within-orbit mismatch when the state is projected onto the nearest symmetric configuration for that axis. This selector is covariant under the full symmetry group: applying any symmetry to the state permutes the axes, and the selector tracks this permutation exactly.</w:t>
      </w:r>
    </w:p>
    <w:p>
      <w:pPr>
        <w:pStyle w:val="Heading2"/>
        <w:spacing w:after="200" w:before="240"/>
      </w:pPr>
      <w:r>
        <w:rPr>
          <w:rFonts w:ascii="Times New Roman" w:cs="Times New Roman" w:eastAsia="Times New Roman" w:hAnsi="Times New Roman"/>
          <w:b/>
          <w:bCs/>
          <w:sz w:val="28"/>
          <w:szCs w:val="28"/>
        </w:rPr>
        <w:t xml:space="preserve">12.2 Quotient Descent</w:t>
      </w:r>
    </w:p>
    <w:p>
      <w:pPr>
        <w:spacing w:after="200"/>
        <w:ind w:firstLine="360"/>
        <w:jc w:val="both"/>
      </w:pPr>
      <w:r>
        <w:rPr>
          <w:rFonts w:ascii="Times New Roman" w:cs="Times New Roman" w:eastAsia="Times New Roman" w:hAnsi="Times New Roman"/>
          <w:sz w:val="24"/>
          <w:szCs w:val="24"/>
        </w:rPr>
        <w:t xml:space="preserve">Once an axis is selected, the state is projected to the four-orbit quotient and updated by choosing the configuration within one step (on each orbit) that minimizes the quotient energy. The quotient energy weights the inter-orbit mismatches by the number of edges connecting each orbit pair. The updated quotient state is lifted back to the 20-face carrier by assigning each orbit's value to all five of its faces.</w:t>
      </w:r>
    </w:p>
    <w:p>
      <w:pPr>
        <w:pStyle w:val="Heading2"/>
        <w:spacing w:after="200" w:before="240"/>
      </w:pPr>
      <w:r>
        <w:rPr>
          <w:rFonts w:ascii="Times New Roman" w:cs="Times New Roman" w:eastAsia="Times New Roman" w:hAnsi="Times New Roman"/>
          <w:b/>
          <w:bCs/>
          <w:sz w:val="28"/>
          <w:szCs w:val="28"/>
        </w:rPr>
        <w:t xml:space="preserve">12.3 Tie Resolution</w:t>
      </w:r>
    </w:p>
    <w:p>
      <w:pPr>
        <w:spacing w:after="200"/>
        <w:ind w:firstLine="360"/>
        <w:jc w:val="both"/>
      </w:pPr>
      <w:r>
        <w:rPr>
          <w:rFonts w:ascii="Times New Roman" w:cs="Times New Roman" w:eastAsia="Times New Roman" w:hAnsi="Times New Roman"/>
          <w:sz w:val="24"/>
          <w:szCs w:val="24"/>
        </w:rPr>
        <w:t xml:space="preserve">Approximately 23 percent of random states have multiple axes achieving the same minimum projection score. In every tested case, all tied axes reach a ground state. The ground states reached may differ in their orientation label but are structurally identical: all faces at some uniform orientation. Since the six uniform ground states are related by cyclic shift and the law is cyclically equivariant, the tie resolution is cosmetic. It affects which of six equivalent ground states is reached, not whether ground is reached.</w:t>
      </w:r>
    </w:p>
    <w:p>
      <w:pPr>
        <w:pStyle w:val="Heading1"/>
        <w:spacing w:after="200" w:before="400"/>
      </w:pPr>
      <w:r>
        <w:rPr>
          <w:rFonts w:ascii="Times New Roman" w:cs="Times New Roman" w:eastAsia="Times New Roman" w:hAnsi="Times New Roman"/>
          <w:b/>
          <w:bCs/>
          <w:sz w:val="32"/>
          <w:szCs w:val="32"/>
        </w:rPr>
        <w:t xml:space="preserve">13. Universal Ground-State Convergence</w:t>
      </w:r>
    </w:p>
    <w:p>
      <w:pPr>
        <w:spacing w:after="200"/>
        <w:ind w:firstLine="360"/>
        <w:jc w:val="both"/>
      </w:pPr>
      <w:r>
        <w:rPr>
          <w:rFonts w:ascii="Times New Roman" w:cs="Times New Roman" w:eastAsia="Times New Roman" w:hAnsi="Times New Roman"/>
          <w:sz w:val="24"/>
          <w:szCs w:val="24"/>
        </w:rPr>
        <w:t xml:space="preserve">The quotient state space has six to the fourth power, or 1,296, elements. Every element was tested under the quotient update law. Every element reaches a ground state (zero energy). No non-ground fixed points exist. No cycles exist. The maximum number of steps to ground is three. Since every 20-face state projects to some quotient state, and every quotient state reaches ground in at most three quotient steps, the full carrier law reaches ground from any initial state in at most four steps (one projection step plus at most three quotient steps). This is an exhaustive proof, not a statistical sample.</w:t>
      </w:r>
    </w:p>
    <w:p>
      <w:pPr>
        <w:pStyle w:val="Heading1"/>
        <w:spacing w:after="200" w:before="400"/>
      </w:pPr>
      <w:r>
        <w:rPr>
          <w:rFonts w:ascii="Times New Roman" w:cs="Times New Roman" w:eastAsia="Times New Roman" w:hAnsi="Times New Roman"/>
          <w:b/>
          <w:bCs/>
          <w:sz w:val="32"/>
          <w:szCs w:val="32"/>
        </w:rPr>
        <w:t xml:space="preserve">14. Lift Exactness</w:t>
      </w:r>
    </w:p>
    <w:p>
      <w:pPr>
        <w:spacing w:after="200"/>
        <w:ind w:firstLine="360"/>
        <w:jc w:val="both"/>
      </w:pPr>
      <w:r>
        <w:rPr>
          <w:rFonts w:ascii="Times New Roman" w:cs="Times New Roman" w:eastAsia="Times New Roman" w:hAnsi="Times New Roman"/>
          <w:sz w:val="24"/>
          <w:szCs w:val="24"/>
        </w:rPr>
        <w:t xml:space="preserve">The carrier law factors exactly through the quotient. Two distinct 20-face states sharing the same selected axis and the same quotient projection always produce the same output. The law depends only on the quotient class, not on within-orbit variation. For symmetric states, the round-trip (project then lift) recovers the original state exactly. The carrier law is therefore a quotient law on the four-orbit state space with a carrier embedding, not a 20-face energy minimizer. The 20-face energy may increase during the projection step (observed in 0.1 percent of tested cases), but the quotient energy decreases monotonically and reaches zero. The distinction matters: the law is exact as a quotient dynamic but is not equivalent to intrinsic 20-face energy descent.</w:t>
      </w:r>
    </w:p>
    <w:p>
      <w:pPr>
        <w:pStyle w:val="Heading1"/>
        <w:spacing w:after="200" w:before="400"/>
      </w:pPr>
      <w:r>
        <w:rPr>
          <w:rFonts w:ascii="Times New Roman" w:cs="Times New Roman" w:eastAsia="Times New Roman" w:hAnsi="Times New Roman"/>
          <w:b/>
          <w:bCs/>
          <w:sz w:val="32"/>
          <w:szCs w:val="32"/>
        </w:rPr>
        <w:t xml:space="preserve">15. What This Buys and What It Does Not</w:t>
      </w:r>
    </w:p>
    <w:p>
      <w:pPr>
        <w:pStyle w:val="Heading2"/>
        <w:spacing w:after="200" w:before="240"/>
      </w:pPr>
      <w:r>
        <w:rPr>
          <w:rFonts w:ascii="Times New Roman" w:cs="Times New Roman" w:eastAsia="Times New Roman" w:hAnsi="Times New Roman"/>
          <w:b/>
          <w:bCs/>
          <w:sz w:val="28"/>
          <w:szCs w:val="28"/>
        </w:rPr>
        <w:t xml:space="preserve">15.1 The Earned Claim</w:t>
      </w:r>
    </w:p>
    <w:p>
      <w:pPr>
        <w:spacing w:after="200"/>
        <w:ind w:firstLine="360"/>
        <w:jc w:val="both"/>
      </w:pPr>
      <w:r>
        <w:rPr>
          <w:rFonts w:ascii="Times New Roman" w:cs="Times New Roman" w:eastAsia="Times New Roman" w:hAnsi="Times New Roman"/>
          <w:sz w:val="24"/>
          <w:szCs w:val="24"/>
        </w:rPr>
        <w:t xml:space="preserve">One substrate, deterministic throughout. One geometry, forced by the constitutive conditions of projection with no free parameters. One witness layer, where uncertainty arises from projection loss rather than substrate indeterminacy. The observer is made of the same substrate and can only sample it through projections that are themselves flex patterns. There is no measurement layer external to the substrate from which wavefunction collapse could ever have made sense. The quantum-classical split is a representational break, not a substrate break: two resolution-dependent readouts of a single flexing constructive manifold. What physics calls quantum and classical are different projection regimes of the same geometry.</w:t>
      </w:r>
    </w:p>
    <w:p>
      <w:pPr>
        <w:pStyle w:val="Heading2"/>
        <w:spacing w:after="200" w:before="240"/>
      </w:pPr>
      <w:r>
        <w:rPr>
          <w:rFonts w:ascii="Times New Roman" w:cs="Times New Roman" w:eastAsia="Times New Roman" w:hAnsi="Times New Roman"/>
          <w:b/>
          <w:bCs/>
          <w:sz w:val="28"/>
          <w:szCs w:val="28"/>
        </w:rPr>
        <w:t xml:space="preserve">15.2 What Is Not Claimed</w:t>
      </w:r>
    </w:p>
    <w:p>
      <w:pPr>
        <w:spacing w:after="200"/>
        <w:ind w:firstLine="360"/>
        <w:jc w:val="both"/>
      </w:pPr>
      <w:r>
        <w:rPr>
          <w:rFonts w:ascii="Times New Roman" w:cs="Times New Roman" w:eastAsia="Times New Roman" w:hAnsi="Times New Roman"/>
          <w:sz w:val="24"/>
          <w:szCs w:val="24"/>
        </w:rPr>
        <w:t xml:space="preserve">This paper does not derive Born statistics from the substrate, does not derive entanglement-like correlations, and does not demonstrate classical stability at coarse grain. These are downstream research targets, not present results. The carrier law is an exact quotient dynamic with carrier embedding; it is not equivalent to intrinsic 20-face energy minimization. The golden ratio enters the carrier Laplacian spectrum but has not been shown to appear in the full nonlinear dynamics of the carrier law. The relationship between the flat-substrate flex law and the carrier-constrained quotient law remains to be unified. These are honest scope limitations of a paper that has proved what it set out to prove and nothing more.</w:t>
      </w:r>
    </w:p>
    <w:p>
      <w:pPr>
        <w:pStyle w:val="Heading2"/>
        <w:spacing w:after="200" w:before="240"/>
      </w:pPr>
      <w:r>
        <w:rPr>
          <w:rFonts w:ascii="Times New Roman" w:cs="Times New Roman" w:eastAsia="Times New Roman" w:hAnsi="Times New Roman"/>
          <w:b/>
          <w:bCs/>
          <w:sz w:val="28"/>
          <w:szCs w:val="28"/>
        </w:rPr>
        <w:t xml:space="preserve">15.3 The Anti-Ether Closure</w:t>
      </w:r>
    </w:p>
    <w:p>
      <w:pPr>
        <w:spacing w:after="200"/>
        <w:ind w:firstLine="360"/>
        <w:jc w:val="both"/>
      </w:pPr>
      <w:r>
        <w:rPr>
          <w:rFonts w:ascii="Times New Roman" w:cs="Times New Roman" w:eastAsia="Times New Roman" w:hAnsi="Times New Roman"/>
          <w:sz w:val="24"/>
          <w:szCs w:val="24"/>
        </w:rPr>
        <w:t xml:space="preserve">The ether failed because it was an ontic posit without a forcing derivation. The substrate presented here survives because every step is entailed, not assumed. Triadic irreducibility forces the triangle. Operator and witness completeness force the dodecahedron. Duality forces the icosahedron. Admissibility criteria force hexagonal closure. Valence requirements force the flat development. The flex law is the first admissible energy-monotone dynamic. The projection law follows from observer-substrate identity. The carrier law is the minimal nonlocal extension that achieves universal convergence, verified exhaustively. At no point is a substance posited. At every point, a geometry is derived. This is not a medium hypothesis. It is a forced geometric closure theorem.</w:t>
      </w:r>
    </w:p>
    <w:p>
      <w:pPr>
        <w:spacing w:after="100"/>
      </w:pPr>
    </w:p>
    <w:p>
      <w:pPr>
        <w:pStyle w:val="Heading1"/>
        <w:spacing w:after="200" w:before="400"/>
      </w:pPr>
      <w:r>
        <w:rPr>
          <w:rFonts w:ascii="Times New Roman" w:cs="Times New Roman" w:eastAsia="Times New Roman" w:hAnsi="Times New Roman"/>
          <w:b/>
          <w:bCs/>
          <w:sz w:val="32"/>
          <w:szCs w:val="32"/>
        </w:rPr>
        <w:t xml:space="preserve">References</w:t>
      </w:r>
    </w:p>
    <w:p>
      <w:pPr>
        <w:spacing w:after="200"/>
        <w:jc w:val="both"/>
      </w:pPr>
      <w:r>
        <w:rPr>
          <w:rFonts w:ascii="Times New Roman" w:cs="Times New Roman" w:eastAsia="Times New Roman" w:hAnsi="Times New Roman"/>
          <w:sz w:val="24"/>
          <w:szCs w:val="24"/>
        </w:rPr>
        <w:t xml:space="preserve">[1] D. A. Generally, "The Generally Identity and Theorem," MetaCortex Dynamics DAO, 2026.</w:t>
      </w:r>
    </w:p>
    <w:p>
      <w:pPr>
        <w:spacing w:after="200"/>
        <w:jc w:val="both"/>
      </w:pPr>
      <w:r>
        <w:rPr>
          <w:rFonts w:ascii="Times New Roman" w:cs="Times New Roman" w:eastAsia="Times New Roman" w:hAnsi="Times New Roman"/>
          <w:sz w:val="24"/>
          <w:szCs w:val="24"/>
        </w:rPr>
        <w:t xml:space="preserve">[2] D. A. Generally, "Operator Completeness Theorem," MetaCortex Dynamics DAO, 2026.</w:t>
      </w:r>
    </w:p>
    <w:p>
      <w:pPr>
        <w:spacing w:after="200"/>
        <w:jc w:val="both"/>
      </w:pPr>
      <w:r>
        <w:rPr>
          <w:rFonts w:ascii="Times New Roman" w:cs="Times New Roman" w:eastAsia="Times New Roman" w:hAnsi="Times New Roman"/>
          <w:sz w:val="24"/>
          <w:szCs w:val="24"/>
        </w:rPr>
        <w:t xml:space="preserve">[3] D. A. Generally, "Universal Interrogative Theorem," MetaCortex Dynamics DAO, 2026.</w:t>
      </w:r>
    </w:p>
    <w:p>
      <w:pPr>
        <w:spacing w:after="200"/>
        <w:jc w:val="both"/>
      </w:pPr>
      <w:r>
        <w:rPr>
          <w:rFonts w:ascii="Times New Roman" w:cs="Times New Roman" w:eastAsia="Times New Roman" w:hAnsi="Times New Roman"/>
          <w:sz w:val="24"/>
          <w:szCs w:val="24"/>
        </w:rPr>
        <w:t xml:space="preserve">[4] D. A. Generally, "The Fragility Topology of Projection," MetaCortex Dynamics DAO, 2026.</w:t>
      </w:r>
    </w:p>
    <w:p>
      <w:pPr>
        <w:spacing w:after="200"/>
        <w:jc w:val="both"/>
      </w:pPr>
      <w:r>
        <w:rPr>
          <w:rFonts w:ascii="Times New Roman" w:cs="Times New Roman" w:eastAsia="Times New Roman" w:hAnsi="Times New Roman"/>
          <w:sz w:val="24"/>
          <w:szCs w:val="24"/>
        </w:rPr>
        <w:t xml:space="preserve">[5] D. A. Generally, "The TRIAD Deconstruction of Fibonacci Dynamics," MetaCortex Dynamics DAO, 2026.</w:t>
      </w:r>
    </w:p>
    <w:p>
      <w:pPr>
        <w:spacing w:after="200"/>
        <w:jc w:val="both"/>
      </w:pPr>
      <w:r>
        <w:rPr>
          <w:rFonts w:ascii="Times New Roman" w:cs="Times New Roman" w:eastAsia="Times New Roman" w:hAnsi="Times New Roman"/>
          <w:sz w:val="24"/>
          <w:szCs w:val="24"/>
        </w:rPr>
        <w:t xml:space="preserve">[6] D. A. Generally, "Admissibility Taxonomy of Minds," MetaCortex Dynamics DAO, 2026.</w:t>
      </w:r>
    </w:p>
    <w:p>
      <w:pPr>
        <w:spacing w:after="200"/>
        <w:jc w:val="both"/>
      </w:pPr>
      <w:r>
        <w:rPr>
          <w:rFonts w:ascii="Times New Roman" w:cs="Times New Roman" w:eastAsia="Times New Roman" w:hAnsi="Times New Roman"/>
          <w:sz w:val="24"/>
          <w:szCs w:val="24"/>
        </w:rPr>
        <w:t xml:space="preserve">[7] D. A. Generally, "Geomantic Execution Paper," MetaCortex Dynamics DAO, 2026.</w:t>
      </w:r>
    </w:p>
    <w:p>
      <w:pPr>
        <w:spacing w:after="200"/>
        <w:jc w:val="both"/>
      </w:pPr>
      <w:r>
        <w:rPr>
          <w:rFonts w:ascii="Times New Roman" w:cs="Times New Roman" w:eastAsia="Times New Roman" w:hAnsi="Times New Roman"/>
          <w:sz w:val="24"/>
          <w:szCs w:val="24"/>
        </w:rPr>
        <w:t xml:space="preserve">[8] J.-P. Luminet et al., "Dodecahedral space topology as an explanation for weak wide-angle temperature correlations in the cosmic microwave background," Nature 425 (2003) 593.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2026-04-12T14:26:33.382Z</dcterms:created>
  <dcterms:modified xsi:type="dcterms:W3CDTF">2026-04-12T14:26:33.383Z</dcterms:modified>
</cp:coreProperties>
</file>

<file path=docProps/custom.xml><?xml version="1.0" encoding="utf-8"?>
<Properties xmlns="http://schemas.openxmlformats.org/officeDocument/2006/custom-properties" xmlns:vt="http://schemas.openxmlformats.org/officeDocument/2006/docPropsVTypes"/>
</file>