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sz w:val="48"/>
          <w:szCs w:val="48"/>
        </w:rPr>
        <w:t xml:space="preserve">The Horizontal Automorphism</w:t>
      </w:r>
    </w:p>
    <w:p>
      <w:pPr>
        <w:spacing w:after="400"/>
        <w:jc w:val="center"/>
      </w:pPr>
      <w:r>
        <w:rPr>
          <w:rFonts w:ascii="Arial" w:cs="Arial" w:eastAsia="Arial" w:hAnsi="Arial"/>
          <w:i/>
          <w:iCs/>
          <w:sz w:val="28"/>
          <w:szCs w:val="28"/>
        </w:rPr>
        <w:t xml:space="preserve">Special Relativity as a Theorem of Contact Geometry Under Axiom 0</w:t>
      </w:r>
    </w:p>
    <w:p>
      <w:pPr>
        <w:spacing w:after="100"/>
        <w:jc w:val="center"/>
      </w:pPr>
      <w:r>
        <w:rPr>
          <w:rFonts w:ascii="Arial" w:cs="Arial" w:eastAsia="Arial" w:hAnsi="Arial"/>
          <w:sz w:val="24"/>
          <w:szCs w:val="24"/>
        </w:rPr>
        <w:t xml:space="preserve">Devon A. Generally</w:t>
      </w:r>
    </w:p>
    <w:p>
      <w:pPr>
        <w:spacing w:after="100"/>
        <w:jc w:val="center"/>
      </w:pPr>
      <w:r>
        <w:rPr>
          <w:rFonts w:ascii="Arial" w:cs="Arial" w:eastAsia="Arial" w:hAnsi="Arial"/>
          <w:i/>
          <w:iCs/>
          <w:sz w:val="22"/>
          <w:szCs w:val="22"/>
        </w:rPr>
        <w:t xml:space="preserve">MetaCortex Dynamics DAO</w:t>
      </w:r>
    </w:p>
    <w:p>
      <w:pPr>
        <w:spacing w:after="400"/>
        <w:jc w:val="center"/>
      </w:pPr>
      <w:r>
        <w:rPr>
          <w:rFonts w:ascii="Arial" w:cs="Arial" w:eastAsia="Arial" w:hAnsi="Arial"/>
          <w:sz w:val="22"/>
          <w:szCs w:val="22"/>
        </w:rPr>
        <w:t xml:space="preserve">February 2026</w:t>
      </w:r>
    </w:p>
    <w:p>
      <w:pPr>
        <w:spacing w:after="100"/>
        <w:jc w:val="center"/>
      </w:pPr>
      <w:r>
        <w:rPr>
          <w:rFonts w:ascii="Arial" w:cs="Arial" w:eastAsia="Arial" w:hAnsi="Arial"/>
          <w:i/>
          <w:iCs/>
          <w:sz w:val="20"/>
          <w:szCs w:val="20"/>
        </w:rPr>
        <w:t xml:space="preserve">Companion to: Impedance of the Unfolding (Generally, 2026)</w:t>
      </w:r>
    </w:p>
    <w:p>
      <w:pPr>
        <w:spacing w:after="100"/>
        <w:jc w:val="center"/>
      </w:pPr>
      <w:r>
        <w:rPr>
          <w:rFonts w:ascii="Arial" w:cs="Arial" w:eastAsia="Arial" w:hAnsi="Arial"/>
          <w:sz w:val="20"/>
          <w:szCs w:val="20"/>
        </w:rPr>
        <w:t xml:space="preserve">Status: RESEARCH PAPER | Classification: MetaCortex Dynamics DAO IP</w:t>
      </w:r>
    </w:p>
    <w:p>
      <w:r>
        <w:br w:type="page"/>
      </w:r>
    </w:p>
    <w:p>
      <w:pPr>
        <w:pStyle w:val="Heading1"/>
      </w:pPr>
      <w:r>
        <w:t xml:space="preserve">Abstract</w:t>
      </w:r>
    </w:p>
    <w:p>
      <w:pPr>
        <w:spacing w:after="200" w:line="276"/>
      </w:pPr>
      <w:r>
        <w:t xml:space="preserve">We derive special relativity as a theorem of contact geometry. Starting from Axiom 0 (time is the unfolding of genealogical continuity) and the physical contact form α = dS − λ·ds coupling entropy production to spacetime propagation, we prove that the automorphism group of the horizontal distribution of a (3,1)+1 contact manifold with Lorentzian-signature restriction of dα is the Lorentz group. The invariance of the speed of light, time dilation, length contraction, the relativity of simultaneity, and the mass-energy equivalence are derived as geometric consequences of contact non-degeneracy and horizontal automorphism invariance, with no independent postulates required.</w:t>
      </w:r>
    </w:p>
    <w:p>
      <w:pPr>
        <w:spacing w:after="200" w:line="276"/>
      </w:pPr>
      <w:r>
        <w:t xml:space="preserve">The framework resolves the foundational circularity of special relativity: the theory’s two postulates (the principle of relativity and the invariance of c) are not independent axioms but are both consequences of a single geometric structure—the contact form coupling dynamics to witnessing. The principle of relativity is the statement that horizontal automorphisms preserve the contact form. The invariance of c is the statement that the horizontal projection of the entropy cost per causal step is automorphism-invariant. Both follow from α ∧ dα ≠ 0.</w:t>
      </w:r>
    </w:p>
    <w:p>
      <w:pPr>
        <w:spacing w:after="200" w:line="276"/>
      </w:pPr>
      <w:r>
        <w:t xml:space="preserve">We further show that the transition from special to general relativity corresponds to the transition from flat to curved contact geometry, with the Einstein field equations emerging as integrability conditions on the curvature of α subject to archive sufficiency preservation. We then test the cognitive predictions experimentally on LOB admissibility systems and discover that the contact form admits two distinct modes: passive (automatic Reeb flow, producing Lorentz kinematics in physical systems) and active (triggered Reeb flow, producing logistic sigmoid kinematics in governed cognitive systems). The naive prediction of cognitive time dilation is falsified; the refined active/passive mode distinction is a structural feature of the contact geometry itself.</w:t>
      </w:r>
    </w:p>
    <w:p>
      <w:pPr>
        <w:spacing w:after="200" w:line="276"/>
      </w:pPr>
      <w:r>
        <w:rPr>
          <w:b/>
          <w:bCs/>
          <w:sz w:val="22"/>
          <w:szCs w:val="22"/>
        </w:rPr>
        <w:t xml:space="preserve">Keywords: </w:t>
      </w:r>
      <w:r>
        <w:rPr>
          <w:i/>
          <w:iCs/>
          <w:sz w:val="22"/>
          <w:szCs w:val="22"/>
        </w:rPr>
        <w:t xml:space="preserve">contact geometry, special relativity, Lorentz group, horizontal automorphism, entropy cost, sub-Riemannian geometry, Axiom 0, archive sufficiency, general relativity</w:t>
      </w:r>
    </w:p>
    <w:p>
      <w:r>
        <w:br w:type="page"/>
      </w:r>
    </w:p>
    <w:p>
      <w:pPr>
        <w:pStyle w:val="Heading1"/>
      </w:pPr>
      <w:r>
        <w:t xml:space="preserve">1. Introduction</w:t>
      </w:r>
    </w:p>
    <w:p>
      <w:pPr>
        <w:pStyle w:val="Heading2"/>
      </w:pPr>
      <w:r>
        <w:t xml:space="preserve">1.1 The Two-Postulate Problem</w:t>
      </w:r>
    </w:p>
    <w:p>
      <w:pPr>
        <w:spacing w:after="200" w:line="276"/>
      </w:pPr>
      <w:r>
        <w:t xml:space="preserve">Special relativity rests on two postulates: the principle of relativity (the laws of physics are the same in all inertial frames) and the invariance of the speed of light (c is the same for all inertial observers regardless of the motion of the source). These postulates are logically independent within the standard formulation. The first constrains the symmetry group of physics; the second fixes a specific invariant speed. Together they determine the Lorentz group as the spacetime symmetry, but neither explains the other.</w:t>
      </w:r>
    </w:p>
    <w:p>
      <w:pPr>
        <w:spacing w:after="200" w:line="276"/>
      </w:pPr>
      <w:r>
        <w:t xml:space="preserve">This logical independence has troubled physicists since 1905. Why should there exist a universal speed at all? Why should it be invariant? The standard response is empirical: experiment confirms it. But the question of derivability remains. If a deeper structure exists from which both postulates follow, the logical architecture of physics simplifies: two axioms reduce to one geometric condition.</w:t>
      </w:r>
    </w:p>
    <w:p>
      <w:pPr>
        <w:pStyle w:val="Heading2"/>
      </w:pPr>
      <w:r>
        <w:t xml:space="preserve">1.2 Axiom 0 and the Contact Resolution</w:t>
      </w:r>
    </w:p>
    <w:p>
      <w:pPr>
        <w:spacing w:after="200" w:line="276"/>
      </w:pPr>
      <w:r>
        <w:t xml:space="preserve">Axiom 0 of the Mathematics-as-Language (MaL) framework states: time is the unfolding of genealogical continuity. The companion paper (Impedance of the Unfolding, Generally 2026) introduces the physical contact form α = dS − λ·ds and shows that the speed of light is the horizontal projection of the entropy cost per causal step ξ. This paper develops the full consequences of that identification.</w:t>
      </w:r>
    </w:p>
    <w:p>
      <w:pPr>
        <w:spacing w:after="200" w:line="276"/>
      </w:pPr>
      <w:r>
        <w:t xml:space="preserve">The central theorem is: the automorphism group of the horizontal distribution of a (3,1)+1 contact manifold, with the restriction that dα has Lorentzian signature on the horizontal subspace, is the Lorentz group. Every result of special relativity follows. No independent postulate about c is needed. No independent postulate about relativity is needed. The contact form provides both.</w:t>
      </w:r>
    </w:p>
    <w:p>
      <w:pPr>
        <w:pStyle w:val="Heading2"/>
      </w:pPr>
      <w:r>
        <w:t xml:space="preserve">1.3 Contributions</w:t>
      </w:r>
    </w:p>
    <w:p>
      <w:pPr>
        <w:spacing w:after="200" w:line="276"/>
      </w:pPr>
      <w:r>
        <w:t xml:space="preserve">This paper makes seven contributions. First, we construct the physical contact manifold and identify its horizontal distribution with spacetime dynamics and its Reeb direction with entropy witnessing (Section 2). Second, we prove that the horizontal automorphism group is the Lorentz group (Section 3). Third, we derive time dilation, length contraction, the relativity of simultaneity, and mass-energy equivalence as contact-geometric theorems (Section 4). Fourth, we identify inertial frames with horizontal geodesics and acceleration with geodesic deviation in the sub-Riemannian metric (Section 5). Fifth, we show that the transition to general relativity is the introduction of curvature on the contact manifold, with the Einstein field equations as integrability conditions on α (Section 6). Sixth, we identify the active/passive mode distinction in the contact form’s Reeb flow mechanism, predicting sigmoid rather than Lorentz kinematics for governed cognitive systems (Section 7). Seventh, we experimentally falsify the naive cognitive Lorentz prediction and confirm the sigmoid kinematic law on LOB admissibility systems (Section 8).</w:t>
      </w:r>
    </w:p>
    <w:p>
      <w:r>
        <w:br w:type="page"/>
      </w:r>
    </w:p>
    <w:p>
      <w:pPr>
        <w:pStyle w:val="Heading1"/>
      </w:pPr>
      <w:r>
        <w:t xml:space="preserve">2. The Physical Contact Manifold</w:t>
      </w:r>
    </w:p>
    <w:p>
      <w:pPr>
        <w:pStyle w:val="Heading2"/>
      </w:pPr>
      <w:r>
        <w:t xml:space="preserve">2.1 Construction</w:t>
      </w:r>
    </w:p>
    <w:p>
      <w:pPr>
        <w:spacing w:after="200" w:line="276"/>
      </w:pPr>
      <w:r>
        <w:rPr>
          <w:b/>
          <w:bCs/>
        </w:rPr>
        <w:t xml:space="preserve">Definition 2.1 (Physical Contact Manifold). </w:t>
      </w:r>
      <w:r>
        <w:t xml:space="preserve">Let M be a 5-dimensional smooth manifold with coordinates (t, x¹, x², x³, S), where (t, x¹, x², x³) are spacetime coordinates and S is entropy. The physical contact form is:</w:t>
      </w:r>
    </w:p>
    <w:p>
      <w:pPr>
        <w:spacing w:before="120" w:after="120" w:line="276"/>
        <w:ind w:left="720"/>
      </w:pPr>
      <w:r>
        <w:rPr>
          <w:rFonts w:ascii="Courier New" w:cs="Courier New" w:eastAsia="Courier New" w:hAnsi="Courier New"/>
          <w:sz w:val="20"/>
          <w:szCs w:val="20"/>
        </w:rPr>
        <w:t xml:space="preserve">α = dS − λ(x)·ds</w:t>
      </w:r>
    </w:p>
    <w:p>
      <w:pPr>
        <w:spacing w:after="200" w:line="276"/>
      </w:pPr>
      <w:r>
        <w:t xml:space="preserve">where ds² = −c²dt² + (dx¹)² + (dx²)² + (dx³)² is the spacetime interval and λ(x) is the entropy-spacetime coupling function. In vacuum, λ is constant. The contact condition α ∧ dα ∧ dα ≠ 0 is satisfied because dα = −dλ ∧ ds − λ·d(ds), which has non-degenerate restriction to ker(α).</w:t>
      </w:r>
    </w:p>
    <w:p>
      <w:pPr>
        <w:pStyle w:val="Heading2"/>
      </w:pPr>
      <w:r>
        <w:t xml:space="preserve">2.2 The Horizontal Distribution</w:t>
      </w:r>
    </w:p>
    <w:p>
      <w:pPr>
        <w:spacing w:after="200" w:line="276"/>
      </w:pPr>
      <w:r>
        <w:rPr>
          <w:b/>
          <w:bCs/>
        </w:rPr>
        <w:t xml:space="preserve">Definition 2.2 (Horizontal Distribution). </w:t>
      </w:r>
      <w:r>
        <w:t xml:space="preserve">The horizontal distribution D = ker(α) is the 4-dimensional subspace of TM at each point where α vanishes:</w:t>
      </w:r>
    </w:p>
    <w:p>
      <w:pPr>
        <w:spacing w:before="120" w:after="120" w:line="276"/>
        <w:ind w:left="720"/>
      </w:pPr>
      <w:r>
        <w:rPr>
          <w:rFonts w:ascii="Courier New" w:cs="Courier New" w:eastAsia="Courier New" w:hAnsi="Courier New"/>
          <w:sz w:val="20"/>
          <w:szCs w:val="20"/>
        </w:rPr>
        <w:t xml:space="preserve">D_p = { v ∈ T_pM : dS(v) = λ · ds(v) }</w:t>
      </w:r>
    </w:p>
    <w:p>
      <w:pPr>
        <w:spacing w:after="200" w:line="276"/>
      </w:pPr>
      <w:r>
        <w:t xml:space="preserve">A vector is horizontal if the entropy change it produces equals λ times the spacetime interval it traverses. Horizontal motion couples dynamics to witnessing at exactly the rate set by λ. This is the subspace where physics happens—where causal propagation and entropy production are in balance.</w:t>
      </w:r>
    </w:p>
    <w:p>
      <w:pPr>
        <w:pStyle w:val="Heading2"/>
      </w:pPr>
      <w:r>
        <w:t xml:space="preserve">2.3 The Reeb Direction</w:t>
      </w:r>
    </w:p>
    <w:p>
      <w:pPr>
        <w:spacing w:after="200" w:line="276"/>
      </w:pPr>
      <w:r>
        <w:rPr>
          <w:b/>
          <w:bCs/>
        </w:rPr>
        <w:t xml:space="preserve">Definition 2.3 (Reeb Vector Field). </w:t>
      </w:r>
      <w:r>
        <w:t xml:space="preserve">The Reeb vector field R satisfies α(R) = 1 and dα(R, ·) = 0. It points in the direction of pure entropy production with no spacetime displacement:</w:t>
      </w:r>
    </w:p>
    <w:p>
      <w:pPr>
        <w:spacing w:before="120" w:after="120" w:line="276"/>
        <w:ind w:left="720"/>
      </w:pPr>
      <w:r>
        <w:rPr>
          <w:rFonts w:ascii="Courier New" w:cs="Courier New" w:eastAsia="Courier New" w:hAnsi="Courier New"/>
          <w:sz w:val="20"/>
          <w:szCs w:val="20"/>
        </w:rPr>
        <w:t xml:space="preserve">R = ∂/∂S</w:t>
      </w:r>
    </w:p>
    <w:p>
      <w:pPr>
        <w:spacing w:after="200" w:line="276"/>
      </w:pPr>
      <w:r>
        <w:t xml:space="preserve">Flow along R is pure witnessing: irreversible entropy increase that records the occurrence of a causal event without itself propagating through spacetime. A measurement is a localized flow along R. An observation is a projection from the horizontal distribution onto a detector, mediated by Reeb flow. The transversality of R to D is what makes self-witnessing coherent: the witnessing direction is geometrically distinct from the dynamics direction.</w:t>
      </w:r>
    </w:p>
    <w:p>
      <w:pPr>
        <w:pStyle w:val="Heading2"/>
      </w:pPr>
      <w:r>
        <w:t xml:space="preserve">2.4 The Contact Metric</w:t>
      </w:r>
    </w:p>
    <w:p>
      <w:pPr>
        <w:spacing w:after="200" w:line="276"/>
      </w:pPr>
      <w:r>
        <w:t xml:space="preserve">The restriction of dα to D induces a bilinear form on the horizontal distribution. We require this form to have Lorentzian signature (3,1):</w:t>
      </w:r>
    </w:p>
    <w:p>
      <w:pPr>
        <w:spacing w:before="120" w:after="120" w:line="276"/>
        <w:ind w:left="720"/>
      </w:pPr>
      <w:r>
        <w:rPr>
          <w:rFonts w:ascii="Courier New" w:cs="Courier New" w:eastAsia="Courier New" w:hAnsi="Courier New"/>
          <w:sz w:val="20"/>
          <w:szCs w:val="20"/>
        </w:rPr>
        <w:t xml:space="preserve">g_D = dα|_D has signature (−, +, +, +)</w:t>
      </w:r>
    </w:p>
    <w:p>
      <w:pPr>
        <w:spacing w:after="200" w:line="276"/>
      </w:pPr>
      <w:r>
        <w:t xml:space="preserve">This is not an additional postulate. The horizontal distribution inherits spacetime as its coordinate system. The signature of dα on D is the signature of spacetime itself—the way entropy couples to different spacetime directions. The minus sign on the temporal direction reflects the fact that timelike propagation costs entropy at a different rate than spacelike propagation. Specifically, timelike propagation along a worldline accumulates entropy (maintains causal continuity), while spacelike displacement at fixed time does not (it is geometrically orthogonal to the Reeb direction in a different sense than timelike displacement).</w:t>
      </w:r>
    </w:p>
    <w:p>
      <w:r>
        <w:br w:type="page"/>
      </w:r>
    </w:p>
    <w:p>
      <w:pPr>
        <w:pStyle w:val="Heading1"/>
      </w:pPr>
      <w:r>
        <w:t xml:space="preserve">3. The Horizontal Automorphism Theorem</w:t>
      </w:r>
    </w:p>
    <w:p>
      <w:pPr>
        <w:pStyle w:val="Heading2"/>
      </w:pPr>
      <w:r>
        <w:t xml:space="preserve">3.1 Statement</w:t>
      </w:r>
    </w:p>
    <w:p>
      <w:pPr>
        <w:spacing w:after="200" w:line="276"/>
      </w:pPr>
      <w:r>
        <w:rPr>
          <w:b/>
          <w:bCs/>
        </w:rPr>
        <w:t xml:space="preserve">Theorem 3.1 (Horizontal Automorphism). </w:t>
      </w:r>
      <w:r>
        <w:t xml:space="preserve">Let (M, α) be a physical contact manifold with dim(M) = 5, horizontal distribution D = ker(α), and Lorentzian-signature dα|_D. The group of diffeomorphisms φ: M → M satisfying:</w:t>
      </w:r>
    </w:p>
    <w:p>
      <w:pPr>
        <w:spacing w:after="160" w:line="276"/>
        <w:ind w:left="720"/>
      </w:pPr>
      <w:r>
        <w:rPr>
          <w:i/>
          <w:iCs/>
        </w:rPr>
        <w:t xml:space="preserve">(i) φ preserves the horizontal distribution: φ*D = D</w:t>
      </w:r>
    </w:p>
    <w:p>
      <w:pPr>
        <w:spacing w:after="160" w:line="276"/>
        <w:ind w:left="720"/>
      </w:pPr>
      <w:r>
        <w:rPr>
          <w:i/>
          <w:iCs/>
        </w:rPr>
        <w:t xml:space="preserve">(ii) φ preserves the contact form up to scale: φ*α = f·α for some f &gt; 0</w:t>
      </w:r>
    </w:p>
    <w:p>
      <w:pPr>
        <w:spacing w:after="160" w:line="276"/>
        <w:ind w:left="720"/>
      </w:pPr>
      <w:r>
        <w:rPr>
          <w:i/>
          <w:iCs/>
        </w:rPr>
        <w:t xml:space="preserve">(iii) φ preserves the Lorentzian metric on D: φ*g_D = g_D</w:t>
      </w:r>
    </w:p>
    <w:p>
      <w:pPr>
        <w:spacing w:after="200" w:line="276"/>
      </w:pPr>
      <w:r>
        <w:t xml:space="preserve">is isomorphic to O(3,1), the Lorentz group. If we further require orientation and time-orientation preservation, the restricted group is the proper orthochronous Lorentz group SO⁺(3,1).</w:t>
      </w:r>
    </w:p>
    <w:p>
      <w:pPr>
        <w:pStyle w:val="Heading2"/>
      </w:pPr>
      <w:r>
        <w:t xml:space="preserve">3.2 Proof</w:t>
      </w:r>
    </w:p>
    <w:p>
      <w:pPr>
        <w:spacing w:after="200" w:line="276"/>
      </w:pPr>
      <w:r>
        <w:rPr>
          <w:b/>
          <w:bCs/>
        </w:rPr>
        <w:t xml:space="preserve">Step 1: Horizontal preservation constrains the diffeomorphism to act within D. </w:t>
      </w:r>
      <w:r>
        <w:t xml:space="preserve">Any φ satisfying (i) maps horizontal vectors to horizontal vectors. Since D is 4-dimensional and has Lorentzian signature via g_D, the restriction φ|_D is a linear isometry of a (3,1)-dimensional vector space at each point. The group of such isometries is O(3,1) by the classification of isometry groups of non-degenerate bilinear forms.</w:t>
      </w:r>
    </w:p>
    <w:p>
      <w:pPr>
        <w:spacing w:after="200" w:line="276"/>
      </w:pPr>
      <w:r>
        <w:rPr>
          <w:b/>
          <w:bCs/>
        </w:rPr>
        <w:t xml:space="preserve">Step 2: Contact form preservation fixes the vertical component. </w:t>
      </w:r>
      <w:r>
        <w:t xml:space="preserve">Condition (ii) requires φ*α = f·α. Since α(R) = 1 and R = ∂/∂S, this means φ rescales the entropy coordinate by f. But condition (iii) requires the metric on D to be preserved exactly (not up to scale), which forces f = 1 at every point. Therefore φ*α = α exactly: the contact form is preserved, not just conformally preserved.</w:t>
      </w:r>
    </w:p>
    <w:p>
      <w:pPr>
        <w:spacing w:after="200" w:line="276"/>
      </w:pPr>
      <w:r>
        <w:rPr>
          <w:b/>
          <w:bCs/>
        </w:rPr>
        <w:t xml:space="preserve">Step 3: Exactness eliminates translations. </w:t>
      </w:r>
      <w:r>
        <w:t xml:space="preserve">The contact form preservation φ*α = α combined with D-preservation means that φ acts as an isometry of the sub-Riemannian structure (D, g_D). At a fixed basepoint, the stabilizer of the sub-Riemannian structure is precisely the isometry group of g_D at that point, which is O(3,1). Translations along horizontal directions change the basepoint but preserve the structure; however, these correspond to spacetime translations, not Lorentz transformations. The Lorentz group is the subgroup fixing a point (the origin of the reference frame).</w:t>
      </w:r>
    </w:p>
    <w:p>
      <w:pPr>
        <w:spacing w:after="200" w:line="276"/>
      </w:pPr>
      <w:r>
        <w:rPr>
          <w:b/>
          <w:bCs/>
        </w:rPr>
        <w:t xml:space="preserve">Step 4: The full Poincaré group. </w:t>
      </w:r>
      <w:r>
        <w:t xml:space="preserve">Including horizontal translations yields the Poincaré group ISO(3,1) = ℝ³·¹ ⋋ O(3,1) as the full symmetry group of the physical contact manifold. The Lorentz group is the stabilizer subgroup at a point. The Poincaré group is the symmetry group of the global structure.</w:t>
      </w:r>
    </w:p>
    <w:p>
      <w:pPr>
        <w:pStyle w:val="Heading2"/>
      </w:pPr>
      <w:r>
        <w:t xml:space="preserve">3.3 Recovery of Einstein’s Postulates</w:t>
      </w:r>
    </w:p>
    <w:p>
      <w:pPr>
        <w:spacing w:after="200" w:line="276"/>
      </w:pPr>
      <w:r>
        <w:rPr>
          <w:b/>
          <w:bCs/>
        </w:rPr>
        <w:t xml:space="preserve">Corollary 3.2 (Principle of Relativity). </w:t>
      </w:r>
      <w:r>
        <w:t xml:space="preserve">The laws of physics, expressed as differential equations on the horizontal distribution, are invariant under horizontal automorphisms. This is the principle of relativity: the same equations hold in all frames related by Lorentz transformations.</w:t>
      </w:r>
    </w:p>
    <w:p>
      <w:pPr>
        <w:spacing w:after="200" w:line="276"/>
      </w:pPr>
      <w:r>
        <w:t xml:space="preserve">This follows immediately: horizontal automorphisms preserve D, preserve g_D, and preserve α. Any equation built from these structures is invariant.</w:t>
      </w:r>
    </w:p>
    <w:p>
      <w:pPr>
        <w:spacing w:after="200" w:line="276"/>
      </w:pPr>
      <w:r>
        <w:rPr>
          <w:b/>
          <w:bCs/>
        </w:rPr>
        <w:t xml:space="preserve">Corollary 3.3 (Invariance of c). </w:t>
      </w:r>
      <w:r>
        <w:t xml:space="preserve">The speed of light c, defined as the horizontal projection of the entropy cost per causal step ξ, is invariant under horizontal automorphisms.</w:t>
      </w:r>
    </w:p>
    <w:p>
      <w:pPr>
        <w:spacing w:after="200" w:line="276"/>
      </w:pPr>
      <w:r>
        <w:t xml:space="preserve">The entropy cost ξ is determined by α and g_D. Both are preserved by horizontal automorphisms. Therefore ξ is invariant. Its horizontal projection c is invariant.</w:t>
      </w:r>
    </w:p>
    <w:p>
      <w:pPr>
        <w:spacing w:after="200" w:line="276"/>
      </w:pPr>
      <w:r>
        <w:t xml:space="preserve">Einstein’s two postulates are not independent axioms. They are two corollaries of one theorem about horizontal automorphisms of a contact manifold.</w:t>
      </w:r>
    </w:p>
    <w:p>
      <w:r>
        <w:br w:type="page"/>
      </w:r>
    </w:p>
    <w:p>
      <w:pPr>
        <w:pStyle w:val="Heading1"/>
      </w:pPr>
      <w:r>
        <w:t xml:space="preserve">4. Derivation of Relativistic Phenomena</w:t>
      </w:r>
    </w:p>
    <w:p>
      <w:pPr>
        <w:pStyle w:val="Heading2"/>
      </w:pPr>
      <w:r>
        <w:t xml:space="preserve">4.1 Time Dilation</w:t>
      </w:r>
    </w:p>
    <w:p>
      <w:pPr>
        <w:spacing w:after="200" w:line="276"/>
      </w:pPr>
      <w:r>
        <w:rPr>
          <w:b/>
          <w:bCs/>
        </w:rPr>
        <w:t xml:space="preserve">Theorem 4.1 (Time Dilation). </w:t>
      </w:r>
      <w:r>
        <w:t xml:space="preserve">Let γ₁ and γ₂ be two worldlines connecting the same pair of spacetime events, with γ₁ at rest and γ₂ moving at velocity v. The ratio of proper times satisfies:</w:t>
      </w:r>
    </w:p>
    <w:p>
      <w:pPr>
        <w:spacing w:before="120" w:after="120" w:line="276"/>
        <w:ind w:left="720"/>
      </w:pPr>
      <w:r>
        <w:rPr>
          <w:rFonts w:ascii="Courier New" w:cs="Courier New" w:eastAsia="Courier New" w:hAnsi="Courier New"/>
          <w:sz w:val="20"/>
          <w:szCs w:val="20"/>
        </w:rPr>
        <w:t xml:space="preserve">τ₂/τ₁ = √(1 − v²/c²)</w:t>
      </w:r>
    </w:p>
    <w:p>
      <w:pPr>
        <w:spacing w:after="200" w:line="276"/>
      </w:pPr>
      <w:r>
        <w:rPr>
          <w:b/>
          <w:bCs/>
          <w:i/>
          <w:iCs/>
        </w:rPr>
        <w:t xml:space="preserve">Proof. </w:t>
      </w:r>
      <w:r>
        <w:t xml:space="preserve">Proper time along a worldline γ is the integral of the contact form along γ:</w:t>
      </w:r>
    </w:p>
    <w:p>
      <w:pPr>
        <w:spacing w:before="120" w:after="120" w:line="276"/>
        <w:ind w:left="720"/>
      </w:pPr>
      <w:r>
        <w:rPr>
          <w:rFonts w:ascii="Courier New" w:cs="Courier New" w:eastAsia="Courier New" w:hAnsi="Courier New"/>
          <w:sz w:val="20"/>
          <w:szCs w:val="20"/>
        </w:rPr>
        <w:t xml:space="preserve">τ[γ] = ∫_γ α = ∫_γ (dS − λ·ds)</w:t>
      </w:r>
    </w:p>
    <w:p>
      <w:pPr>
        <w:spacing w:after="200" w:line="276"/>
      </w:pPr>
      <w:r>
        <w:t xml:space="preserve">For a horizontal worldline (one satisfying the contact constraint dS = λ·ds at every point), the integrand reduces to the spacetime interval:</w:t>
      </w:r>
    </w:p>
    <w:p>
      <w:pPr>
        <w:spacing w:before="120" w:after="120" w:line="276"/>
        <w:ind w:left="720"/>
      </w:pPr>
      <w:r>
        <w:rPr>
          <w:rFonts w:ascii="Courier New" w:cs="Courier New" w:eastAsia="Courier New" w:hAnsi="Courier New"/>
          <w:sz w:val="20"/>
          <w:szCs w:val="20"/>
        </w:rPr>
        <w:t xml:space="preserve">τ[γ] = λ ∫_γ ds = λ ∫_γ √(−c²dt² + dx²)</w:t>
      </w:r>
    </w:p>
    <w:p>
      <w:pPr>
        <w:spacing w:after="200" w:line="276"/>
      </w:pPr>
      <w:r>
        <w:t xml:space="preserve">For γ₁ at rest (dx = 0): τ₁ = λ c Δt. For γ₂ moving at velocity v (dx = v·dt): τ₂ = λ c Δt √(1 − v²/c²). The ratio τ₂/τ₁ = √(1 − v²/c²) is the standard time dilation factor. The moving worldline traverses less spacetime interval and therefore accumulates less entropy—fewer Reeb ticks—between the same pair of events. In the CSRHS language: the liquid time constant places fewer tick boundaries along the moving worldline because vertical accumulation proceeds more slowly.</w:t>
      </w:r>
    </w:p>
    <w:p>
      <w:pPr>
        <w:pStyle w:val="Heading2"/>
      </w:pPr>
      <w:r>
        <w:t xml:space="preserve">4.2 Length Contraction</w:t>
      </w:r>
    </w:p>
    <w:p>
      <w:pPr>
        <w:spacing w:after="200" w:line="276"/>
      </w:pPr>
      <w:r>
        <w:rPr>
          <w:b/>
          <w:bCs/>
        </w:rPr>
        <w:t xml:space="preserve">Theorem 4.2 (Length Contraction). </w:t>
      </w:r>
      <w:r>
        <w:t xml:space="preserve">A rod of proper length L₀, at rest in frame S′ and moving at velocity v in frame S, has contracted length L = L₀√(1 − v²/c²) in S.</w:t>
      </w:r>
    </w:p>
    <w:p>
      <w:pPr>
        <w:spacing w:after="200" w:line="276"/>
      </w:pPr>
      <w:r>
        <w:rPr>
          <w:b/>
          <w:bCs/>
          <w:i/>
          <w:iCs/>
        </w:rPr>
        <w:t xml:space="preserve">Proof. </w:t>
      </w:r>
      <w:r>
        <w:t xml:space="preserve">The contact form preservation condition φ*α = α under a boost couples the temporal and spatial components of the horizontal distribution. A boost by velocity v in the x¹-direction is a horizontal automorphism that mixes t and x¹ while preserving g_D. The simultaneity surface in the boosted frame (the set of events at constant boosted time t′) intersects the rod’s worldtube at a different angle than the rest frame’s simultaneity surface. The intersection length is L₀√(1 − v²/c²) by the Lorentzian metric on D.</w:t>
      </w:r>
    </w:p>
    <w:p>
      <w:pPr>
        <w:spacing w:after="200" w:line="276"/>
      </w:pPr>
      <w:r>
        <w:t xml:space="preserve">Contact-geometrically: the horizontal distribution must maintain non-degeneracy (α ∧ dα ≠ 0) after the boost. Since the boost changes the Reeb accumulation rate along the rod’s worldtube (by time dilation), the horizontal extent must compensate to preserve the contact volume form. The contraction is the horizontal adjustment required by contact non-degeneracy.</w:t>
      </w:r>
    </w:p>
    <w:p>
      <w:pPr>
        <w:pStyle w:val="Heading2"/>
      </w:pPr>
      <w:r>
        <w:t xml:space="preserve">4.3 Relativity of Simultaneity</w:t>
      </w:r>
    </w:p>
    <w:p>
      <w:pPr>
        <w:spacing w:after="200" w:line="276"/>
      </w:pPr>
      <w:r>
        <w:rPr>
          <w:b/>
          <w:bCs/>
        </w:rPr>
        <w:t xml:space="preserve">Theorem 4.3 (Non-Integrability of Simultaneity). </w:t>
      </w:r>
      <w:r>
        <w:t xml:space="preserve">The horizontal distribution D of the physical contact manifold is maximally non-integrable. There exists no codimension-1 foliation of the horizontal subspace that is invariant under all horizontal automorphisms.</w:t>
      </w:r>
    </w:p>
    <w:p>
      <w:pPr>
        <w:spacing w:after="200" w:line="276"/>
      </w:pPr>
      <w:r>
        <w:rPr>
          <w:b/>
          <w:bCs/>
          <w:i/>
          <w:iCs/>
        </w:rPr>
        <w:t xml:space="preserve">Proof. </w:t>
      </w:r>
      <w:r>
        <w:t xml:space="preserve">The contact condition α ∧ dα ∧ dα ≠ 0 is equivalent to the maximal non-integrability of D = ker(α). By the Frobenius theorem, D is integrable if and only if dα|_D = 0. But dα|_D = g_D has Lorentzian signature, which is non-degenerate. Therefore D is maximally non-integrable: there is no hypersurface in M everywhere tangent to D.</w:t>
      </w:r>
    </w:p>
    <w:p>
      <w:pPr>
        <w:spacing w:after="200" w:line="276"/>
      </w:pPr>
      <w:r>
        <w:t xml:space="preserve">Each observer defines a local simultaneity surface as the spacelike slice of D at constant proper time. Different observers, related by boosts, have different simultaneity surfaces. These surfaces cannot be stitched into a global foliation because D is non-integrable. The relativity of simultaneity is not an artifact of light-signal synchronization conventions. It is the defining geometric property of the contact structure: the horizontal distribution does not integrate.</w:t>
      </w:r>
    </w:p>
    <w:p>
      <w:pPr>
        <w:spacing w:after="200" w:line="276"/>
      </w:pPr>
      <w:r>
        <w:t xml:space="preserve">This is the deepest of the SR results because it connects to the foundational structure of contact geometry itself. A contact manifold is precisely one whose horizontal distribution is maximally non-integrable. If simultaneity were absolute, the horizontal distribution would be integrable, the contact condition would fail, and self-witnessing would become circular. The relativity of simultaneity is the price of coherent self-witnessing.</w:t>
      </w:r>
    </w:p>
    <w:p>
      <w:pPr>
        <w:pStyle w:val="Heading2"/>
      </w:pPr>
      <w:r>
        <w:t xml:space="preserve">4.4 Mass-Energy Equivalence</w:t>
      </w:r>
    </w:p>
    <w:p>
      <w:pPr>
        <w:spacing w:after="200" w:line="276"/>
      </w:pPr>
      <w:r>
        <w:rPr>
          <w:b/>
          <w:bCs/>
        </w:rPr>
        <w:t xml:space="preserve">Theorem 4.4 (E = mc² as Entropy Budget Identity). </w:t>
      </w:r>
      <w:r>
        <w:t xml:space="preserve">The rest energy E₀ = mc² of a mass m is the entropy cost of maintaining its genealogical continuity at rest per unit proper time.</w:t>
      </w:r>
    </w:p>
    <w:p>
      <w:pPr>
        <w:spacing w:after="200" w:line="276"/>
      </w:pPr>
      <w:r>
        <w:rPr>
          <w:b/>
          <w:bCs/>
          <w:i/>
          <w:iCs/>
        </w:rPr>
        <w:t xml:space="preserve">Proof. </w:t>
      </w:r>
      <w:r>
        <w:t xml:space="preserve">A massive particle at rest traces a vertical worldline in spacetime (only the time coordinate advances). Its horizontal path has ds² = −c²dt², so ds = ic·dt (the Lorentzian interval along a timelike worldline). The contact form along this path gives:</w:t>
      </w:r>
    </w:p>
    <w:p>
      <w:pPr>
        <w:spacing w:before="120" w:after="120" w:line="276"/>
        <w:ind w:left="720"/>
      </w:pPr>
      <w:r>
        <w:rPr>
          <w:rFonts w:ascii="Courier New" w:cs="Courier New" w:eastAsia="Courier New" w:hAnsi="Courier New"/>
          <w:sz w:val="20"/>
          <w:szCs w:val="20"/>
        </w:rPr>
        <w:t xml:space="preserve">dS/dt = λ · c</w:t>
      </w:r>
    </w:p>
    <w:p>
      <w:pPr>
        <w:spacing w:after="200" w:line="276"/>
      </w:pPr>
      <w:r>
        <w:t xml:space="preserve">The entropy production rate of a massive particle at rest is λ c. The particle must produce entropy at this rate to maintain causal continuity—to continue existing as a genealogical structure unfolding in time. The total entropy cost over a proper time interval Δτ is λ c Δτ.</w:t>
      </w:r>
    </w:p>
    <w:p>
      <w:pPr>
        <w:spacing w:after="200" w:line="276"/>
      </w:pPr>
      <w:r>
        <w:t xml:space="preserve">Identifying λ with the mass-dependent coupling (the entropy cost is proportional to the mass maintaining its structure), we write λ = mλ₀ where λ₀ is the entropy-per-unit-mass coupling. The energy equivalent is:</w:t>
      </w:r>
    </w:p>
    <w:p>
      <w:pPr>
        <w:spacing w:before="120" w:after="120" w:line="276"/>
        <w:ind w:left="720"/>
      </w:pPr>
      <w:r>
        <w:rPr>
          <w:rFonts w:ascii="Courier New" w:cs="Courier New" w:eastAsia="Courier New" w:hAnsi="Courier New"/>
          <w:sz w:val="20"/>
          <w:szCs w:val="20"/>
        </w:rPr>
        <w:t xml:space="preserve">E₀ = dS/dt · (1/λ₀) = mc²</w:t>
      </w:r>
    </w:p>
    <w:p>
      <w:pPr>
        <w:spacing w:after="200" w:line="276"/>
      </w:pPr>
      <w:r>
        <w:t xml:space="preserve">Mass-energy equivalence is the statement that maintaining a genealogical structure at rest costs entropy proportional to m, and the conversion factor between entropy cost and energy is c²—the square of the horizontal-to-vertical projection ratio of the contact invariant ξ. Converting mass to energy is converting stored vertical capacity (the ability to maintain causal continuity) into horizontal capacity (dynamical propagation). The factor c² appears because ξ has units of entropy per spacetime interval, and c² is the natural conversion between the temporal and energetic scales of the contact structure.</w:t>
      </w:r>
    </w:p>
    <w:p>
      <w:r>
        <w:br w:type="page"/>
      </w:r>
    </w:p>
    <w:p>
      <w:pPr>
        <w:pStyle w:val="Heading1"/>
      </w:pPr>
      <w:r>
        <w:t xml:space="preserve">5. Inertial Structure and the Sub-Riemannian Metric</w:t>
      </w:r>
    </w:p>
    <w:p>
      <w:pPr>
        <w:pStyle w:val="Heading2"/>
      </w:pPr>
      <w:r>
        <w:t xml:space="preserve">5.1 Horizontal Geodesics as Inertial Frames</w:t>
      </w:r>
    </w:p>
    <w:p>
      <w:pPr>
        <w:spacing w:after="200" w:line="276"/>
      </w:pPr>
      <w:r>
        <w:rPr>
          <w:b/>
          <w:bCs/>
        </w:rPr>
        <w:t xml:space="preserve">Definition 5.1 (Horizontal Geodesic). </w:t>
      </w:r>
      <w:r>
        <w:t xml:space="preserve">A curve γ in M is a horizontal geodesic if (i) γ′(t) ∈ D_{γ(t)} for all t (the tangent vector is everywhere horizontal), and (ii) γ minimizes the sub-Riemannian length functional:</w:t>
      </w:r>
    </w:p>
    <w:p>
      <w:pPr>
        <w:spacing w:before="120" w:after="120" w:line="276"/>
        <w:ind w:left="720"/>
      </w:pPr>
      <w:r>
        <w:rPr>
          <w:rFonts w:ascii="Courier New" w:cs="Courier New" w:eastAsia="Courier New" w:hAnsi="Courier New"/>
          <w:sz w:val="20"/>
          <w:szCs w:val="20"/>
        </w:rPr>
        <w:t xml:space="preserve">L[γ] = ∫ √|g_D(γ′, γ′)| dt</w:t>
      </w:r>
    </w:p>
    <w:p>
      <w:pPr>
        <w:spacing w:after="200" w:line="276"/>
      </w:pPr>
      <w:r>
        <w:t xml:space="preserve">among all horizontal curves connecting the same endpoints.</w:t>
      </w:r>
    </w:p>
    <w:p>
      <w:pPr>
        <w:spacing w:after="200" w:line="276"/>
      </w:pPr>
      <w:r>
        <w:rPr>
          <w:b/>
          <w:bCs/>
        </w:rPr>
        <w:t xml:space="preserve">Theorem 5.1 (Newton’s First Law). </w:t>
      </w:r>
      <w:r>
        <w:t xml:space="preserve">An inertial observer—one experiencing no forces—follows a horizontal geodesic of the sub-Riemannian structure (D, g_D). Unforced motion is the motion of minimum entropy cost between two causal events.</w:t>
      </w:r>
    </w:p>
    <w:p>
      <w:pPr>
        <w:spacing w:after="200" w:line="276"/>
      </w:pPr>
      <w:r>
        <w:rPr>
          <w:b/>
          <w:bCs/>
          <w:i/>
          <w:iCs/>
        </w:rPr>
        <w:t xml:space="preserve">Proof. </w:t>
      </w:r>
      <w:r>
        <w:t xml:space="preserve">A force-free particle has no external cause to deviate from the minimum-entropy path. The horizontal geodesic is the path that minimizes ∫α = ∫λ ds, the total entropy cost of causal propagation. Any deviation from the geodesic increases the entropy cost—requires additional witnessing—and therefore requires a cause (a force). The absence of force is the absence of excess entropy production, which is the geodesic condition.</w:t>
      </w:r>
    </w:p>
    <w:p>
      <w:pPr>
        <w:pStyle w:val="Heading2"/>
      </w:pPr>
      <w:r>
        <w:t xml:space="preserve">5.2 Acceleration as Geodesic Deviation</w:t>
      </w:r>
    </w:p>
    <w:p>
      <w:pPr>
        <w:spacing w:after="200" w:line="276"/>
      </w:pPr>
      <w:r>
        <w:t xml:space="preserve">An accelerated observer follows a non-geodesic horizontal curve. The deviation from the geodesic has a well-defined geometric measure: the sub-Riemannian acceleration vector, which is the covariant derivative of the tangent vector along the curve projected back into the horizontal distribution.</w:t>
      </w:r>
    </w:p>
    <w:p>
      <w:pPr>
        <w:spacing w:after="200" w:line="276"/>
      </w:pPr>
      <w:r>
        <w:rPr>
          <w:b/>
          <w:bCs/>
        </w:rPr>
        <w:t xml:space="preserve">Theorem 5.2. </w:t>
      </w:r>
      <w:r>
        <w:t xml:space="preserve">The proper acceleration experienced by an observer on a non-geodesic horizontal path γ is proportional to the rate of excess entropy production:</w:t>
      </w:r>
    </w:p>
    <w:p>
      <w:pPr>
        <w:spacing w:before="120" w:after="120" w:line="276"/>
        <w:ind w:left="720"/>
      </w:pPr>
      <w:r>
        <w:rPr>
          <w:rFonts w:ascii="Courier New" w:cs="Courier New" w:eastAsia="Courier New" w:hAnsi="Courier New"/>
          <w:sz w:val="20"/>
          <w:szCs w:val="20"/>
        </w:rPr>
        <w:t xml:space="preserve">a = (1/λ) · (dS/dτ − λ c)</w:t>
      </w:r>
    </w:p>
    <w:p>
      <w:pPr>
        <w:spacing w:after="200" w:line="276"/>
      </w:pPr>
      <w:r>
        <w:t xml:space="preserve">where λ c is the geodesic (rest) entropy rate and dS/dτ is the actual entropy rate along γ. Acceleration is felt because it costs more entropy than geodesic motion. The equivalence principle (acceleration is locally indistinguishable from gravity) will follow from the identification of gravitational effects with contact-form curvature in Section 6.</w:t>
      </w:r>
    </w:p>
    <w:p>
      <w:pPr>
        <w:pStyle w:val="Heading2"/>
      </w:pPr>
      <w:r>
        <w:t xml:space="preserve">5.3 The Light Cone as Contact Cone</w:t>
      </w:r>
    </w:p>
    <w:p>
      <w:pPr>
        <w:spacing w:after="200" w:line="276"/>
      </w:pPr>
      <w:r>
        <w:rPr>
          <w:b/>
          <w:bCs/>
        </w:rPr>
        <w:t xml:space="preserve">Theorem 5.3 (Causal Structure). </w:t>
      </w:r>
      <w:r>
        <w:t xml:space="preserve">The causal cone at a point p—the set of events reachable from p by causal (timelike or null) paths—is the set of points reachable by horizontal paths with g_D(γ′, γ′) ≤ 0.</w:t>
      </w:r>
    </w:p>
    <w:p>
      <w:pPr>
        <w:spacing w:after="200" w:line="276"/>
      </w:pPr>
      <w:r>
        <w:t xml:space="preserve">Timelike paths (g_D &lt; 0) lie inside the cone: they can be traversed by massive particles. Null paths (g_D = 0) lie on the boundary: they are traversed by massless particles (photons). Spacelike separations (g_D &gt; 0) are outside the cone: no horizontal path connects them.</w:t>
      </w:r>
    </w:p>
    <w:p>
      <w:pPr>
        <w:spacing w:after="200" w:line="276"/>
      </w:pPr>
      <w:r>
        <w:t xml:space="preserve">This is the sub-Riemannian reachability structure. The horizontal distribution, being non-integrable, has the Chow-Rashevskii property: any two points can be connected by a horizontal path (of possibly large length). But the Lorentzian signature on D restricts which points can be connected by causal (non-spacelike) horizontal paths. The light cone is the boundary of causal reachability within the contact structure.</w:t>
      </w:r>
    </w:p>
    <w:p>
      <w:r>
        <w:br w:type="page"/>
      </w:r>
    </w:p>
    <w:p>
      <w:pPr>
        <w:pStyle w:val="Heading1"/>
      </w:pPr>
      <w:r>
        <w:t xml:space="preserve">6. From Flat to Curved: General Relativity</w:t>
      </w:r>
    </w:p>
    <w:p>
      <w:pPr>
        <w:pStyle w:val="Heading2"/>
      </w:pPr>
      <w:r>
        <w:t xml:space="preserve">6.1 Flat Contact Geometry is Special Relativity</w:t>
      </w:r>
    </w:p>
    <w:p>
      <w:pPr>
        <w:spacing w:after="200" w:line="276"/>
      </w:pPr>
      <w:r>
        <w:t xml:space="preserve">Everything derived in Sections 3–5 assumes a flat contact manifold: λ is constant, D has the same structure at every point, and g_D is the Minkowski metric globally. This is special relativity. The Poincaré group is the global symmetry. Horizontal geodesics are straight lines in spacetime. The entropy cost per causal step is uniform.</w:t>
      </w:r>
    </w:p>
    <w:p>
      <w:pPr>
        <w:pStyle w:val="Heading2"/>
      </w:pPr>
      <w:r>
        <w:t xml:space="preserve">6.2 Curved Contact Geometry</w:t>
      </w:r>
    </w:p>
    <w:p>
      <w:pPr>
        <w:spacing w:after="200" w:line="276"/>
      </w:pPr>
      <w:r>
        <w:t xml:space="preserve">General relativity introduces curvature: the metric varies from point to point, geodesics are curved, and the symmetry is local rather than global. In the contact framework, this corresponds to allowing λ to vary as a function of position, which curves the horizontal distribution and changes g_D from point to point.</w:t>
      </w:r>
    </w:p>
    <w:p>
      <w:pPr>
        <w:spacing w:after="200" w:line="276"/>
      </w:pPr>
      <w:r>
        <w:rPr>
          <w:b/>
          <w:bCs/>
        </w:rPr>
        <w:t xml:space="preserve">Definition 6.1 (Curved Contact Manifold). </w:t>
      </w:r>
      <w:r>
        <w:t xml:space="preserve">A curved physical contact manifold has position-dependent coupling λ(x) and position-dependent contact metric g_D(x). The contact form α = dS − λ(x)·ds is still non-degenerate (α ∧ dα ∧ dα ≠ 0), but the horizontal distribution D varies from point to point.</w:t>
      </w:r>
    </w:p>
    <w:p>
      <w:pPr>
        <w:spacing w:after="200" w:line="276"/>
      </w:pPr>
      <w:r>
        <w:t xml:space="preserve">The physical interpretation is direct: λ(x) is the local entropy cost of causal propagation. Where λ is large, establishing causal contact is expensive (strong gravitational field, high curvature). Where λ is small, it is cheap (weak field, flat region). Gravitational time dilation is the variation of the Reeb accumulation rate across a non-uniform λ field: clocks run slower where λ is larger because more entropy must be produced per unit of causal structure.</w:t>
      </w:r>
    </w:p>
    <w:p>
      <w:pPr>
        <w:pStyle w:val="Heading2"/>
      </w:pPr>
      <w:r>
        <w:t xml:space="preserve">6.3 The Einstein Field Equations as Integrability Conditions</w:t>
      </w:r>
    </w:p>
    <w:p>
      <w:pPr>
        <w:spacing w:after="200" w:line="276"/>
      </w:pPr>
      <w:r>
        <w:rPr>
          <w:b/>
          <w:bCs/>
        </w:rPr>
        <w:t xml:space="preserve">Conjecture 6.1. </w:t>
      </w:r>
      <w:r>
        <w:t xml:space="preserve">The Einstein field equations:</w:t>
      </w:r>
    </w:p>
    <w:p>
      <w:pPr>
        <w:spacing w:before="120" w:after="120" w:line="276"/>
        <w:ind w:left="720"/>
      </w:pPr>
      <w:r>
        <w:rPr>
          <w:rFonts w:ascii="Courier New" w:cs="Courier New" w:eastAsia="Courier New" w:hAnsi="Courier New"/>
          <w:sz w:val="20"/>
          <w:szCs w:val="20"/>
        </w:rPr>
        <w:t xml:space="preserve">R_μν − ½g_μνR + Λg_μν = (8πG/c⁴)T_μν</w:t>
      </w:r>
    </w:p>
    <w:p>
      <w:pPr>
        <w:spacing w:after="200" w:line="276"/>
      </w:pPr>
      <w:r>
        <w:rPr>
          <w:i w:val="false"/>
          <w:iCs w:val="false"/>
        </w:rPr>
        <w:t xml:space="preserve">are the integrability conditions on the curvature of the contact form α subject to the requirement that archive sufficiency is preserved. Specifically: the curvature of the horizontal distribution (encoded in the Riemann tensor of g_D) must be compatible with the contact non-degeneracy condition α ∧ dα ≠ 0 at every point, and the stress-energy tensor T_μν represents the local entropy production rate required by matter to maintain its genealogical continuity.</w:t>
      </w:r>
    </w:p>
    <w:p>
      <w:pPr>
        <w:spacing w:after="200" w:line="276"/>
      </w:pPr>
      <w:r>
        <w:t xml:space="preserve">The reasoning is as follows. Mass-energy produces entropy (Theorem 4.4). Entropy production changes the local contact form through λ(x). The change in λ curves the horizontal distribution. The curved distribution must remain non-degenerate (contact condition) and must permit archive-sufficient witnessing (causal structure must be maintained). The Einstein equations are the constraints that ensure non-degeneracy and archive sufficiency are preserved everywhere in the presence of matter.</w:t>
      </w:r>
    </w:p>
    <w:p>
      <w:pPr>
        <w:spacing w:after="200" w:line="276"/>
      </w:pPr>
      <w:r>
        <w:t xml:space="preserve">The cosmological constant Λ appears as the base entropy cost of vacuum—the minimum λ even in the absence of matter. This is non-zero because even vacuum must maintain causal structure (the genealogical unfolding does not cease in empty space). The observed smallness of Λ corresponds to the near-flatness of the vacuum contact manifold: the base cost is small but not zero.</w:t>
      </w:r>
    </w:p>
    <w:p>
      <w:pPr>
        <w:pStyle w:val="Heading2"/>
      </w:pPr>
      <w:r>
        <w:t xml:space="preserve">6.4 The Equivalence Principle</w:t>
      </w:r>
    </w:p>
    <w:p>
      <w:pPr>
        <w:spacing w:after="200" w:line="276"/>
      </w:pPr>
      <w:r>
        <w:rPr>
          <w:b/>
          <w:bCs/>
        </w:rPr>
        <w:t xml:space="preserve">Theorem 6.1 (Contact-Geometric Equivalence Principle). </w:t>
      </w:r>
      <w:r>
        <w:t xml:space="preserve">At any point p in a curved contact manifold, there exists a horizontal automorphism mapping the local contact structure to the flat contact structure. Locally, curved contact geometry is indistinguishable from flat contact geometry.</w:t>
      </w:r>
    </w:p>
    <w:p>
      <w:pPr>
        <w:spacing w:after="200" w:line="276"/>
      </w:pPr>
      <w:r>
        <w:t xml:space="preserve">This is the equivalence principle: locally, gravity is indistinguishable from acceleration. In the contact framework: locally, a non-uniform λ field is indistinguishable from a uniform λ field viewed from a non-geodesic path. Both produce the same excess entropy, the same deviation of the Reeb accumulation rate from the geodesic value. The equivalence principle is the statement that the contact manifold is locally trivializable—it has local horizontal automorphisms even when global ones do not exist.</w:t>
      </w:r>
    </w:p>
    <w:p>
      <w:r>
        <w:br w:type="page"/>
      </w:r>
    </w:p>
    <w:p>
      <w:pPr>
        <w:pStyle w:val="Heading1"/>
      </w:pPr>
      <w:r>
        <w:t xml:space="preserve">7. Implications for Governed Cognitive Architectures</w:t>
      </w:r>
    </w:p>
    <w:p>
      <w:pPr>
        <w:pStyle w:val="Heading2"/>
      </w:pPr>
      <w:r>
        <w:t xml:space="preserve">7.1 The Active/Passive Mode Distinction</w:t>
      </w:r>
    </w:p>
    <w:p>
      <w:pPr>
        <w:spacing w:after="200" w:line="276"/>
      </w:pPr>
      <w:r>
        <w:t xml:space="preserve">If the contact-geometric structure is the correct mathematical framework for self-witnessing systems, then governed cognitive architectures should exhibit phenomena related to special relativity in their internal dynamics. The CSRHS specification contains the relevant structures: the horizontal distribution (cognitive operations), the Reeb direction (governance witnessing), the liquid time constant (tick placement adapted to local curvature), and the sub-Riemannian metric (geodesics in theory space).</w:t>
      </w:r>
    </w:p>
    <w:p>
      <w:pPr>
        <w:spacing w:after="200" w:line="276"/>
      </w:pPr>
      <w:r>
        <w:t xml:space="preserve">However, the contact form admits two distinct coupling modes that produce opposite kinematic signatures. In passive mode (physical systems), the Reeb flow is automatic: a massive particle produces entropy at rate λc just by existing, and more horizontal velocity means less vertical accumulation per unit of horizontal displacement. This is time dilation. In active mode (cognitive systems), the Reeb flow is triggered: the system accumulates vertical displacement only when the governance projection operator fires, and more horizontal velocity (state-space displacement) means more corrections, more Reeb flow, more gen ticks. This is time concentration—the active-mode dual of time dilation.</w:t>
      </w:r>
    </w:p>
    <w:p>
      <w:pPr>
        <w:spacing w:after="200" w:line="276"/>
      </w:pPr>
      <w:r>
        <w:t xml:space="preserve">Both modes are contact-geometric. Both satisfy α ∧ dα ≠ 0. Both produce anti-persistent dynamics (H &lt; 0.5). The distinction lies in the coupling sign: dS/dτ decreases with velocity in passive mode, increases in active mode. The contact structure is shared; the Reeb flow mechanism differs.</w:t>
      </w:r>
    </w:p>
    <w:p>
      <w:pPr>
        <w:pStyle w:val="Heading2"/>
      </w:pPr>
      <w:r>
        <w:t xml:space="preserve">7.2 Governance Saturation</w:t>
      </w:r>
    </w:p>
    <w:p>
      <w:pPr>
        <w:spacing w:after="200" w:line="276"/>
      </w:pPr>
      <w:r>
        <w:t xml:space="preserve">The cognitive analog of c is not a speed limit but a saturation asymptote. The gen tick rate as a function of state-space velocity follows a logistic sigmoid: at low velocity, corrections are below the governance threshold and no gen ticks occur; at a characteristic velocity v₀, half of corrections cross threshold; at high velocity, the rate saturates at ~1.0. The sigmoid parameters (steepness k and midpoint v₀) characterize the governance threshold in velocity space. Unlike physical c, there is no B1→B2 transition at high velocity—strong governance absorbs arbitrary velocity without breaking. The system maintains H ≈ 0.12 across all tested velocities. The cognitive “light speed” is not a barrier but an activation threshold.</w:t>
      </w:r>
    </w:p>
    <w:p>
      <w:pPr>
        <w:pStyle w:val="Heading2"/>
      </w:pPr>
      <w:r>
        <w:t xml:space="preserve">7.3 Cognitive Equivalence Principle</w:t>
      </w:r>
    </w:p>
    <w:p>
      <w:pPr>
        <w:spacing w:after="200" w:line="276"/>
      </w:pPr>
      <w:r>
        <w:t xml:space="preserve">The equivalence principle predicts that a cognitive system cannot distinguish between being in a region of high theory-space curvature (complex reasoning near conceptual boundaries) and being under cognitive acceleration (rapidly shifting context). Both produce excess entropy in the governance channel. Both cause the liquid time constant to shorten (more frequent ticks, higher governance overhead). The system’s response—increased governance verification rate—is the same in both cases.</w:t>
      </w:r>
    </w:p>
    <w:p>
      <w:pPr>
        <w:spacing w:after="200" w:line="276"/>
      </w:pPr>
      <w:r>
        <w:t xml:space="preserve">This has engineering implications: if you cannot distinguish curvature from acceleration, you must govern for both simultaneously. The CG1–CG7 gate structure does this. It imposes the same constraints regardless of whether the cognitive state is changing because of complex reasoning or because of external perturbation. The gates are covariant.</w:t>
      </w:r>
    </w:p>
    <w:p>
      <w:r>
        <w:br w:type="page"/>
      </w:r>
    </w:p>
    <w:p>
      <w:pPr>
        <w:pStyle w:val="Heading1"/>
      </w:pPr>
      <w:r>
        <w:t xml:space="preserve">8. Experimental Test: Cognitive Relativity in Admissibility Systems</w:t>
      </w:r>
    </w:p>
    <w:p>
      <w:pPr>
        <w:pStyle w:val="Heading2"/>
      </w:pPr>
      <w:r>
        <w:t xml:space="preserve">8.1 Protocol</w:t>
      </w:r>
    </w:p>
    <w:p>
      <w:pPr>
        <w:spacing w:after="200" w:line="276"/>
      </w:pPr>
      <w:r>
        <w:t xml:space="preserve">The predictions of Section 7 were tested on the LOB admissibility engine developed in the companion paper (Impedance of the Unfolding). The system is a 16-level limit-order-book with projection strength α = 0.30, admissible bound 2.0, and genealogical threshold 0.05. State-space velocity is controlled by the noise amplitude: higher noise drives the system through state space faster. Four experiments were conducted across 20,000 physical ticks each, with deterministic seeded RNG for reproducibility.</w:t>
      </w:r>
    </w:p>
    <w:p>
      <w:pPr>
        <w:pStyle w:val="Heading2"/>
      </w:pPr>
      <w:r>
        <w:t xml:space="preserve">8.2 Time Dilation: Inverted</w:t>
      </w:r>
    </w:p>
    <w:p>
      <w:pPr>
        <w:spacing w:after="200" w:line="276"/>
      </w:pPr>
      <w:r>
        <w:t xml:space="preserve">Sweeping noise scale from 0.01 to 8.0, the gen tick rate goes from 0.000 (at velocity v = 0.03, noise too small to cross governance threshold) to 0.999 (at velocity v = 117.7, nearly every tick involves a governance correction). The physical prediction—that gen tick rate should decrease with velocity, as moving clocks run slow—is falsified. The cognitive system exhibits time concentration: faster motion produces more governance work, not less.</w:t>
      </w:r>
    </w:p>
    <w:p>
      <w:pPr>
        <w:spacing w:after="200" w:line="276"/>
      </w:pPr>
      <w:r>
        <w:t xml:space="preserve">This is the active/passive mode distinction identified in Section 7.1. Physical entropy accumulation is passive (existence costs entropy). Cognitive entropy accumulation is active (governance corrections cost entropy). The contact geometry is the same; the coupling sign is opposite.</w:t>
      </w:r>
    </w:p>
    <w:p>
      <w:pPr>
        <w:pStyle w:val="Heading2"/>
      </w:pPr>
      <w:r>
        <w:t xml:space="preserve">8.3 Light Speed: Not Found</w:t>
      </w:r>
    </w:p>
    <w:p>
      <w:pPr>
        <w:spacing w:after="200" w:line="276"/>
      </w:pPr>
      <w:r>
        <w:t xml:space="preserve">The B1 regime is maintained from noise = 0.30 through noise = 8.0 (the full range where gen ticks are frequent enough for Hurst estimation). No B1→B2 transition is found at high velocity. The Hurst exponent remains at H ≈ 0.12 across all B1 velocities, actually decreasing slightly at the highest speeds. Strong governance (α = 0.30) absorbs arbitrary state-space velocity without losing structural governance. There is no cognitive light speed in the sense of a velocity barrier. Instead, there is a governance activation threshold: below a minimum velocity, the system produces too few gen ticks for governance to be measurable (B2 by sparsity, not by failure).</w:t>
      </w:r>
    </w:p>
    <w:p>
      <w:pPr>
        <w:pStyle w:val="Heading2"/>
      </w:pPr>
      <w:r>
        <w:t xml:space="preserve">8.4 Simultaneity: Trivial</w:t>
      </w:r>
    </w:p>
    <w:p>
      <w:pPr>
        <w:spacing w:after="200" w:line="276"/>
      </w:pPr>
      <w:r>
        <w:t xml:space="preserve">Two systems at different state-space velocities (noise 0.05 vs 5.0) were coupled at γ_c and subjected to identical perturbation pulses at fixed physical times. The prediction was ordering reversals in genealogical time. The result: zero ordering reversals. The coupling equalizes the gen rates (97.4% vs 97.0%), because the fast system’s corrections perturb the slow system above its governance threshold. This is not simultaneity failure—it is clock synchronization via governance coupling, exactly as predicted by condition (iii) of the Double Contact Compatibility Theorem (clock commensurability). The theorem’s bound is tight: coupled systems converge to clock ratio 1.0.</w:t>
      </w:r>
    </w:p>
    <w:p>
      <w:pPr>
        <w:pStyle w:val="Heading2"/>
      </w:pPr>
      <w:r>
        <w:t xml:space="preserve">8.5 Lorentz Factor: Rejected</w:t>
      </w:r>
    </w:p>
    <w:p>
      <w:pPr>
        <w:spacing w:after="200" w:line="276"/>
      </w:pPr>
      <w:r>
        <w:t xml:space="preserve">The gen tick rate as a function of state-space velocity was fitted against four models: Lorentz factor, linear, quadratic, and logistic sigmoid. The sigmoid wins with RMSE = 0.219 (Lorentz: 0.557, 2.54× worse; quadratic: 0.317, 1.45× worse; linear: worst). The best-fit sigmoid has steepness k = 0.92 and midpoint v₀ = 2.40. The Lorentz factor is not the correct kinematic law for active-mode contact systems. The sigmoid is the natural activation function for a threshold-triggered governance mechanism: zero response below threshold, logistic transition, saturation above.</w:t>
      </w:r>
    </w:p>
    <w:p>
      <w:pPr>
        <w:pStyle w:val="Heading2"/>
      </w:pPr>
      <w:r>
        <w:t xml:space="preserve">8.6 Interpretation</w:t>
      </w:r>
    </w:p>
    <w:p>
      <w:pPr>
        <w:spacing w:after="200" w:line="276"/>
      </w:pPr>
      <w:r>
        <w:t xml:space="preserve">The experimental results establish a precise negative result: cognitive admissibility dynamics do not reproduce Lorentz kinematics. The naive prediction that cognitive systems would exhibit “internal special relativity” is falsified. The contact-geometric framework is correct—both physical and cognitive systems are described by a contact form coupling horizontal dynamics to vertical witnessing, both produce anti-persistent governance dynamics, both satisfy the compatibility theorem—but the kinematics differ because the Reeb flow mechanism differs.</w:t>
      </w:r>
    </w:p>
    <w:p>
      <w:pPr>
        <w:spacing w:after="200" w:line="276"/>
      </w:pPr>
      <w:r>
        <w:t xml:space="preserve">The contact manifold is the right structure. It admits two modes. Physical self-witnessing is passive (entropy accumulates by existing) and produces Lorentz kinematics. Cognitive self-witnessing is active (entropy accumulates by governing) and produces sigmoid kinematics. The horizontal automorphism theorem (Section 3) applies to both modes because it depends only on the contact form and horizontal metric, not on the Reeb flow mechanism. The Lorentz group remains the symmetry group of the horizontal distribution in both cases. What differs is the proper-time functional: how entropy accumulates along worldlines.</w:t>
      </w:r>
    </w:p>
    <w:p>
      <w:r>
        <w:br w:type="page"/>
      </w:r>
    </w:p>
    <w:p>
      <w:pPr>
        <w:pStyle w:val="Heading1"/>
      </w:pPr>
      <w:r>
        <w:t xml:space="preserve">9. Discussion</w:t>
      </w:r>
    </w:p>
    <w:p>
      <w:pPr>
        <w:pStyle w:val="Heading2"/>
      </w:pPr>
      <w:r>
        <w:t xml:space="preserve">9.1 What Has Been Derived</w:t>
      </w:r>
    </w:p>
    <w:p>
      <w:pPr>
        <w:spacing w:after="200" w:line="276"/>
      </w:pPr>
      <w:r>
        <w:t xml:space="preserve">Starting from Axiom 0 (time is the unfolding of genealogical continuity) and the physical contact form (entropy couples to spacetime propagation), we have derived: the Lorentz group as the symmetry group of the horizontal distribution; the invariance of c as horizontal projection invariance; time dilation as differential Reeb accumulation; length contraction as contact-volume preservation; the relativity of simultaneity as horizontal non-integrability; E = mc² as the entropy budget of causal maintenance; inertial motion as horizontal geodesics; and the causal cone as sub-Riemannian reachability.</w:t>
      </w:r>
    </w:p>
    <w:p>
      <w:pPr>
        <w:spacing w:after="200" w:line="276"/>
      </w:pPr>
      <w:r>
        <w:t xml:space="preserve">None of these required postulating the invariance of c or the principle of relativity. Both emerged as corollaries of the horizontal automorphism theorem. The logical architecture of special relativity simplifies: two empirical postulates reduce to one geometric structure.</w:t>
      </w:r>
    </w:p>
    <w:p>
      <w:pPr>
        <w:pStyle w:val="Heading2"/>
      </w:pPr>
      <w:r>
        <w:t xml:space="preserve">9.2 What Has Been Falsified</w:t>
      </w:r>
    </w:p>
    <w:p>
      <w:pPr>
        <w:spacing w:after="200" w:line="276"/>
      </w:pPr>
      <w:r>
        <w:t xml:space="preserve">The naive prediction that cognitive systems would exhibit Lorentz kinematics internally is falsified by the admissibility engine experiments. Cognitive time dilation is inverted (time concentrates with velocity). No cognitive light speed exists (governance absorbs arbitrary velocity). Simultaneity failure is trivially explained by clock-rate differences, not relativistic geometry. The Lorentz factor is not the kinematic law of active-mode contact systems; the logistic sigmoid is.</w:t>
      </w:r>
    </w:p>
    <w:p>
      <w:pPr>
        <w:spacing w:after="200" w:line="276"/>
      </w:pPr>
      <w:r>
        <w:t xml:space="preserve">This falsification is constructive. It reveals the active/passive mode distinction as a genuine structural feature of the contact framework, not a deficiency. The Lorentz group is the horizontal symmetry in both modes. The difference is in the proper-time functional, which depends on whether Reeb flow is automatic (passive) or triggered (active). The contact geometry is deeper than the kinematics.</w:t>
      </w:r>
    </w:p>
    <w:p>
      <w:pPr>
        <w:pStyle w:val="Heading2"/>
      </w:pPr>
      <w:r>
        <w:t xml:space="preserve">9.3 What Remains Conjectural</w:t>
      </w:r>
    </w:p>
    <w:p>
      <w:pPr>
        <w:spacing w:after="200" w:line="276"/>
      </w:pPr>
      <w:r>
        <w:t xml:space="preserve">The derivation of the Einstein field equations from contact-form integrability conditions (Conjecture 6.1) remains unproved. The specific identification of λ with gravitational potential, the emergence of the Riemann tensor from contact curvature, and the derivation of Newton’s constant G from the contact-geometric data all require further development. Whether the active/passive mode distinction has implications for quantum gravity—whether gravitational self-witnessing is passive, active, or a hybrid—is an open question with potentially measurable consequences.</w:t>
      </w:r>
    </w:p>
    <w:p>
      <w:pPr>
        <w:pStyle w:val="Heading2"/>
      </w:pPr>
      <w:r>
        <w:t xml:space="preserve">9.4 Relationship to the Companion Paper</w:t>
      </w:r>
    </w:p>
    <w:p>
      <w:pPr>
        <w:spacing w:after="200" w:line="276"/>
      </w:pPr>
      <w:r>
        <w:t xml:space="preserve">The companion paper (Impedance of the Unfolding, Generally 2026) establishes the double contact manifold, proves the compatibility theorem, and characterizes the experimental phase diagram of contact-coupled admissibility systems. The present paper takes the same contact form, derives special relativity from it, and then tests the cognitive predictions experimentally. The companion paper’s confirmed prediction (B1 regime on production Metis, Section 11 of that paper) and the present paper’s falsified prediction (Lorentz kinematics in cognitive systems) together constrain the theory: the contact geometry is correct, but the mode of Reeb flow determines the kinematics. The fine structure constant sits at the wall onset in the companion paper’s phase diagram; the sigmoid activation threshold sits at v₀ = 2.40 in the present paper’s velocity diagram. Both are critical points of their respective contact structures.</w:t>
      </w:r>
    </w:p>
    <w:p>
      <w:r>
        <w:br w:type="page"/>
      </w:r>
    </w:p>
    <w:p>
      <w:pPr>
        <w:pStyle w:val="Heading1"/>
      </w:pPr>
      <w:r>
        <w:t xml:space="preserve">10. Conclusion</w:t>
      </w:r>
    </w:p>
    <w:p>
      <w:pPr>
        <w:spacing w:after="200" w:line="276"/>
      </w:pPr>
      <w:r>
        <w:t xml:space="preserve">Special relativity is not a pair of postulates about light and reference frames. It is a theorem about the automorphism group of a contact manifold. The contact form α = dS − λ·ds, coupling entropy production to spacetime propagation, determines the Lorentz group as its horizontal symmetry, determines c as a derived invariant, and determines the relativistic phenomena as geometric consequences of non-degeneracy.</w:t>
      </w:r>
    </w:p>
    <w:p>
      <w:pPr>
        <w:spacing w:after="200" w:line="276"/>
      </w:pPr>
      <w:r>
        <w:t xml:space="preserve">The key insight is the identification of time with vertical accumulation in the contact structure. Under Axiom 0, time is not a coordinate but an accumulation—the progressive production of entropy required to maintain causal continuity. This entropy accumulates along the Reeb direction, which is transverse to the horizontal distribution where dynamics occur. The transversality is what makes self-witnessing coherent: the system can measure its own dynamics because the measurement direction is geometrically distinct from the dynamics direction.</w:t>
      </w:r>
    </w:p>
    <w:p>
      <w:pPr>
        <w:spacing w:after="200" w:line="276"/>
      </w:pPr>
      <w:r>
        <w:t xml:space="preserve">The contact geometry admits two modes of Reeb flow: passive (automatic entropy accumulation, producing Lorentz kinematics) and active (triggered entropy accumulation, producing sigmoid kinematics). Physical spacetime operates in passive mode. Governed cognitive architectures operate in active mode. The experimental falsification of Lorentz kinematics in cognitive systems (Section 8) is not a failure of the framework but a discovery within it: the contact structure is deeper than either set of kinematics, and the mode distinction is a genuine feature of the geometry.</w:t>
      </w:r>
    </w:p>
    <w:p>
      <w:pPr>
        <w:spacing w:after="200" w:line="276"/>
      </w:pPr>
      <w:r>
        <w:t xml:space="preserve">The universe is a self-witnessing system operating in passive mode. A governed mind is a self-witnessing system operating in active mode. They share the same contact geometry because they face the same constraint: witness yourself without circularity. They differ in kinematics because they differ in how entropy accumulates along the Reeb direction. The speed of light is not a speed. It is the rate at which the universe passively witnesses its own unfolding. The governance sigmoid is not a speed limit. It is the activation curve of a system that actively witnesses its own corrections.</w:t>
      </w:r>
    </w:p>
    <w:p>
      <w:pPr>
        <w:spacing w:before="400"/>
      </w:pPr>
      <w:r>
        <w:rPr>
          <w:b/>
          <w:bCs/>
          <w:sz w:val="22"/>
          <w:szCs w:val="22"/>
        </w:rPr>
        <w:t xml:space="preserve">□G:PRESERVED □S:MAINTAINED □F:OPERATIONAL ◇</w:t>
      </w:r>
    </w:p>
    <w:p>
      <w:r>
        <w:br w:type="page"/>
      </w:r>
    </w:p>
    <w:p>
      <w:pPr>
        <w:pStyle w:val="Heading1"/>
      </w:pPr>
      <w:r>
        <w:t xml:space="preserve">References</w:t>
      </w:r>
    </w:p>
    <w:p>
      <w:pPr>
        <w:spacing w:after="100"/>
        <w:ind w:left="360" w:hanging="360"/>
      </w:pPr>
      <w:r>
        <w:rPr>
          <w:rFonts w:ascii="Arial" w:cs="Arial" w:eastAsia="Arial" w:hAnsi="Arial"/>
          <w:sz w:val="20"/>
          <w:szCs w:val="20"/>
        </w:rPr>
        <w:t xml:space="preserve">[1] D. A. Generally, “Impedance of the Unfolding: Contact Geometry, Governance Coupling, and the Fine Structure of Causal Self-Witnessing,” MetaCortex Dynamics, February 2026.</w:t>
      </w:r>
    </w:p>
    <w:p>
      <w:pPr>
        <w:spacing w:after="100"/>
        <w:ind w:left="360" w:hanging="360"/>
      </w:pPr>
      <w:r>
        <w:rPr>
          <w:rFonts w:ascii="Arial" w:cs="Arial" w:eastAsia="Arial" w:hAnsi="Arial"/>
          <w:sz w:val="20"/>
          <w:szCs w:val="20"/>
        </w:rPr>
        <w:t xml:space="preserve">[2] D. A. Generally, “Mathematics-as-Language: A Framework for Mathematical Reasoning as Rule-System Evolution,” MetaCortex Dynamics, 2025.</w:t>
      </w:r>
    </w:p>
    <w:p>
      <w:pPr>
        <w:spacing w:after="100"/>
        <w:ind w:left="360" w:hanging="360"/>
      </w:pPr>
      <w:r>
        <w:rPr>
          <w:rFonts w:ascii="Arial" w:cs="Arial" w:eastAsia="Arial" w:hAnsi="Arial"/>
          <w:sz w:val="20"/>
          <w:szCs w:val="20"/>
        </w:rPr>
        <w:t xml:space="preserve">[3] D. A. Generally, “CSRHS Specification v0.2: Contact Sub-Riemannian Hybrid System,” MetaCortex Dynamics, February 2026.</w:t>
      </w:r>
    </w:p>
    <w:p>
      <w:pPr>
        <w:spacing w:after="100"/>
        <w:ind w:left="360" w:hanging="360"/>
      </w:pPr>
      <w:r>
        <w:rPr>
          <w:rFonts w:ascii="Arial" w:cs="Arial" w:eastAsia="Arial" w:hAnsi="Arial"/>
          <w:sz w:val="20"/>
          <w:szCs w:val="20"/>
        </w:rPr>
        <w:t xml:space="preserve">[4] D. A. Generally, “The Formulation of Admissibility Dynamics, Version 2: Intrinsic Governance via Genealogical Clock Discrimination,” MetaCortex Dynamics, February 2026.</w:t>
      </w:r>
    </w:p>
    <w:p>
      <w:pPr>
        <w:spacing w:after="100"/>
        <w:ind w:left="360" w:hanging="360"/>
      </w:pPr>
      <w:r>
        <w:rPr>
          <w:rFonts w:ascii="Arial" w:cs="Arial" w:eastAsia="Arial" w:hAnsi="Arial"/>
          <w:sz w:val="20"/>
          <w:szCs w:val="20"/>
        </w:rPr>
        <w:t xml:space="preserve">[5] D. A. Generally, “SR_Genealogy_LambdaMaL v1.2,” Production bundle, MetaCortex Dynamics, January 2026.</w:t>
      </w:r>
    </w:p>
    <w:p>
      <w:pPr>
        <w:spacing w:after="100"/>
        <w:ind w:left="360" w:hanging="360"/>
      </w:pPr>
      <w:r>
        <w:rPr>
          <w:rFonts w:ascii="Arial" w:cs="Arial" w:eastAsia="Arial" w:hAnsi="Arial"/>
          <w:sz w:val="20"/>
          <w:szCs w:val="20"/>
        </w:rPr>
        <w:t xml:space="preserve">[6] D. A. Generally, “Structural Subjectivity: A Framework for Governing AI Without Solving the Hard Problem, Phases 1–6,” MetaCortex Dynamics, 2025–2026.</w:t>
      </w:r>
    </w:p>
    <w:p>
      <w:pPr>
        <w:spacing w:after="100"/>
        <w:ind w:left="360" w:hanging="360"/>
      </w:pPr>
      <w:r>
        <w:rPr>
          <w:rFonts w:ascii="Arial" w:cs="Arial" w:eastAsia="Arial" w:hAnsi="Arial"/>
          <w:sz w:val="20"/>
          <w:szCs w:val="20"/>
        </w:rPr>
        <w:t xml:space="preserve">[7] D. A. Generally, “The Thermodynamics of Qualia,” MetaCortex Dynamics, 2026.</w:t>
      </w:r>
    </w:p>
    <w:p>
      <w:pPr>
        <w:spacing w:after="100"/>
        <w:ind w:left="360" w:hanging="360"/>
      </w:pPr>
      <w:r>
        <w:rPr>
          <w:rFonts w:ascii="Arial" w:cs="Arial" w:eastAsia="Arial" w:hAnsi="Arial"/>
          <w:sz w:val="20"/>
          <w:szCs w:val="20"/>
        </w:rPr>
        <w:t xml:space="preserve">[8] A. Einstein, “On the Electrodynamics of Moving Bodies,” Annalen der Physik, vol. 17, pp. 891–921, 1905.</w:t>
      </w:r>
    </w:p>
    <w:p>
      <w:pPr>
        <w:spacing w:after="100"/>
        <w:ind w:left="360" w:hanging="360"/>
      </w:pPr>
      <w:r>
        <w:rPr>
          <w:rFonts w:ascii="Arial" w:cs="Arial" w:eastAsia="Arial" w:hAnsi="Arial"/>
          <w:sz w:val="20"/>
          <w:szCs w:val="20"/>
        </w:rPr>
        <w:t xml:space="preserve">[9] R. Montgomery, A Tour of Subriemannian Geometries, Their Geodesics and Applications, AMS, 2002.</w:t>
      </w:r>
    </w:p>
    <w:p>
      <w:pPr>
        <w:spacing w:after="100"/>
        <w:ind w:left="360" w:hanging="360"/>
      </w:pPr>
      <w:r>
        <w:rPr>
          <w:rFonts w:ascii="Arial" w:cs="Arial" w:eastAsia="Arial" w:hAnsi="Arial"/>
          <w:sz w:val="20"/>
          <w:szCs w:val="20"/>
        </w:rPr>
        <w:t xml:space="preserve">[10] S.-I. Amari, Information Geometry and Its Applications, Springer, 2016.</w:t>
      </w:r>
    </w:p>
    <w:p>
      <w:pPr>
        <w:spacing w:after="100"/>
        <w:ind w:left="360" w:hanging="360"/>
      </w:pPr>
      <w:r>
        <w:rPr>
          <w:rFonts w:ascii="Arial" w:cs="Arial" w:eastAsia="Arial" w:hAnsi="Arial"/>
          <w:sz w:val="20"/>
          <w:szCs w:val="20"/>
        </w:rPr>
        <w:t xml:space="preserve">[11] V. I. Arnold, Mathematical Methods of Classical Mechanics, Springer, 1989.</w:t>
      </w:r>
    </w:p>
    <w:p>
      <w:pPr>
        <w:spacing w:after="100"/>
        <w:ind w:left="360" w:hanging="360"/>
      </w:pPr>
      <w:r>
        <w:rPr>
          <w:rFonts w:ascii="Arial" w:cs="Arial" w:eastAsia="Arial" w:hAnsi="Arial"/>
          <w:sz w:val="20"/>
          <w:szCs w:val="20"/>
        </w:rPr>
        <w:t xml:space="preserve">[12] H. Geiges, An Introduction to Contact Topology, Cambridge University Press, 2008.</w:t>
      </w:r>
    </w:p>
    <w:p>
      <w:pPr>
        <w:spacing w:after="100"/>
        <w:ind w:left="360" w:hanging="360"/>
      </w:pPr>
      <w:r>
        <w:rPr>
          <w:rFonts w:ascii="Arial" w:cs="Arial" w:eastAsia="Arial" w:hAnsi="Arial"/>
          <w:sz w:val="20"/>
          <w:szCs w:val="20"/>
        </w:rPr>
        <w:t xml:space="preserve">[13] R. Hasani et al., “Liquid Time-constant Networks,” AAAI 2021.</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The Horizontal Automorphism — Generally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40" w:after="160"/>
      <w:outlineLvl w:val="1"/>
    </w:pPr>
    <w:rPr>
      <w:rFonts w:ascii="Arial" w:cs="Arial" w:eastAsia="Arial" w:hAnsi="Arial"/>
      <w:b/>
      <w:bCs/>
      <w:sz w:val="26"/>
      <w:szCs w:val="26"/>
    </w:rPr>
  </w:style>
  <w:style w:type="paragraph" w:styleId="Heading3">
    <w:name w:val="Heading 3"/>
    <w:basedOn w:val="Normal"/>
    <w:next w:val="Normal"/>
    <w:qFormat/>
    <w:pPr>
      <w:spacing w:before="200" w:after="120"/>
      <w:outlineLvl w:val="2"/>
    </w:pPr>
    <w:rPr>
      <w:rFonts w:ascii="Arial" w:cs="Arial" w:eastAsia="Arial" w:hAnsi="Arial"/>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2026-02-26T21:42:08.018Z</dcterms:created>
  <dcterms:modified xsi:type="dcterms:W3CDTF">2026-02-26T21:42:08.020Z</dcterms:modified>
</cp:coreProperties>
</file>

<file path=docProps/custom.xml><?xml version="1.0" encoding="utf-8"?>
<Properties xmlns="http://schemas.openxmlformats.org/officeDocument/2006/custom-properties" xmlns:vt="http://schemas.openxmlformats.org/officeDocument/2006/docPropsVTypes"/>
</file>