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2A4A"/>
          <w:sz w:val="72"/>
          <w:szCs w:val="72"/>
        </w:rPr>
        <w:t xml:space="preserve">MetaSPN</w:t>
      </w:r>
    </w:p>
    <w:p>
      <w:pPr>
        <w:spacing w:after="120"/>
        <w:jc w:val="center"/>
      </w:pPr>
      <w:r>
        <w:rPr>
          <w:rFonts w:ascii="Arial" w:cs="Arial" w:eastAsia="Arial" w:hAnsi="Arial"/>
          <w:color w:val="2980B9"/>
          <w:sz w:val="32"/>
          <w:szCs w:val="32"/>
        </w:rPr>
        <w:t xml:space="preserve">A Deterministic Signal Processing Network</w:t>
      </w:r>
    </w:p>
    <w:p>
      <w:pPr>
        <w:spacing w:after="80"/>
        <w:jc w:val="center"/>
      </w:pPr>
      <w:r>
        <w:rPr>
          <w:rFonts w:ascii="Arial" w:cs="Arial" w:eastAsia="Arial" w:hAnsi="Arial"/>
          <w:color w:val="2980B9"/>
          <w:sz w:val="32"/>
          <w:szCs w:val="32"/>
        </w:rPr>
        <w:t xml:space="preserve">for Observable, Verifiable Talent Development</w:t>
      </w:r>
    </w:p>
    <w:p>
      <w:pPr>
        <w:spacing w:after="400"/>
      </w:pPr>
    </w:p>
    <w:p>
      <w:pPr>
        <w:spacing w:after="80"/>
        <w:jc w:val="center"/>
      </w:pPr>
      <w:r>
        <w:rPr>
          <w:rFonts w:ascii="Arial" w:cs="Arial" w:eastAsia="Arial" w:hAnsi="Arial"/>
          <w:color w:val="7F8C8D"/>
          <w:sz w:val="24"/>
          <w:szCs w:val="24"/>
        </w:rPr>
        <w:t xml:space="preserve">Technical Whitepaper</w:t>
      </w:r>
    </w:p>
    <w:p>
      <w:pPr>
        <w:spacing w:after="80"/>
        <w:jc w:val="center"/>
      </w:pPr>
      <w:r>
        <w:rPr>
          <w:rFonts w:ascii="Arial" w:cs="Arial" w:eastAsia="Arial" w:hAnsi="Arial"/>
          <w:color w:val="7F8C8D"/>
          <w:sz w:val="24"/>
          <w:szCs w:val="24"/>
        </w:rPr>
        <w:t xml:space="preserve">February 2026</w:t>
      </w:r>
    </w:p>
    <w:p>
      <w:pPr>
        <w:spacing w:after="80"/>
        <w:jc w:val="center"/>
      </w:pPr>
      <w:r>
        <w:rPr>
          <w:rFonts w:ascii="Arial" w:cs="Arial" w:eastAsia="Arial" w:hAnsi="Arial"/>
          <w:color w:val="7F8C8D"/>
          <w:sz w:val="22"/>
          <w:szCs w:val="22"/>
        </w:rPr>
        <w:t xml:space="preserve">Leo Guinan  •  Founder, MetaSPN &amp; Proximity Fund</w:t>
      </w:r>
    </w:p>
    <w:p>
      <w:pPr>
        <w:spacing w:after="800"/>
      </w:pPr>
    </w:p>
    <w:p>
      <w:pPr>
        <w:spacing w:after="0"/>
        <w:jc w:val="center"/>
      </w:pPr>
      <w:r>
        <w:rPr>
          <w:rFonts w:ascii="Arial" w:cs="Arial" w:eastAsia="Arial" w:hAnsi="Arial"/>
          <w:i/>
          <w:iCs/>
          <w:color w:val="7F8C8D"/>
          <w:sz w:val="18"/>
          <w:szCs w:val="18"/>
        </w:rPr>
        <w:t xml:space="preserve">Architecture Status: Seven verified modules  •  All tests passing  •  Learning Sandwich provenance</w:t>
      </w:r>
    </w:p>
    <w:p>
      <w:r>
        <w:r>
          <w:br w:type="page"/>
        </w:r>
      </w:r>
    </w:p>
    <w:p>
      <w:pPr>
        <w:pStyle w:val="Heading1"/>
      </w:pPr>
      <w:r>
        <w:t xml:space="preserve">Table of Contents</w:t>
      </w:r>
    </w:p>
    <w:p>
      <w:pPr>
        <w:spacing w:after="100"/>
      </w:pPr>
      <w:r>
        <w:rPr>
          <w:rFonts w:ascii="Arial" w:cs="Arial" w:eastAsia="Arial" w:hAnsi="Arial"/>
          <w:color w:val="2980B9"/>
          <w:sz w:val="22"/>
          <w:szCs w:val="22"/>
        </w:rPr>
        <w:t xml:space="preserve">1.  Executive Summary</w:t>
      </w:r>
    </w:p>
    <w:p>
      <w:pPr>
        <w:spacing w:after="100"/>
      </w:pPr>
      <w:r>
        <w:rPr>
          <w:rFonts w:ascii="Arial" w:cs="Arial" w:eastAsia="Arial" w:hAnsi="Arial"/>
          <w:color w:val="2980B9"/>
          <w:sz w:val="22"/>
          <w:szCs w:val="22"/>
        </w:rPr>
        <w:t xml:space="preserve">2.  The Problem: Why Current Infrastructure Fails</w:t>
      </w:r>
    </w:p>
    <w:p>
      <w:pPr>
        <w:spacing w:after="100"/>
      </w:pPr>
      <w:r>
        <w:rPr>
          <w:rFonts w:ascii="Arial" w:cs="Arial" w:eastAsia="Arial" w:hAnsi="Arial"/>
          <w:color w:val="2980B9"/>
          <w:sz w:val="22"/>
          <w:szCs w:val="22"/>
        </w:rPr>
        <w:t xml:space="preserve">3.  Architecture Overview</w:t>
      </w:r>
    </w:p>
    <w:p>
      <w:pPr>
        <w:spacing w:after="100"/>
      </w:pPr>
      <w:r>
        <w:rPr>
          <w:rFonts w:ascii="Arial" w:cs="Arial" w:eastAsia="Arial" w:hAnsi="Arial"/>
          <w:color w:val="2980B9"/>
          <w:sz w:val="22"/>
          <w:szCs w:val="22"/>
        </w:rPr>
        <w:t xml:space="preserve">4.  What Becomes Possible</w:t>
      </w:r>
    </w:p>
    <w:p>
      <w:pPr>
        <w:spacing w:after="100"/>
      </w:pPr>
      <w:r>
        <w:rPr>
          <w:rFonts w:ascii="Arial" w:cs="Arial" w:eastAsia="Arial" w:hAnsi="Arial"/>
          <w:color w:val="2980B9"/>
          <w:sz w:val="22"/>
          <w:szCs w:val="22"/>
        </w:rPr>
        <w:t xml:space="preserve">5.  Maturity Assessment: Strengths and Gaps</w:t>
      </w:r>
    </w:p>
    <w:p>
      <w:pPr>
        <w:spacing w:after="100"/>
      </w:pPr>
      <w:r>
        <w:rPr>
          <w:rFonts w:ascii="Arial" w:cs="Arial" w:eastAsia="Arial" w:hAnsi="Arial"/>
          <w:color w:val="2980B9"/>
          <w:sz w:val="22"/>
          <w:szCs w:val="22"/>
        </w:rPr>
        <w:t xml:space="preserve">6.  Design Principles</w:t>
      </w:r>
    </w:p>
    <w:p>
      <w:pPr>
        <w:spacing w:after="100"/>
      </w:pPr>
      <w:r>
        <w:rPr>
          <w:rFonts w:ascii="Arial" w:cs="Arial" w:eastAsia="Arial" w:hAnsi="Arial"/>
          <w:color w:val="2980B9"/>
          <w:sz w:val="22"/>
          <w:szCs w:val="22"/>
        </w:rPr>
        <w:t xml:space="preserve">7.  Roadmap: From Infrastructure to Product</w:t>
      </w:r>
    </w:p>
    <w:p>
      <w:pPr>
        <w:spacing w:after="100"/>
      </w:pPr>
      <w:r>
        <w:rPr>
          <w:rFonts w:ascii="Arial" w:cs="Arial" w:eastAsia="Arial" w:hAnsi="Arial"/>
          <w:color w:val="2980B9"/>
          <w:sz w:val="22"/>
          <w:szCs w:val="22"/>
        </w:rPr>
        <w:t xml:space="preserve">8.  Conclusion</w:t>
      </w:r>
    </w:p>
    <w:p>
      <w:r>
        <w:r>
          <w:br w:type="page"/>
        </w:r>
      </w:r>
    </w:p>
    <w:p>
      <w:pPr>
        <w:pStyle w:val="Heading1"/>
      </w:pPr>
      <w:r>
        <w:t xml:space="preserve">1. Executive Summary</w:t>
      </w:r>
    </w:p>
    <w:p>
      <w:pPr>
        <w:spacing w:after="160"/>
      </w:pPr>
      <w:r>
        <w:rPr>
          <w:rFonts w:ascii="Arial" w:cs="Arial" w:eastAsia="Arial" w:hAnsi="Arial"/>
          <w:color w:val="2C3E50"/>
          <w:sz w:val="22"/>
          <w:szCs w:val="22"/>
        </w:rPr>
        <w:t xml:space="preserve">MetaSPN is a modular, deterministic signal processing network designed to solve a fundamental problem in talent development and network-based value creation: the inability to observe, verify, and learn from the signals that drive human connection and professional growth.</w:t>
      </w:r>
    </w:p>
    <w:p>
      <w:pPr>
        <w:spacing w:after="160"/>
      </w:pPr>
      <w:r>
        <w:rPr>
          <w:rFonts w:ascii="Arial" w:cs="Arial" w:eastAsia="Arial" w:hAnsi="Arial"/>
          <w:color w:val="2C3E50"/>
          <w:sz w:val="22"/>
          <w:szCs w:val="22"/>
        </w:rPr>
        <w:t xml:space="preserve">The system processes raw social and professional signals through a four-stage pipeline (M0 ingestion, M1 routing, M2 recommendations, M3 learning) where every transformation is traceable, every decision is auditable, and every outcome feeds back into calibration. Unlike conventional CRM or social listening tools that treat people as leads to be captured, MetaSPN treats them as entities whose signals deserve canonical resolution, deterministic processing, and human-approved action.</w:t>
      </w:r>
    </w:p>
    <w:p>
      <w:pPr>
        <w:spacing w:after="160"/>
      </w:pPr>
      <w:r>
        <w:rPr>
          <w:rFonts w:ascii="Arial" w:cs="Arial" w:eastAsia="Arial" w:hAnsi="Arial"/>
          <w:color w:val="2C3E50"/>
          <w:sz w:val="22"/>
          <w:szCs w:val="22"/>
        </w:rPr>
        <w:t xml:space="preserve">This whitepaper presents the current architecture across seven verified library modules, evaluates the maturity and gaps in each layer, and articulates what this infrastructure makes possible: a system where AI does the pattern recognition and humans retain decision authority, creating a verifiable feedback loop that actually improves over time.</w:t>
      </w:r>
    </w:p>
    <w:p>
      <w:r>
        <w:r>
          <w:br w:type="page"/>
        </w:r>
      </w:r>
    </w:p>
    <w:p>
      <w:pPr>
        <w:pStyle w:val="Heading1"/>
      </w:pPr>
      <w:r>
        <w:t xml:space="preserve">2. The Problem: Why Current Infrastructure Fails</w:t>
      </w:r>
    </w:p>
    <w:p>
      <w:pPr>
        <w:pStyle w:val="Heading2"/>
      </w:pPr>
      <w:r>
        <w:t xml:space="preserve">2.1 The Internet 1.0 Collapse</w:t>
      </w:r>
    </w:p>
    <w:p>
      <w:pPr>
        <w:spacing w:after="160"/>
      </w:pPr>
      <w:r>
        <w:rPr>
          <w:rFonts w:ascii="Arial" w:cs="Arial" w:eastAsia="Arial" w:hAnsi="Arial"/>
          <w:color w:val="2C3E50"/>
          <w:sz w:val="22"/>
          <w:szCs w:val="22"/>
        </w:rPr>
        <w:t xml:space="preserve">The platforms that mediate human connection online were built for engagement maximization, not for value creation. This produces three systemic failures that MetaSPN is designed to address.</w:t>
      </w:r>
    </w:p>
    <w:p>
      <w:pPr>
        <w:spacing w:after="160"/>
      </w:pPr>
      <w:r>
        <w:rPr>
          <w:rFonts w:ascii="Arial" w:cs="Arial" w:eastAsia="Arial" w:hAnsi="Arial"/>
          <w:b/>
          <w:bCs/>
          <w:color w:val="2C3E50"/>
          <w:sz w:val="22"/>
          <w:szCs w:val="22"/>
        </w:rPr>
        <w:t xml:space="preserve">Identity fragmentation. </w:t>
      </w:r>
      <w:r>
        <w:rPr>
          <w:rFonts w:ascii="Arial" w:cs="Arial" w:eastAsia="Arial" w:hAnsi="Arial"/>
          <w:color w:val="2C3E50"/>
          <w:sz w:val="22"/>
          <w:szCs w:val="22"/>
        </w:rPr>
        <w:t xml:space="preserve">A single person exists as dozens of disconnected profiles across platforms. No system canonically resolves that '@leo_guinan' on Twitter, 'leo@proximity.fund' in email, and 'Leo Guinan' on LinkedIn are the same entity with a unified signal history. Every interaction starts from zero.</w:t>
      </w:r>
    </w:p>
    <w:p>
      <w:pPr>
        <w:spacing w:after="160"/>
      </w:pPr>
      <w:r>
        <w:rPr>
          <w:rFonts w:ascii="Arial" w:cs="Arial" w:eastAsia="Arial" w:hAnsi="Arial"/>
          <w:b/>
          <w:bCs/>
          <w:color w:val="2C3E50"/>
          <w:sz w:val="22"/>
          <w:szCs w:val="22"/>
        </w:rPr>
        <w:t xml:space="preserve">Signal loss. </w:t>
      </w:r>
      <w:r>
        <w:rPr>
          <w:rFonts w:ascii="Arial" w:cs="Arial" w:eastAsia="Arial" w:hAnsi="Arial"/>
          <w:color w:val="2C3E50"/>
          <w:sz w:val="22"/>
          <w:szCs w:val="22"/>
        </w:rPr>
        <w:t xml:space="preserve">The signals that indicate genuine alignment between people—shared interests, complementary expertise, mutual network connections—are scattered across platforms that have no incentive to surface them. Valuable connections happen by accident or not at all.</w:t>
      </w:r>
    </w:p>
    <w:p>
      <w:pPr>
        <w:spacing w:after="160"/>
      </w:pPr>
      <w:r>
        <w:rPr>
          <w:rFonts w:ascii="Arial" w:cs="Arial" w:eastAsia="Arial" w:hAnsi="Arial"/>
          <w:b/>
          <w:bCs/>
          <w:color w:val="2C3E50"/>
          <w:sz w:val="22"/>
          <w:szCs w:val="22"/>
        </w:rPr>
        <w:t xml:space="preserve">No learning loops. </w:t>
      </w:r>
      <w:r>
        <w:rPr>
          <w:rFonts w:ascii="Arial" w:cs="Arial" w:eastAsia="Arial" w:hAnsi="Arial"/>
          <w:color w:val="2C3E50"/>
          <w:sz w:val="22"/>
          <w:szCs w:val="22"/>
        </w:rPr>
        <w:t xml:space="preserve">When an outreach attempt fails, there is no systematic way to understand why, classify the failure mode, and adjust the approach. Organizations oscillate between aggressive outreach that burns bridges and passive waiting that misses opportunities.</w:t>
      </w:r>
    </w:p>
    <w:p>
      <w:pPr>
        <w:pStyle w:val="Heading2"/>
      </w:pPr>
      <w:r>
        <w:t xml:space="preserve">2.2 What Would Good Infrastructure Look Like?</w:t>
      </w:r>
    </w:p>
    <w:p>
      <w:pPr>
        <w:spacing w:after="160"/>
      </w:pPr>
      <w:r>
        <w:rPr>
          <w:rFonts w:ascii="Arial" w:cs="Arial" w:eastAsia="Arial" w:hAnsi="Arial"/>
          <w:color w:val="2C3E50"/>
          <w:sz w:val="22"/>
          <w:szCs w:val="22"/>
        </w:rPr>
        <w:t xml:space="preserve">The answer is a system with four properties: canonical entity resolution across platforms, deterministic signal processing with full traceability, human-in-the-loop decision gates at every action boundary, and closed-loop learning that improves recommendations based on observed outcomes. MetaSPN provides this infrastructure.</w:t>
      </w:r>
    </w:p>
    <w:p>
      <w:r>
        <w:r>
          <w:br w:type="page"/>
        </w:r>
      </w:r>
    </w:p>
    <w:p>
      <w:pPr>
        <w:pStyle w:val="Heading1"/>
      </w:pPr>
      <w:r>
        <w:t xml:space="preserve">3. Architecture Overview</w:t>
      </w:r>
    </w:p>
    <w:p>
      <w:pPr>
        <w:spacing w:after="160"/>
      </w:pPr>
      <w:r>
        <w:rPr>
          <w:rFonts w:ascii="Arial" w:cs="Arial" w:eastAsia="Arial" w:hAnsi="Arial"/>
          <w:color w:val="2C3E50"/>
          <w:sz w:val="22"/>
          <w:szCs w:val="22"/>
        </w:rPr>
        <w:t xml:space="preserve">MetaSPN is composed of seven independent Python libraries, each with a single canonical responsibility. They compose through well-defined contracts rather than shared state, following a principle of maximum determinism: given the same inputs, every module produces identical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Guarantee</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18"/>
                <w:szCs w:val="18"/>
              </w:rPr>
              <w:t xml:space="preserve">metaspn-engine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18"/>
                <w:szCs w:val="18"/>
              </w:rPr>
              <w:t xml:space="preserve">Pure functional signal processing core</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18"/>
                <w:szCs w:val="18"/>
              </w:rPr>
              <w:t xml:space="preserve">Zero dependencies, immutable types, deterministic state threading</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18"/>
                <w:szCs w:val="18"/>
              </w:rPr>
              <w:t xml:space="preserve">None (stdlib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980B9"/>
                <w:sz w:val="18"/>
                <w:szCs w:val="18"/>
              </w:rPr>
              <w:t xml:space="preserve">metaspn-schemas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Frozen dataclass contracts for all stages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Immutable, serializable, schema-versioned, privacy-aware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None (stdlib only)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18"/>
                <w:szCs w:val="18"/>
              </w:rPr>
              <w:t xml:space="preserve">metaspn-io</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18"/>
                <w:szCs w:val="18"/>
              </w:rPr>
              <w:t xml:space="preserve">Batch ingestion and normalization</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18"/>
                <w:szCs w:val="18"/>
              </w:rPr>
              <w:t xml:space="preserve">Deterministic IDs, UTC normalization, pluggable adapters</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980B9"/>
                <w:sz w:val="18"/>
                <w:szCs w:val="18"/>
              </w:rPr>
              <w:t xml:space="preserve">metaspn-entities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Canonical entity resolution and merge tracking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Merge-safe resolution, reversible undo, auto-merge on high-confidence IDs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SQLite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18"/>
                <w:szCs w:val="18"/>
              </w:rPr>
              <w:t xml:space="preserve">metaspn-gates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18"/>
                <w:szCs w:val="18"/>
              </w:rPr>
              <w:t xml:space="preserve">Config-driven state machine evaluation</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18"/>
                <w:szCs w:val="18"/>
              </w:rPr>
              <w:t xml:space="preserve">Deterministic gate evaluation, cooldown enforcement, calibration proposals</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18"/>
                <w:szCs w:val="18"/>
              </w:rPr>
              <w:t xml:space="preserve">Optional: metaspn-schemas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980B9"/>
                <w:sz w:val="18"/>
                <w:szCs w:val="18"/>
              </w:rPr>
              <w:t xml:space="preserve">metaspn-store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Append-only event store with replay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Idempotent writes, checkpoint-based resume, date-partitioned JSONL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None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18"/>
                <w:szCs w:val="18"/>
              </w:rPr>
              <w:t xml:space="preserve">metaspn-ops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18"/>
                <w:szCs w:val="18"/>
              </w:rPr>
              <w:t xml:space="preserve">Worker runtime with filesystem queues</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18"/>
                <w:szCs w:val="18"/>
              </w:rPr>
              <w:t xml:space="preserve">Lease-based concurrency, retry with backoff, dead-letter queues</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18"/>
                <w:szCs w:val="18"/>
              </w:rPr>
              <w:t xml:space="preserve">metaspn-schemas, metaspn-store, metaspn-entities, metaspn-gates</w:t>
            </w:r>
          </w:p>
        </w:tc>
      </w:tr>
    </w:tbl>
    <w:p>
      <w:pPr>
        <w:spacing w:after="200"/>
      </w:pPr>
    </w:p>
    <w:p>
      <w:pPr>
        <w:pStyle w:val="Heading2"/>
      </w:pPr>
      <w:r>
        <w:t xml:space="preserve">3.1 The Four-Stage Pipeline</w:t>
      </w:r>
    </w:p>
    <w:p>
      <w:pPr>
        <w:spacing w:after="160"/>
      </w:pPr>
      <w:r>
        <w:rPr>
          <w:rFonts w:ascii="Arial" w:cs="Arial" w:eastAsia="Arial" w:hAnsi="Arial"/>
          <w:b/>
          <w:bCs/>
          <w:color w:val="2C3E50"/>
          <w:sz w:val="22"/>
          <w:szCs w:val="22"/>
        </w:rPr>
        <w:t xml:space="preserve">M0 – Ingestion. </w:t>
      </w:r>
      <w:r>
        <w:rPr>
          <w:rFonts w:ascii="Arial" w:cs="Arial" w:eastAsia="Arial" w:hAnsi="Arial"/>
          <w:color w:val="2C3E50"/>
          <w:sz w:val="22"/>
          <w:szCs w:val="22"/>
        </w:rPr>
        <w:t xml:space="preserve">Raw social and professional signals are ingested through pluggable adapters, normalized to canonical SignalEnvelope format with deterministic IDs and UTC timestamps, and resolved against the entity store. A tweet, a LinkedIn post, and an email all become canonical signals linked to a resolved entity.</w:t>
      </w:r>
    </w:p>
    <w:p>
      <w:pPr>
        <w:spacing w:after="160"/>
      </w:pPr>
      <w:r>
        <w:rPr>
          <w:rFonts w:ascii="Arial" w:cs="Arial" w:eastAsia="Arial" w:hAnsi="Arial"/>
          <w:b/>
          <w:bCs/>
          <w:color w:val="2C3E50"/>
          <w:sz w:val="22"/>
          <w:szCs w:val="22"/>
        </w:rPr>
        <w:t xml:space="preserve">M1 – Routing. </w:t>
      </w:r>
      <w:r>
        <w:rPr>
          <w:rFonts w:ascii="Arial" w:cs="Arial" w:eastAsia="Arial" w:hAnsi="Arial"/>
          <w:color w:val="2C3E50"/>
          <w:sz w:val="22"/>
          <w:szCs w:val="22"/>
        </w:rPr>
        <w:t xml:space="preserve">Resolved signals are enriched with profile context, scored against configurable criteria, and routed through gate evaluation to determine which entities qualify for which interaction tracks. Gates enforce hard requirements (minimum signal count, recency thresholds) and soft thresholds (engagement scores, relevance metrics) with per-entity cooldowns to prevent over-contact.</w:t>
      </w:r>
    </w:p>
    <w:p>
      <w:pPr>
        <w:spacing w:after="160"/>
      </w:pPr>
      <w:r>
        <w:rPr>
          <w:rFonts w:ascii="Arial" w:cs="Arial" w:eastAsia="Arial" w:hAnsi="Arial"/>
          <w:b/>
          <w:bCs/>
          <w:color w:val="2C3E50"/>
          <w:sz w:val="22"/>
          <w:szCs w:val="22"/>
        </w:rPr>
        <w:t xml:space="preserve">M2 – Recommendations. </w:t>
      </w:r>
      <w:r>
        <w:rPr>
          <w:rFonts w:ascii="Arial" w:cs="Arial" w:eastAsia="Arial" w:hAnsi="Arial"/>
          <w:color w:val="2C3E50"/>
          <w:sz w:val="22"/>
          <w:szCs w:val="22"/>
        </w:rPr>
        <w:t xml:space="preserve">Entities that pass routing gates are ranked into daily digests, draft messages are generated, and every action requires explicit human approval. This is the critical boundary: AI handles pattern recognition and drafting, but no outreach occurs without a human deciding it should.</w:t>
      </w:r>
    </w:p>
    <w:p>
      <w:pPr>
        <w:spacing w:after="160"/>
      </w:pPr>
      <w:r>
        <w:rPr>
          <w:rFonts w:ascii="Arial" w:cs="Arial" w:eastAsia="Arial" w:hAnsi="Arial"/>
          <w:b/>
          <w:bCs/>
          <w:color w:val="2C3E50"/>
          <w:sz w:val="22"/>
          <w:szCs w:val="22"/>
        </w:rPr>
        <w:t xml:space="preserve">M3 – Learning. </w:t>
      </w:r>
      <w:r>
        <w:rPr>
          <w:rFonts w:ascii="Arial" w:cs="Arial" w:eastAsia="Arial" w:hAnsi="Arial"/>
          <w:color w:val="2C3E50"/>
          <w:sz w:val="22"/>
          <w:szCs w:val="22"/>
        </w:rPr>
        <w:t xml:space="preserve">Observed outcomes (replies received, meetings booked, revenue events, no-reply timeouts) are matched against the attempts that produced them. Failure modes are classified, gate calibration proposals are generated, and the entire feedback loop is surfaced for human review. No calibration is auto-applied.</w:t>
      </w:r>
    </w:p>
    <w:p>
      <w:r>
        <w:r>
          <w:br w:type="page"/>
        </w:r>
      </w:r>
    </w:p>
    <w:p>
      <w:pPr>
        <w:pStyle w:val="Heading1"/>
      </w:pPr>
      <w:r>
        <w:t xml:space="preserve">4. What Becomes Possible</w:t>
      </w:r>
    </w:p>
    <w:p>
      <w:pPr>
        <w:pStyle w:val="Heading2"/>
      </w:pPr>
      <w:r>
        <w:t xml:space="preserve">4.1 Verifiable AI-Assisted Relationship Building</w:t>
      </w:r>
    </w:p>
    <w:p>
      <w:pPr>
        <w:spacing w:after="160"/>
      </w:pPr>
      <w:r>
        <w:rPr>
          <w:rFonts w:ascii="Arial" w:cs="Arial" w:eastAsia="Arial" w:hAnsi="Arial"/>
          <w:color w:val="2C3E50"/>
          <w:sz w:val="22"/>
          <w:szCs w:val="22"/>
        </w:rPr>
        <w:t xml:space="preserve">The combination of canonical entity resolution, deterministic processing, and human-in-the-loop gates creates something that does not currently exist in the market: AI-assisted relationship building where every recommendation can be traced back to the signals that produced it, every action requires human approval, and every outcome feeds learning.</w:t>
      </w:r>
    </w:p>
    <w:p>
      <w:pPr>
        <w:spacing w:after="160"/>
      </w:pPr>
      <w:r>
        <w:rPr>
          <w:rFonts w:ascii="Arial" w:cs="Arial" w:eastAsia="Arial" w:hAnsi="Arial"/>
          <w:color w:val="2C3E50"/>
          <w:sz w:val="22"/>
          <w:szCs w:val="22"/>
        </w:rPr>
        <w:t xml:space="preserve">This means a fund manager using MetaSPN to identify potential portfolio founders can see exactly why a particular person was recommended (which signals, which scores, which gate thresholds were met), decide whether to act on the recommendation, and know that if they do act, the outcome will be captured and used to improve future recommendations. The system gets smarter without removing human judgment.</w:t>
      </w:r>
    </w:p>
    <w:p>
      <w:pPr>
        <w:pStyle w:val="Heading2"/>
      </w:pPr>
      <w:r>
        <w:t xml:space="preserve">4.2 Cross-Platform Identity Without Platform Lock-In</w:t>
      </w:r>
    </w:p>
    <w:p>
      <w:pPr>
        <w:spacing w:after="160"/>
      </w:pPr>
      <w:r>
        <w:rPr>
          <w:rFonts w:ascii="Arial" w:cs="Arial" w:eastAsia="Arial" w:hAnsi="Arial"/>
          <w:color w:val="2C3E50"/>
          <w:sz w:val="22"/>
          <w:szCs w:val="22"/>
        </w:rPr>
        <w:t xml:space="preserve">The entity resolution layer (metaspn-entities) solves a problem that most organizations handle with spreadsheets or not at all: maintaining a canonical view of a person across platforms. When an entity is resolved through one identifier (a Twitter handle), and later resolved through another (an email address), the auto-merge capability links them automatically with full audit trail and reversible undo. This creates a durable, canonical identity layer that is platform-independent.</w:t>
      </w:r>
    </w:p>
    <w:p>
      <w:pPr>
        <w:spacing w:after="160"/>
      </w:pPr>
      <w:r>
        <w:rPr>
          <w:rFonts w:ascii="Arial" w:cs="Arial" w:eastAsia="Arial" w:hAnsi="Arial"/>
          <w:color w:val="2C3E50"/>
          <w:sz w:val="22"/>
          <w:szCs w:val="22"/>
        </w:rPr>
        <w:t xml:space="preserve">For the Proximity Fund specifically, this means being able to track the signal trajectory of potential founders across Twitter, newsletters, podcasts, and direct communication without any single platform owning the relationship graph.</w:t>
      </w:r>
    </w:p>
    <w:p>
      <w:pPr>
        <w:pStyle w:val="Heading2"/>
      </w:pPr>
      <w:r>
        <w:t xml:space="preserve">4.3 Observable Games and Network Intelligence</w:t>
      </w:r>
    </w:p>
    <w:p>
      <w:pPr>
        <w:spacing w:after="160"/>
      </w:pPr>
      <w:r>
        <w:rPr>
          <w:rFonts w:ascii="Arial" w:cs="Arial" w:eastAsia="Arial" w:hAnsi="Arial"/>
          <w:color w:val="2C3E50"/>
          <w:sz w:val="22"/>
          <w:szCs w:val="22"/>
        </w:rPr>
        <w:t xml:space="preserve">The engine’s core abstraction—treating interactions as signals in observable games—enables a class of analysis that traditional CRM cannot support. By classifying which ‘game’ a creator or founder is playing (idea mining, performance coaching, identity building, etc.), MetaSPN can detect misalignment between someone’s stated goals and their actual signal patterns. It can identify when someone is playing a game that is not serving them and surface that insight for human interpretation.</w:t>
      </w:r>
    </w:p>
    <w:p>
      <w:pPr>
        <w:spacing w:after="160"/>
      </w:pPr>
      <w:r>
        <w:rPr>
          <w:rFonts w:ascii="Arial" w:cs="Arial" w:eastAsia="Arial" w:hAnsi="Arial"/>
          <w:color w:val="2C3E50"/>
          <w:sz w:val="22"/>
          <w:szCs w:val="22"/>
        </w:rPr>
        <w:t xml:space="preserve">This is the foundation of the ABCs of Alignment framework: understanding the collision patterns between Action, Black box, and Criteria roles that content creators unknowingly fall into. MetaSPN provides the infrastructure to detect these patterns at scale rather than relying on individual coaching sessions.</w:t>
      </w:r>
    </w:p>
    <w:p>
      <w:pPr>
        <w:pStyle w:val="Heading2"/>
      </w:pPr>
      <w:r>
        <w:t xml:space="preserve">4.4 Closed-Loop Learning That Actually Works</w:t>
      </w:r>
    </w:p>
    <w:p>
      <w:pPr>
        <w:spacing w:after="160"/>
      </w:pPr>
      <w:r>
        <w:rPr>
          <w:rFonts w:ascii="Arial" w:cs="Arial" w:eastAsia="Arial" w:hAnsi="Arial"/>
          <w:color w:val="2C3E50"/>
          <w:sz w:val="22"/>
          <w:szCs w:val="22"/>
        </w:rPr>
        <w:t xml:space="preserve">The M3 learning stage addresses the most common failure mode in AI-assisted systems: deploying models or heuristics that never improve because outcomes are never captured. MetaSPN’s outcome tracking captures the full lifecycle of every interaction attempt: the signals that triggered it, the gate decisions that approved it, the draft that was sent, and the outcome that resulted. Failure modes are classified (wrong timing, wrong channel, wrong message, wrong person), and calibration proposals are generated with explicit human review required.</w:t>
      </w:r>
    </w:p>
    <w:p>
      <w:pPr>
        <w:spacing w:after="160"/>
      </w:pPr>
      <w:r>
        <w:rPr>
          <w:rFonts w:ascii="Arial" w:cs="Arial" w:eastAsia="Arial" w:hAnsi="Arial"/>
          <w:color w:val="2C3E50"/>
          <w:sz w:val="22"/>
          <w:szCs w:val="22"/>
        </w:rPr>
        <w:t xml:space="preserve">This creates a system that can answer questions like: ‘Of the last 50 outreach attempts that received no reply, what percentage were sent within 48 hours of the signal that triggered them, and does reducing that window improve response rates?’ These are questions that currently require manual tracking across multiple tools. MetaSPN answers them structurally.</w:t>
      </w:r>
    </w:p>
    <w:p>
      <w:pPr>
        <w:pStyle w:val="Heading2"/>
      </w:pPr>
      <w:r>
        <w:t xml:space="preserve">4.5 Reproducible, Auditable AI Infrastructure</w:t>
      </w:r>
    </w:p>
    <w:p>
      <w:pPr>
        <w:spacing w:after="160"/>
      </w:pPr>
      <w:r>
        <w:rPr>
          <w:rFonts w:ascii="Arial" w:cs="Arial" w:eastAsia="Arial" w:hAnsi="Arial"/>
          <w:color w:val="2C3E50"/>
          <w:sz w:val="22"/>
          <w:szCs w:val="22"/>
        </w:rPr>
        <w:t xml:space="preserve">Every module in the system enforces deterministic behavior: same inputs produce same outputs. Signal IDs are generated from SHA256 hashes. Events are sorted by timestamp before emission. State is threaded through pure functions. This means the entire processing history can be replayed from raw inputs to produce identical outputs—a property that is essential for debugging, auditing, and building trust in AI-assisted decision-making.</w:t>
      </w:r>
    </w:p>
    <w:p>
      <w:pPr>
        <w:spacing w:after="160"/>
      </w:pPr>
      <w:r>
        <w:rPr>
          <w:rFonts w:ascii="Arial" w:cs="Arial" w:eastAsia="Arial" w:hAnsi="Arial"/>
          <w:color w:val="2C3E50"/>
          <w:sz w:val="22"/>
          <w:szCs w:val="22"/>
        </w:rPr>
        <w:t xml:space="preserve">The Learning Sandwich provenance system adds a verification layer on top: each module carries a canonical context document with cryptographic hashes that attest to the relationship between the documentation and the codebase. This creates a chain of verifiable understanding that can be independently validated.</w:t>
      </w:r>
    </w:p>
    <w:p>
      <w:r>
        <w:r>
          <w:br w:type="page"/>
        </w:r>
      </w:r>
    </w:p>
    <w:p>
      <w:pPr>
        <w:pStyle w:val="Heading1"/>
      </w:pPr>
      <w:r>
        <w:t xml:space="preserve">5. Maturity Assessment: Strengths and Gaps</w:t>
      </w:r>
    </w:p>
    <w:p>
      <w:pPr>
        <w:spacing w:after="160"/>
      </w:pPr>
      <w:r>
        <w:rPr>
          <w:rFonts w:ascii="Arial" w:cs="Arial" w:eastAsia="Arial" w:hAnsi="Arial"/>
          <w:color w:val="2C3E50"/>
          <w:sz w:val="22"/>
          <w:szCs w:val="22"/>
        </w:rPr>
        <w:t xml:space="preserve">An honest assessment of the current system reveals both significant architectural strengths and clear areas requiring development. The following evaluation is based on the verified Learning Sandwich canonical context for each module.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Schema Contracts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Strong</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Frozen dataclasses with deterministic serialization, privacy mode, and schema versioning provide a rock-solid contract layer. The stdlib-only constraint is a real asset—zero supply chain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Entity Resolution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Strong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Canonical resolution with auto-merge, reversible undo, and merge-safe context continuity. The SQLite backend is well-suited for single-node operation. Audit trail is comprehensive.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Determinism &amp; Traceability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Strong</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System-wide commitment to deterministic behavior is architecturally sound. SHA256-based IDs, sorted outputs, UTC normalization, and pure function contracts create genuine reproducibility.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Gate Evaluation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Strong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Hard/soft threshold separation with cooldown enforcement and snapshot capture for every decision. Calibration proposals requiring human approval is the right design for trust.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Worker Runtime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Moderate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Filesystem-based queues with lease management work well for single-machine operation, but the explicit out-of-scope acknowledgment of distributed operation is a scaling constraint. Adequate for current stage.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Ingestion Adapters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Moderate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Clean adapter protocol with two implementations (social JSONL, outcomes JSONL). The architecture is extensible, but the current adapter set is narrow—no native Twitter API, LinkedIn, email, or podcast feed adapters exist yet.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Learning Loop</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Moderate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M3 schema contracts and worker scaffolding are in place. Failure classification and calibration proposal generation exist. However, the learning loop has not yet been validated through production-scale outcome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AI/ML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Weak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system is entirely heuristic-driven. No LLM integration for draft generation, no embedding-based similarity scoring, no ML-based game classification. The architecture supports these as future pipeline steps, but they are not implemented.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External Integrations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Weak</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 live API connections to Twitter, LinkedIn, email providers, or calendar systems. Ingestion currently depends on pre-exported JSONL files. This is appropriate for deterministic testing but limits real-world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Scale &amp; Distribution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Weak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Single-machine, filesystem-based architecture throughout. No horizontal scaling, no distributed queue support, no cloud deployment configuration. Deliberate for early-stage, but will need migration path.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UI / Operator Interface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Weak</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 dashboard, approval interface, or visualization layer. Human-in-the-loop approval currently requires direct JSONL file inspection. This is the most significant gap for productization.</w:t>
            </w:r>
          </w:p>
        </w:tc>
      </w:tr>
    </w:tbl>
    <w:p>
      <w:pPr>
        <w:spacing w:after="200"/>
      </w:pPr>
    </w:p>
    <w:p>
      <w:pPr>
        <w:pStyle w:val="Heading2"/>
      </w:pPr>
      <w:r>
        <w:t xml:space="preserve">5.1 What the Strengths Mean</w:t>
      </w:r>
    </w:p>
    <w:p>
      <w:pPr>
        <w:spacing w:after="160"/>
      </w:pPr>
      <w:r>
        <w:rPr>
          <w:rFonts w:ascii="Arial" w:cs="Arial" w:eastAsia="Arial" w:hAnsi="Arial"/>
          <w:color w:val="2C3E50"/>
          <w:sz w:val="22"/>
          <w:szCs w:val="22"/>
        </w:rPr>
        <w:t xml:space="preserve">The strong areas represent the hardest-to-retrofit parts of a system. Getting determinism, contracts, entity resolution, and gate logic right from the foundation means the system can grow without accumulating the technical debt that typically cripples AI-assisted tools. Most competing approaches bolt on auditability and human oversight after the fact; MetaSPN builds them into the lowest layer.</w:t>
      </w:r>
    </w:p>
    <w:p>
      <w:pPr>
        <w:spacing w:after="160"/>
      </w:pPr>
      <w:r>
        <w:rPr>
          <w:rFonts w:ascii="Arial" w:cs="Arial" w:eastAsia="Arial" w:hAnsi="Arial"/>
          <w:color w:val="2C3E50"/>
          <w:sz w:val="22"/>
          <w:szCs w:val="22"/>
        </w:rPr>
        <w:t xml:space="preserve">The shared cHash across all seven modules (e0d2747...) confirms that the Learning Sandwich verifier itself is consistent, meaning the verification methodology is stable even as individual modules evolve. This is a structural property that enables confident iteration.</w:t>
      </w:r>
    </w:p>
    <w:p>
      <w:pPr>
        <w:pStyle w:val="Heading2"/>
      </w:pPr>
      <w:r>
        <w:t xml:space="preserve">5.2 What the Weaknesses Mean</w:t>
      </w:r>
    </w:p>
    <w:p>
      <w:pPr>
        <w:spacing w:after="160"/>
      </w:pPr>
      <w:r>
        <w:rPr>
          <w:rFonts w:ascii="Arial" w:cs="Arial" w:eastAsia="Arial" w:hAnsi="Arial"/>
          <w:color w:val="2C3E50"/>
          <w:sz w:val="22"/>
          <w:szCs w:val="22"/>
        </w:rPr>
        <w:t xml:space="preserve">The weak areas are all in the integration and interface layers—precisely the areas that are easiest to add incrementally. The absence of LLM-powered draft generation, live API adapters, and a human approval UI are gaps that can be filled without architectural changes to the core pipeline. The system was deliberately built this way: prove the deterministic core works first, then layer on the non-deterministic components (ML models, API connections, UIs) with clear boundaries.</w:t>
      </w:r>
    </w:p>
    <w:p>
      <w:pPr>
        <w:spacing w:after="160"/>
      </w:pPr>
      <w:r>
        <w:rPr>
          <w:rFonts w:ascii="Arial" w:cs="Arial" w:eastAsia="Arial" w:hAnsi="Arial"/>
          <w:color w:val="2C3E50"/>
          <w:sz w:val="22"/>
          <w:szCs w:val="22"/>
        </w:rPr>
        <w:t xml:space="preserve">The most critical gap for near-term productization is the operator interface. The approval workflow in M2 and the calibration review in M3 both assume a human operator, but currently provide no interface for that operator beyond reading JSONL files. Building even a minimal approval dashboard would unlock the value of everything else.</w:t>
      </w:r>
    </w:p>
    <w:p>
      <w:r>
        <w:r>
          <w:br w:type="page"/>
        </w:r>
      </w:r>
    </w:p>
    <w:p>
      <w:pPr>
        <w:pStyle w:val="Heading1"/>
      </w:pPr>
      <w:r>
        <w:t xml:space="preserve">6. Design Principles</w:t>
      </w:r>
    </w:p>
    <w:p>
      <w:pPr>
        <w:spacing w:after="160"/>
      </w:pPr>
      <w:r>
        <w:rPr>
          <w:rFonts w:ascii="Arial" w:cs="Arial" w:eastAsia="Arial" w:hAnsi="Arial"/>
          <w:b/>
          <w:bCs/>
          <w:color w:val="2C3E50"/>
          <w:sz w:val="22"/>
          <w:szCs w:val="22"/>
        </w:rPr>
        <w:t xml:space="preserve">Determinism over convenience. </w:t>
      </w:r>
      <w:r>
        <w:rPr>
          <w:rFonts w:ascii="Arial" w:cs="Arial" w:eastAsia="Arial" w:hAnsi="Arial"/>
          <w:color w:val="2C3E50"/>
          <w:sz w:val="22"/>
          <w:szCs w:val="22"/>
        </w:rPr>
        <w:t xml:space="preserve">Every module prioritizes reproducible behavior over ease of implementation. Timestamps are UTC-normalized. Outputs are sorted. IDs are hash-derived. This makes debugging, auditing, and replay possible by default rather than by heroic effort.</w:t>
      </w:r>
    </w:p>
    <w:p>
      <w:pPr>
        <w:spacing w:after="160"/>
      </w:pPr>
      <w:r>
        <w:rPr>
          <w:rFonts w:ascii="Arial" w:cs="Arial" w:eastAsia="Arial" w:hAnsi="Arial"/>
          <w:b/>
          <w:bCs/>
          <w:color w:val="2C3E50"/>
          <w:sz w:val="22"/>
          <w:szCs w:val="22"/>
        </w:rPr>
        <w:t xml:space="preserve">Contracts over coupling. </w:t>
      </w:r>
      <w:r>
        <w:rPr>
          <w:rFonts w:ascii="Arial" w:cs="Arial" w:eastAsia="Arial" w:hAnsi="Arial"/>
          <w:color w:val="2C3E50"/>
          <w:sz w:val="22"/>
          <w:szCs w:val="22"/>
        </w:rPr>
        <w:t xml:space="preserve">Modules communicate through frozen dataclass schemas, not shared databases or runtime dependencies. metaspn-schemas has zero external dependencies and defines the language that all other modules speak. This enables independent development, testing, and versioning of each layer.</w:t>
      </w:r>
    </w:p>
    <w:p>
      <w:pPr>
        <w:spacing w:after="160"/>
      </w:pPr>
      <w:r>
        <w:rPr>
          <w:rFonts w:ascii="Arial" w:cs="Arial" w:eastAsia="Arial" w:hAnsi="Arial"/>
          <w:b/>
          <w:bCs/>
          <w:color w:val="2C3E50"/>
          <w:sz w:val="22"/>
          <w:szCs w:val="22"/>
        </w:rPr>
        <w:t xml:space="preserve">Human authority over automation speed. </w:t>
      </w:r>
      <w:r>
        <w:rPr>
          <w:rFonts w:ascii="Arial" w:cs="Arial" w:eastAsia="Arial" w:hAnsi="Arial"/>
          <w:color w:val="2C3E50"/>
          <w:sz w:val="22"/>
          <w:szCs w:val="22"/>
        </w:rPr>
        <w:t xml:space="preserve">No calibration is auto-applied. No outreach is auto-sent. Every action boundary has a human gate. This is not a limitation—it is the product’s core value proposition. The system accelerates human judgment rather than replacing it.</w:t>
      </w:r>
    </w:p>
    <w:p>
      <w:pPr>
        <w:spacing w:after="160"/>
      </w:pPr>
      <w:r>
        <w:rPr>
          <w:rFonts w:ascii="Arial" w:cs="Arial" w:eastAsia="Arial" w:hAnsi="Arial"/>
          <w:b/>
          <w:bCs/>
          <w:color w:val="2C3E50"/>
          <w:sz w:val="22"/>
          <w:szCs w:val="22"/>
        </w:rPr>
        <w:t xml:space="preserve">Append-only over mutable state. </w:t>
      </w:r>
      <w:r>
        <w:rPr>
          <w:rFonts w:ascii="Arial" w:cs="Arial" w:eastAsia="Arial" w:hAnsi="Arial"/>
          <w:color w:val="2C3E50"/>
          <w:sz w:val="22"/>
          <w:szCs w:val="22"/>
        </w:rPr>
        <w:t xml:space="preserve">The event store is append-only with idempotent writes. Entity merges are reversible. Gate decisions are snapshot-captured. Nothing is silently overwritten. This creates a complete audit trail that can reconstruct any historical state.</w:t>
      </w:r>
    </w:p>
    <w:p>
      <w:pPr>
        <w:spacing w:after="160"/>
      </w:pPr>
      <w:r>
        <w:rPr>
          <w:rFonts w:ascii="Arial" w:cs="Arial" w:eastAsia="Arial" w:hAnsi="Arial"/>
          <w:b/>
          <w:bCs/>
          <w:color w:val="2C3E50"/>
          <w:sz w:val="22"/>
          <w:szCs w:val="22"/>
        </w:rPr>
        <w:t xml:space="preserve">Verification over documentation. </w:t>
      </w:r>
      <w:r>
        <w:rPr>
          <w:rFonts w:ascii="Arial" w:cs="Arial" w:eastAsia="Arial" w:hAnsi="Arial"/>
          <w:color w:val="2C3E50"/>
          <w:sz w:val="22"/>
          <w:szCs w:val="22"/>
        </w:rPr>
        <w:t xml:space="preserve">The Learning Sandwich system does not merely document modules—it cryptographically links understanding to code surface hashes, creating verifiable provenance that degrades gracefully when code changes. This is infrastructure for building trust in AI-generated understanding.</w:t>
      </w:r>
    </w:p>
    <w:p>
      <w:r>
        <w:r>
          <w:br w:type="page"/>
        </w:r>
      </w:r>
    </w:p>
    <w:p>
      <w:pPr>
        <w:pStyle w:val="Heading1"/>
      </w:pPr>
      <w:r>
        <w:t xml:space="preserve">7. Roadmap: From Infrastructure to Product</w:t>
      </w:r>
    </w:p>
    <w:p>
      <w:pPr>
        <w:pStyle w:val="Heading2"/>
      </w:pPr>
      <w:r>
        <w:t xml:space="preserve">7.1 Near-Term: Operator Interface and Live Adapters</w:t>
      </w:r>
    </w:p>
    <w:p>
      <w:pPr>
        <w:spacing w:after="160"/>
      </w:pPr>
      <w:r>
        <w:rPr>
          <w:rFonts w:ascii="Arial" w:cs="Arial" w:eastAsia="Arial" w:hAnsi="Arial"/>
          <w:color w:val="2C3E50"/>
          <w:sz w:val="22"/>
          <w:szCs w:val="22"/>
        </w:rPr>
        <w:t xml:space="preserve">The immediate priority is bridging the gap between the robust backend infrastructure and a usable operator experience. This means building a minimal approval dashboard for M2 recommendations and M3 calibration reviews, and implementing at least one live ingestion adapter (likely Twitter/X API) to move beyond pre-exported JSONL files. These changes require no architectural modifications—the contracts and worker protocols already support them.</w:t>
      </w:r>
    </w:p>
    <w:p>
      <w:pPr>
        <w:pStyle w:val="Heading2"/>
      </w:pPr>
      <w:r>
        <w:t xml:space="preserve">7.2 Mid-Term: AI Integration Layer</w:t>
      </w:r>
    </w:p>
    <w:p>
      <w:pPr>
        <w:spacing w:after="160"/>
      </w:pPr>
      <w:r>
        <w:rPr>
          <w:rFonts w:ascii="Arial" w:cs="Arial" w:eastAsia="Arial" w:hAnsi="Arial"/>
          <w:color w:val="2C3E50"/>
          <w:sz w:val="22"/>
          <w:szCs w:val="22"/>
        </w:rPr>
        <w:t xml:space="preserve">With the operator interface in place, the next priority is integrating LLM capabilities at well-defined boundaries: draft message generation in M2 (where output is always subject to human approval), embedding-based similarity scoring in M1 (where scores are just another feature input to deterministic gates), and game classification using the ABC framework. Each integration point is already defined in the schema contracts; the work is implementation, not design.</w:t>
      </w:r>
    </w:p>
    <w:p>
      <w:pPr>
        <w:pStyle w:val="Heading2"/>
      </w:pPr>
      <w:r>
        <w:t xml:space="preserve">7.3 Long-Term: Network Effects and the Proximity Fund</w:t>
      </w:r>
    </w:p>
    <w:p>
      <w:pPr>
        <w:spacing w:after="160"/>
      </w:pPr>
      <w:r>
        <w:rPr>
          <w:rFonts w:ascii="Arial" w:cs="Arial" w:eastAsia="Arial" w:hAnsi="Arial"/>
          <w:color w:val="2C3E50"/>
          <w:sz w:val="22"/>
          <w:szCs w:val="22"/>
        </w:rPr>
        <w:t xml:space="preserve">The full vision is a signal processing network where multiple operators (fund managers, talent scouts, community builders) each run their own MetaSPN instance with their own gate configurations and approval criteria, while shared learning across the network improves recommendations for everyone. The Proximity Fund serves as the first instantiation of this model: using MetaSPN to identify, develop, and invest in talent with a verifiable track record of signal quality and relationship outcomes.</w:t>
      </w:r>
    </w:p>
    <w:p>
      <w:pPr>
        <w:spacing w:after="160"/>
      </w:pPr>
      <w:r>
        <w:rPr>
          <w:rFonts w:ascii="Arial" w:cs="Arial" w:eastAsia="Arial" w:hAnsi="Arial"/>
          <w:color w:val="2C3E50"/>
          <w:sz w:val="22"/>
          <w:szCs w:val="22"/>
        </w:rPr>
        <w:t xml:space="preserve">The network effect is not in data aggregation—it is in calibration sharing. When one operator discovers that a particular gate threshold consistently produces better outcomes for a particular entity type, that calibration insight can be shared (with appropriate privacy controls) across the network. This is the Internet 2.0 infrastructure thesis: value creation through transparent, verifiable signal processing rather than opaque algorithmic manipulation.</w:t>
      </w:r>
    </w:p>
    <w:p>
      <w:r>
        <w:r>
          <w:br w:type="page"/>
        </w:r>
      </w:r>
    </w:p>
    <w:p>
      <w:pPr>
        <w:pStyle w:val="Heading1"/>
      </w:pPr>
      <w:r>
        <w:t xml:space="preserve">8. Conclusion</w:t>
      </w:r>
    </w:p>
    <w:p>
      <w:pPr>
        <w:spacing w:after="160"/>
      </w:pPr>
      <w:r>
        <w:rPr>
          <w:rFonts w:ascii="Arial" w:cs="Arial" w:eastAsia="Arial" w:hAnsi="Arial"/>
          <w:color w:val="2C3E50"/>
          <w:sz w:val="22"/>
          <w:szCs w:val="22"/>
        </w:rPr>
        <w:t xml:space="preserve">MetaSPN is not a product yet—it is infrastructure for a class of products that do not currently exist. The seven verified modules provide a foundation that is architecturally sound in the areas that matter most (determinism, contracts, entity resolution, human authority) and deliberately incomplete in the areas that are easiest to add (integrations, interfaces, ML features).</w:t>
      </w:r>
    </w:p>
    <w:p>
      <w:pPr>
        <w:spacing w:after="160"/>
      </w:pPr>
      <w:r>
        <w:rPr>
          <w:rFonts w:ascii="Arial" w:cs="Arial" w:eastAsia="Arial" w:hAnsi="Arial"/>
          <w:color w:val="2C3E50"/>
          <w:sz w:val="22"/>
          <w:szCs w:val="22"/>
        </w:rPr>
        <w:t xml:space="preserve">The honest assessment is that the system is approximately 60% complete for a minimum viable product: the hard structural work is done, and the remaining work is integration and interface development that does not require rethinking the architecture. The Learning Sandwich verification system provides confidence that the existing modules do what they claim, and the modular architecture ensures that new capabilities can be added without destabilizing what already works.</w:t>
      </w:r>
    </w:p>
    <w:p>
      <w:pPr>
        <w:spacing w:after="160"/>
      </w:pPr>
      <w:r>
        <w:rPr>
          <w:rFonts w:ascii="Arial" w:cs="Arial" w:eastAsia="Arial" w:hAnsi="Arial"/>
          <w:color w:val="2C3E50"/>
          <w:sz w:val="22"/>
          <w:szCs w:val="22"/>
        </w:rPr>
        <w:t xml:space="preserve">What MetaSPN makes possible—verifiable, human-authorized, learning AI-assisted relationship building—is not a feature that can be bolted onto existing platforms. It requires the kind of foundational infrastructure that has been built here: deterministic signal processing, canonical entity resolution, configurable gate evaluation, and closed-loop outcome learning. The infrastructure exists. The path to product is clear.</w:t>
      </w:r>
    </w:p>
    <w:p>
      <w:pPr>
        <w:spacing w:after="600"/>
      </w:pPr>
    </w:p>
    <w:p>
      <w:pPr>
        <w:jc w:val="center"/>
      </w:pPr>
      <w:r>
        <w:rPr>
          <w:color w:val="7F8C8D"/>
          <w:sz w:val="24"/>
          <w:szCs w:val="24"/>
        </w:rPr>
        <w:t xml:space="preserve">───</w:t>
      </w:r>
    </w:p>
    <w:p>
      <w:pPr>
        <w:spacing w:after="200"/>
      </w:pPr>
    </w:p>
    <w:p>
      <w:pPr>
        <w:spacing w:after="80"/>
        <w:jc w:val="center"/>
      </w:pPr>
      <w:r>
        <w:rPr>
          <w:rFonts w:ascii="Arial" w:cs="Arial" w:eastAsia="Arial" w:hAnsi="Arial"/>
          <w:i/>
          <w:iCs/>
          <w:color w:val="7F8C8D"/>
          <w:sz w:val="20"/>
          <w:szCs w:val="20"/>
        </w:rPr>
        <w:t xml:space="preserve">Module Verification Hashes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aHash (Understanding)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980B9"/>
                <w:sz w:val="18"/>
                <w:szCs w:val="18"/>
              </w:rPr>
              <w:t xml:space="preserve">metaspn-engine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6d9e50c3...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18"/>
                <w:szCs w:val="18"/>
              </w:rPr>
              <w:t xml:space="preserve">metaspn-schemas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8f0077f4...</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980B9"/>
                <w:sz w:val="18"/>
                <w:szCs w:val="18"/>
              </w:rPr>
              <w:t xml:space="preserve">metaspn-io</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03e73c5a...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18"/>
                <w:szCs w:val="18"/>
              </w:rPr>
              <w:t xml:space="preserve">metaspn-entities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8cd9e648...</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980B9"/>
                <w:sz w:val="18"/>
                <w:szCs w:val="18"/>
              </w:rPr>
              <w:t xml:space="preserve">metaspn-gates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6567e3ff...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18"/>
                <w:szCs w:val="18"/>
              </w:rPr>
              <w:t xml:space="preserve">metaspn-store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01ba635c...</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980B9"/>
                <w:sz w:val="18"/>
                <w:szCs w:val="18"/>
              </w:rPr>
              <w:t xml:space="preserve">metaspn-ops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af0ba5ce...</w:t>
            </w:r>
          </w:p>
        </w:tc>
      </w:tr>
    </w:tbl>
    <w:p>
      <w:pPr>
        <w:spacing w:after="200"/>
      </w:pPr>
    </w:p>
    <w:p>
      <w:pPr>
        <w:spacing w:after="0"/>
        <w:jc w:val="center"/>
      </w:pPr>
      <w:r>
        <w:rPr>
          <w:rFonts w:ascii="Courier New" w:cs="Courier New" w:eastAsia="Courier New" w:hAnsi="Courier New"/>
          <w:i/>
          <w:iCs/>
          <w:color w:val="7F8C8D"/>
          <w:sz w:val="16"/>
          <w:szCs w:val="16"/>
        </w:rPr>
        <w:t xml:space="preserve">Shared cHash (Verifier): e0d2747b9ab7abb6eb65e0373fa1b428a28bd6d8a2380106dcc080f58005ee14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MetaSPN Technical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980B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2026-02-06T14:09:45.202Z</dcterms:created>
  <dcterms:modified xsi:type="dcterms:W3CDTF">2026-02-06T14:09:45.203Z</dcterms:modified>
</cp:coreProperties>
</file>

<file path=docProps/custom.xml><?xml version="1.0" encoding="utf-8"?>
<Properties xmlns="http://schemas.openxmlformats.org/officeDocument/2006/custom-properties" xmlns:vt="http://schemas.openxmlformats.org/officeDocument/2006/docPropsVTypes"/>
</file>