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360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ListParagraph"/>
        <w:numPr>
          <w:ilvl w:val="0"/>
          <w:numId w:val="2"/>
        </w:numPr>
        <w:spacing w:lineRule="atLeast" w:line="360"/>
        <w:ind w:left="0" w:firstLine="141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  <w:t>Procedimento para determinação de lípidos pelo método gravimétrico seguido de transesterificação para determinação de LCFA por GC-FID</w:t>
      </w:r>
    </w:p>
    <w:p>
      <w:pPr>
        <w:pStyle w:val="ListParagraph"/>
        <w:spacing w:lineRule="atLeast" w:line="360"/>
        <w:ind w:left="141" w:hanging="0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ListParagraph"/>
        <w:numPr>
          <w:ilvl w:val="1"/>
          <w:numId w:val="2"/>
        </w:numPr>
        <w:spacing w:lineRule="atLeast" w:line="360"/>
        <w:jc w:val="both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>Método Gravimétrico</w:t>
      </w:r>
    </w:p>
    <w:p>
      <w:pPr>
        <w:pStyle w:val="ListParagraph"/>
        <w:spacing w:lineRule="atLeast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>Pesar 0.8 g de esferas de vidro (0.2-0.5mm) para microtubos de centrífuga de 2 mL com tampa de rosca, fechar com tampa e zerar/tarar a balança com o 1º microtubo;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 xml:space="preserve">Colocar os microtubos vazios </w:t>
      </w:r>
      <w:r>
        <w:rPr/>
        <w:t>(w spheres)</w:t>
      </w:r>
      <w:r>
        <w:rPr/>
        <w:t xml:space="preserve"> seguintes e a tampa no prato da balança e encher com esferas de vidro até obter zero na pesagem;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 xml:space="preserve">Pesar mais ou menos a mesma quantidade de células liofilizadas para cada microtubo (± </w:t>
      </w:r>
      <w:r>
        <w:rPr/>
        <w:t>100</w:t>
      </w:r>
      <w:r>
        <w:rPr/>
        <w:t xml:space="preserve"> mg se tiverem cerca de 30% de lípidos, mais caso tenham menos de 30%, pode-se ter uma ideia deste valor através do fluorimetro);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 xml:space="preserve">Adicionar (na hotte) </w:t>
      </w:r>
      <w:r>
        <w:rPr/>
        <w:t xml:space="preserve">1 mL </w:t>
      </w:r>
      <w:r>
        <w:rPr/>
        <w:t xml:space="preserve">de n-hexano e levar </w:t>
      </w:r>
      <w:r>
        <w:rPr/>
        <w:t>1</w:t>
      </w:r>
      <w:r>
        <w:rPr/>
        <w:t xml:space="preserve">5 min ao </w:t>
      </w:r>
      <w:r>
        <w:rPr>
          <w:b/>
          <w:bCs/>
        </w:rPr>
        <w:t>Cell Disrupter</w:t>
      </w:r>
      <w:r>
        <w:rPr/>
        <w:t xml:space="preserve">; colocar </w:t>
      </w:r>
      <w:r>
        <w:rPr>
          <w:b/>
          <w:bCs/>
          <w:color w:val="FF3333"/>
        </w:rPr>
        <w:t>1 min no gelo</w:t>
      </w:r>
      <w:r>
        <w:rPr/>
        <w:t xml:space="preserve"> e voltar a colocar no Cell Disrupter por mais </w:t>
      </w:r>
      <w:r>
        <w:rPr/>
        <w:t>1</w:t>
      </w:r>
      <w:r>
        <w:rPr/>
        <w:t>5 min;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>Centrifugar 2 min a 10000 rpm;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>Remover o sobrenadante com pipeta Pasteur de vidro para um tubo de centrífuga de vidro; reservar;</w:t>
      </w:r>
    </w:p>
    <w:p>
      <w:pPr>
        <w:pStyle w:val="ListParagraph"/>
        <w:numPr>
          <w:ilvl w:val="0"/>
          <w:numId w:val="3"/>
        </w:numPr>
        <w:spacing w:lineRule="atLeast" w:line="360"/>
        <w:jc w:val="both"/>
        <w:rPr/>
      </w:pPr>
      <w:r>
        <w:rPr/>
        <w:t xml:space="preserve">Repetir o passo 4, 5 e 6 mais três vezes mas levando só </w:t>
      </w:r>
      <w:r>
        <w:rPr/>
        <w:t xml:space="preserve">5 </w:t>
      </w:r>
      <w:r>
        <w:rPr/>
        <w:t xml:space="preserve">min com 0.5 mL de n-hexano ao Cell Disrupter (é só para remover vestígios de lípidos/lavar as esferas); </w:t>
      </w:r>
      <w:r>
        <w:rPr/>
        <w:t>(n-hex 1 mL + 0.5 +0.5 +0.5)</w:t>
      </w:r>
    </w:p>
    <w:p>
      <w:pPr>
        <w:pStyle w:val="ListParagraph"/>
        <w:numPr>
          <w:ilvl w:val="0"/>
          <w:numId w:val="3"/>
        </w:numPr>
        <w:spacing w:lineRule="atLeast" w:line="360"/>
        <w:ind w:left="720" w:hanging="436"/>
        <w:jc w:val="both"/>
        <w:rPr/>
      </w:pPr>
      <w:r>
        <w:rPr/>
        <w:t xml:space="preserve">Adicionar ao tubo de </w:t>
      </w:r>
      <w:r>
        <w:rPr/>
        <w:t>vidro</w:t>
      </w:r>
      <w:r>
        <w:rPr/>
        <w:t xml:space="preserve">  com n-hexano+lípidos 500 µL de solução 0,9% NaCl (cerca de 20% v/v); tapar o tubo com papel alumínio e prender com elástico, pesar e corrigir o peso com mais NaCl; vortexar 40 seg;</w:t>
      </w:r>
    </w:p>
    <w:p>
      <w:pPr>
        <w:pStyle w:val="ListParagraph"/>
        <w:numPr>
          <w:ilvl w:val="0"/>
          <w:numId w:val="3"/>
        </w:numPr>
        <w:spacing w:lineRule="atLeast" w:line="360"/>
        <w:ind w:left="851" w:hanging="491"/>
        <w:jc w:val="both"/>
        <w:rPr/>
      </w:pPr>
      <w:r>
        <w:rPr/>
        <w:t>Centrifugar numa centrífuga de falcons durante 5 min a 1000g, a 4ºC;</w:t>
      </w:r>
    </w:p>
    <w:p>
      <w:pPr>
        <w:pStyle w:val="ListParagraph"/>
        <w:numPr>
          <w:ilvl w:val="0"/>
          <w:numId w:val="3"/>
        </w:numPr>
        <w:spacing w:lineRule="atLeast" w:line="360"/>
        <w:ind w:left="851" w:hanging="491"/>
        <w:jc w:val="both"/>
        <w:rPr>
          <w:color w:val="B2B2B2"/>
        </w:rPr>
      </w:pPr>
      <w:r>
        <w:rPr>
          <w:color w:val="B2B2B2"/>
        </w:rPr>
        <w:t>Lavar o filtro de seringa (PTFE hidrofóbico) com n-hexano de lavagem (sem deixar entrar ar para o filtro) e filtrar o sobrenadante para um vial de 4mL previamente lavado com n-hexano, seco, guardado no exsicador e pesado; remover vestígios de lípidos lavando o tubo de centrifuga inicial, a seringa e o filtro com n-hexano ‘limpo’ (para GC-FID) e fechar o vial;</w:t>
      </w:r>
    </w:p>
    <w:p>
      <w:pPr>
        <w:pStyle w:val="ListParagraph"/>
        <w:numPr>
          <w:ilvl w:val="0"/>
          <w:numId w:val="3"/>
        </w:numPr>
        <w:spacing w:lineRule="atLeast" w:line="360"/>
        <w:ind w:left="851" w:hanging="491"/>
        <w:jc w:val="both"/>
        <w:rPr/>
      </w:pPr>
      <w:r>
        <w:rPr/>
        <w:t>Evaporar o n-hexano sob corrente de N2 aquecida durante cerca de 40 min; os vials são fechados e guardados no exsicador durante uma noite;</w:t>
      </w:r>
    </w:p>
    <w:p>
      <w:pPr>
        <w:pStyle w:val="ListParagraph"/>
        <w:numPr>
          <w:ilvl w:val="0"/>
          <w:numId w:val="3"/>
        </w:numPr>
        <w:spacing w:lineRule="atLeast" w:line="360"/>
        <w:ind w:left="851" w:hanging="491"/>
        <w:jc w:val="both"/>
        <w:rPr/>
      </w:pPr>
      <w:r>
        <w:rPr/>
        <w:t>No dia seguinte são pesados e são determinadas os g lípidos/g amostras liofilizada.</w:t>
      </w:r>
    </w:p>
    <w:p>
      <w:pPr>
        <w:pStyle w:val="Normal"/>
        <w:spacing w:lineRule="atLeast" w:line="360"/>
        <w:ind w:left="36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tLeast" w:line="360"/>
        <w:ind w:left="141" w:hanging="0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ListParagraph"/>
        <w:spacing w:lineRule="atLeast" w:line="360"/>
        <w:ind w:left="141" w:hanging="0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ListParagraph"/>
        <w:numPr>
          <w:ilvl w:val="1"/>
          <w:numId w:val="2"/>
        </w:numPr>
        <w:spacing w:lineRule="atLeast" w:line="360"/>
        <w:jc w:val="both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>Transesterificação</w:t>
      </w:r>
    </w:p>
    <w:p>
      <w:pPr>
        <w:pStyle w:val="Normal"/>
        <w:spacing w:lineRule="atLeast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60"/>
        <w:jc w:val="both"/>
        <w:rPr>
          <w:b/>
          <w:b/>
        </w:rPr>
      </w:pPr>
      <w:r>
        <w:rPr>
          <w:b/>
        </w:rPr>
        <w:t>Reagentes:</w:t>
      </w:r>
    </w:p>
    <w:p>
      <w:pPr>
        <w:pStyle w:val="Normal"/>
        <w:spacing w:lineRule="atLeast" w:line="360"/>
        <w:jc w:val="both"/>
        <w:rPr/>
      </w:pPr>
      <w:r>
        <w:rPr/>
        <w:t xml:space="preserve">Metanol com teor de humidade não superior a 0,5 % (m/m). </w:t>
      </w:r>
    </w:p>
    <w:p>
      <w:pPr>
        <w:pStyle w:val="Normal"/>
        <w:spacing w:lineRule="atLeast" w:line="360"/>
        <w:jc w:val="both"/>
        <w:rPr/>
      </w:pPr>
      <w:r>
        <w:rPr/>
        <w:t xml:space="preserve">Hexano para cromatografia. </w:t>
      </w:r>
    </w:p>
    <w:p>
      <w:pPr>
        <w:pStyle w:val="Normal"/>
        <w:spacing w:lineRule="atLeast" w:line="360"/>
        <w:jc w:val="both"/>
        <w:rPr/>
      </w:pPr>
      <w:r>
        <w:rPr/>
        <w:t>Solução metanólica aproximadamente 10% de ácido sulfúrico: diluir 10 ml de ácido sulfúrico em 100 ml de metanol.</w:t>
      </w:r>
    </w:p>
    <w:p>
      <w:pPr>
        <w:pStyle w:val="Normal"/>
        <w:spacing w:lineRule="atLeast" w:line="360"/>
        <w:jc w:val="both"/>
        <w:rPr/>
      </w:pPr>
      <w:r>
        <w:rPr/>
        <w:t>Solução de 2000 mg/L de padrão interno C17</w:t>
      </w:r>
    </w:p>
    <w:p>
      <w:pPr>
        <w:pStyle w:val="Normal"/>
        <w:spacing w:lineRule="atLeast" w:line="360"/>
        <w:jc w:val="both"/>
        <w:rPr/>
      </w:pPr>
      <w:r>
        <w:rPr/>
      </w:r>
    </w:p>
    <w:p>
      <w:pPr>
        <w:pStyle w:val="Normal"/>
        <w:spacing w:lineRule="atLeast" w:line="360"/>
        <w:jc w:val="both"/>
        <w:rPr>
          <w:b/>
          <w:b/>
        </w:rPr>
      </w:pPr>
      <w:r>
        <w:rPr>
          <w:b/>
        </w:rPr>
        <w:t>Importante: todo o trabalho laboratorial deverá ser efetuado na hotte química, de preferência com mascara de segurança e 2 pares de luvas (se cair uma gota nas luvas, rejeitar as mesmas para um contentor especifico para ficar na hotte e calçar novas).</w:t>
      </w:r>
    </w:p>
    <w:p>
      <w:pPr>
        <w:pStyle w:val="Normal"/>
        <w:spacing w:lineRule="atLeast" w:line="36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284" w:hanging="0"/>
        <w:jc w:val="both"/>
        <w:rPr/>
      </w:pPr>
      <w:commentRangeStart w:id="0"/>
      <w:r>
        <w:rPr/>
        <w:t xml:space="preserve">A recta de calibração vai de </w:t>
      </w:r>
      <w:r>
        <w:rPr>
          <w:highlight w:val="yellow"/>
        </w:rPr>
        <w:t>50-300mg/L de cada LCFA</w:t>
      </w:r>
      <w:r>
        <w:rPr/>
        <w:t xml:space="preserve">, se tiver 30% de lípidos isso corresponde a 600 mg de lípidos totais em 1mL ou 300 mg em 2mL; o melhor é adicionar 2 mL de n-hexano às amostras; vortexar e transferir para um tubo de ensaio com tampa de rosca de 30 ml, 1 mL de amostra, 100 </w:t>
      </w:r>
      <w:r>
        <w:rPr>
          <w:rFonts w:ascii="Symbol" w:hAnsi="Symbol"/>
        </w:rPr>
        <w:t></w:t>
      </w:r>
      <w:r>
        <w:rPr/>
        <w:t xml:space="preserve">l de solução de padrão interno e adicionar 1 mL de solução metanólica de ácido sulfúrico 10%. 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ind w:left="284" w:hanging="0"/>
        <w:jc w:val="both"/>
        <w:rPr/>
      </w:pPr>
      <w:r>
        <w:rPr/>
        <w:t>Fechar o tubo e colocar no bloco de aquecimento (ou banho maria) a 100 ºC durante 2 horas. NOTA: é muito importante fechar corretamente os tubos para evitar a evaporação da mistura reacional. A reação deve dar-se em excesso de metanol e não pode haver perdas. Retirar as amostras e deixar arrefecer à temperatura ambiente.</w:t>
      </w:r>
    </w:p>
    <w:p>
      <w:pPr>
        <w:pStyle w:val="ListParagraph"/>
        <w:numPr>
          <w:ilvl w:val="0"/>
          <w:numId w:val="4"/>
        </w:numPr>
        <w:spacing w:lineRule="auto" w:line="360"/>
        <w:ind w:left="284" w:hanging="0"/>
        <w:jc w:val="both"/>
        <w:rPr/>
      </w:pPr>
      <w:r>
        <w:rPr/>
        <w:t>Uma vez arrefecidas, adicionar a cada amostra 1 mL de hexano, agitar vigorosamente com um vortex e deixar em repouso cerca de 5 min ou o tempo necessário para se verificar a separação das fases. Recolher a amostra orgânica (a fase superior) onde se encontram os ésteres metílicos dos ácidos gordos (FAME) para um tubo de 10 mL. Secar a amostra com tiossulfato de sódio anidro (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</w:t>
      </w:r>
      <w:hyperlink r:id="rId2" w:tgtFrame="Sódio">
        <w:r>
          <w:rPr>
            <w:rStyle w:val="InternetLink"/>
            <w:rFonts w:cs="Arial" w:ascii="Arial" w:hAnsi="Arial"/>
            <w:color w:val="0645AD"/>
            <w:sz w:val="21"/>
            <w:szCs w:val="21"/>
            <w:shd w:fill="FFFFFF" w:val="clear"/>
          </w:rPr>
          <w:t>Na</w:t>
        </w:r>
      </w:hyperlink>
      <w:r>
        <w:rPr>
          <w:rFonts w:cs="Arial" w:ascii="Arial" w:hAnsi="Arial"/>
          <w:color w:val="202122"/>
          <w:sz w:val="17"/>
          <w:szCs w:val="17"/>
          <w:shd w:fill="FFFFFF" w:val="clear"/>
          <w:vertAlign w:val="subscript"/>
        </w:rPr>
        <w:t>2</w:t>
      </w:r>
      <w:hyperlink r:id="rId3" w:tgtFrame="Enxofre">
        <w:r>
          <w:rPr>
            <w:rStyle w:val="InternetLink"/>
            <w:rFonts w:cs="Arial" w:ascii="Arial" w:hAnsi="Arial"/>
            <w:color w:val="0645AD"/>
            <w:sz w:val="21"/>
            <w:szCs w:val="21"/>
            <w:shd w:fill="FFFFFF" w:val="clear"/>
          </w:rPr>
          <w:t>S</w:t>
        </w:r>
      </w:hyperlink>
      <w:r>
        <w:rPr>
          <w:rFonts w:cs="Arial" w:ascii="Arial" w:hAnsi="Arial"/>
          <w:color w:val="202122"/>
          <w:sz w:val="17"/>
          <w:szCs w:val="17"/>
          <w:shd w:fill="FFFFFF" w:val="clear"/>
          <w:vertAlign w:val="subscript"/>
        </w:rPr>
        <w:t>2</w:t>
      </w:r>
      <w:hyperlink r:id="rId4" w:tgtFrame="Oxigênio">
        <w:r>
          <w:rPr>
            <w:rStyle w:val="InternetLink"/>
            <w:rFonts w:cs="Arial" w:ascii="Arial" w:hAnsi="Arial"/>
            <w:color w:val="0645AD"/>
            <w:sz w:val="21"/>
            <w:szCs w:val="21"/>
            <w:shd w:fill="FFFFFF" w:val="clear"/>
          </w:rPr>
          <w:t>O</w:t>
        </w:r>
      </w:hyperlink>
      <w:r>
        <w:rPr>
          <w:rFonts w:cs="Arial" w:ascii="Arial" w:hAnsi="Arial"/>
          <w:color w:val="202122"/>
          <w:sz w:val="17"/>
          <w:szCs w:val="17"/>
          <w:shd w:fill="FFFFFF" w:val="clear"/>
          <w:vertAlign w:val="subscript"/>
        </w:rPr>
        <w:t>3</w:t>
      </w:r>
      <w:r>
        <w:rPr/>
        <w:t>) ou sulfato de sódio anidro (?). Para isso colocar com uma pequena espátula uma porção do sal e agitar. Se o sal se aglomerar em forma de pedra, colocar mais uma pequena porção, até que o sal fique disperso na solução. Transferir a amostra para um vial de 2 mL com septo, rolhar e analisar no cromatógrafo gasoso.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ind w:left="1440" w:hanging="1440"/>
        <w:jc w:val="both"/>
        <w:rPr/>
      </w:pPr>
      <w:r>
        <w:rPr/>
        <w:t>Os vials são colocados no amostrador automátMSico e analisados no cromatógrafo gasoso com detetor FID nas seguintes condições:</w:t>
      </w:r>
    </w:p>
    <w:p>
      <w:pPr>
        <w:pStyle w:val="Normal"/>
        <w:spacing w:lineRule="auto" w:line="360"/>
        <w:rPr/>
      </w:pPr>
      <w:r>
        <w:rPr/>
        <w:t xml:space="preserve">- Coluna TEKNOKROMA TRWAX 30 m x 0,25 mm id; 0,2 </w:t>
      </w:r>
      <w:r>
        <w:rPr>
          <w:rFonts w:ascii="Symbol" w:hAnsi="Symbol"/>
        </w:rPr>
        <w:t></w:t>
      </w:r>
      <w:r>
        <w:rPr/>
        <w:t>m espessura de filme</w:t>
      </w:r>
    </w:p>
    <w:p>
      <w:pPr>
        <w:pStyle w:val="Normal"/>
        <w:spacing w:lineRule="auto" w:line="360"/>
        <w:rPr/>
      </w:pPr>
      <w:r>
        <w:rPr/>
        <w:t>- Temperatura da coluna: 50ºC durante 2 min, seguido de rampa de aquecimento a 10ºC /min até 225ºC mantendo a 225 ºC durante 10 min.</w:t>
      </w:r>
    </w:p>
    <w:p>
      <w:pPr>
        <w:pStyle w:val="Normal"/>
        <w:spacing w:lineRule="auto" w:line="360"/>
        <w:rPr/>
      </w:pPr>
      <w:r>
        <w:rPr/>
        <w:t xml:space="preserve">- Injetor a 220 ºC; split 1:20 volume de injeção: 1 </w:t>
      </w:r>
      <w:r>
        <w:rPr>
          <w:rFonts w:ascii="Symbol" w:hAnsi="Symbol"/>
        </w:rPr>
        <w:t></w:t>
      </w:r>
      <w:r>
        <w:rPr/>
        <w:t>l de amostra</w:t>
      </w:r>
    </w:p>
    <w:p>
      <w:pPr>
        <w:pStyle w:val="Normal"/>
        <w:spacing w:lineRule="auto" w:line="360"/>
        <w:rPr/>
      </w:pPr>
      <w:r>
        <w:rPr/>
        <w:t>- Gás de arraste: He a 1 ml/min (Pressão constante de 16 a 17 psi)</w:t>
      </w:r>
    </w:p>
    <w:p>
      <w:pPr>
        <w:pStyle w:val="Normal"/>
        <w:spacing w:lineRule="auto" w:line="360"/>
        <w:rPr/>
      </w:pPr>
      <w:r>
        <w:rPr/>
        <w:t>- Temperatura do detetor FID: 250 ºC;</w:t>
      </w:r>
    </w:p>
    <w:p>
      <w:pPr>
        <w:pStyle w:val="Normal"/>
        <w:spacing w:lineRule="auto" w:line="360"/>
        <w:rPr/>
      </w:pPr>
      <w:r>
        <w:rPr/>
        <w:t>- Caudal de ar: 250 ml/min</w:t>
      </w:r>
    </w:p>
    <w:p>
      <w:pPr>
        <w:pStyle w:val="Normal"/>
        <w:spacing w:lineRule="auto" w:line="360"/>
        <w:rPr/>
      </w:pPr>
      <w:r>
        <w:rPr/>
        <w:t>- Caudal de Hidrogénio: 30 ml/min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- Caudal de N2 (make-up): 30 ml/min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60"/>
        <w:jc w:val="both"/>
        <w:rPr>
          <w:color w:val="000000"/>
        </w:rPr>
      </w:pPr>
      <w:r>
        <w:rPr/>
        <w:t>A primeira análise deve ser de solvente (hexano) para verificar que a coluna e o solvente não contêm impurezas. Só depois devem analisar as amostras.</w:t>
      </w:r>
    </w:p>
    <w:p>
      <w:pPr>
        <w:pStyle w:val="Normal"/>
        <w:spacing w:lineRule="atLeast" w:line="360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tLeast" w:line="360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tLeast" w:line="360" w:before="0" w:after="240"/>
        <w:jc w:val="both"/>
        <w:rPr>
          <w:b/>
          <w:b/>
        </w:rPr>
      </w:pPr>
      <w:r>
        <w:rPr>
          <w:b/>
        </w:rPr>
        <w:t>Deposição dos resíduos</w:t>
      </w:r>
    </w:p>
    <w:p>
      <w:pPr>
        <w:pStyle w:val="Normal"/>
        <w:spacing w:lineRule="atLeast" w:line="360"/>
        <w:jc w:val="both"/>
        <w:rPr/>
      </w:pPr>
      <w:r>
        <w:rPr/>
        <w:t>Todos os resíduos devem ser recolhidos num recipiente com o rótulo “Resíduos de solventes orgânicos LER 070403”.</w:t>
      </w:r>
    </w:p>
    <w:p>
      <w:pPr>
        <w:pStyle w:val="Normal"/>
        <w:spacing w:lineRule="atLeast" w:line="360"/>
        <w:jc w:val="both"/>
        <w:rPr/>
      </w:pPr>
      <w:r>
        <w:rPr/>
        <w:t>As pipetas de Pasteur são descartadas nos recipientes amarelos de tampa vermelha.</w:t>
      </w:r>
    </w:p>
    <w:p>
      <w:pPr>
        <w:pStyle w:val="Normal"/>
        <w:spacing w:lineRule="atLeast" w:line="360"/>
        <w:jc w:val="both"/>
        <w:rPr/>
      </w:pPr>
      <w:r>
        <w:rPr/>
        <w:t>O restante material de vidro deve ser deixado a evaporar na hotte química.</w:t>
      </w:r>
    </w:p>
    <w:p>
      <w:pPr>
        <w:pStyle w:val="Normal"/>
        <w:spacing w:lineRule="atLeast" w:line="360"/>
        <w:jc w:val="both"/>
        <w:rPr/>
      </w:pPr>
      <w:r>
        <w:rPr/>
      </w:r>
    </w:p>
    <w:p>
      <w:pPr>
        <w:pStyle w:val="Normal"/>
        <w:spacing w:lineRule="atLeast" w:line="360"/>
        <w:jc w:val="both"/>
        <w:rPr>
          <w:b/>
          <w:b/>
        </w:rPr>
      </w:pPr>
      <w:r>
        <w:rPr>
          <w:b/>
        </w:rPr>
        <w:t>Preparar material</w:t>
      </w:r>
    </w:p>
    <w:p>
      <w:pPr>
        <w:pStyle w:val="Normal"/>
        <w:spacing w:lineRule="atLeast" w:line="360"/>
        <w:jc w:val="both"/>
        <w:rPr/>
      </w:pPr>
      <w:r>
        <w:rPr/>
      </w:r>
    </w:p>
    <w:p>
      <w:pPr>
        <w:pStyle w:val="Normal"/>
        <w:spacing w:lineRule="atLeast" w:line="360"/>
        <w:jc w:val="both"/>
        <w:rPr/>
      </w:pPr>
      <w:r>
        <w:rPr/>
        <w:t>Todo o material deve ser lavado com Derquim e água quente e passado por n-hexano antes de ser utilizado. Depois de utilizado, pode ser forçada a volatilização do n-hexano com recurso a banho-maria (goblé de vidro com os tubos e seringas dentro de outro goblé com água sobre uma placa de aquecimento).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Tatiana" w:date="2021-11-17T13:05:00Z" w:initials="T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Depende da quantidade DE lípidos que a amostra tiver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86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0f1944"/>
    <w:rPr>
      <w:rFonts w:ascii="Lucida Grande" w:hAnsi="Lucida Grande" w:cs="Lucida Grande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686bda"/>
    <w:rPr/>
  </w:style>
  <w:style w:type="character" w:styleId="PlaceholderText">
    <w:name w:val="Placeholder Text"/>
    <w:basedOn w:val="DefaultParagraphFont"/>
    <w:uiPriority w:val="99"/>
    <w:semiHidden/>
    <w:qFormat/>
    <w:rsid w:val="00ea6a0e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f49f5"/>
    <w:rPr>
      <w:color w:val="0000FF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650c07"/>
    <w:rPr>
      <w:rFonts w:ascii="Times New Roman" w:hAnsi="Times New Roman" w:eastAsia="Times New Roman" w:cs="Times New Roman"/>
      <w:szCs w:val="20"/>
    </w:rPr>
  </w:style>
  <w:style w:type="character" w:styleId="RodapCarter" w:customStyle="1">
    <w:name w:val="Rodapé Caráter"/>
    <w:basedOn w:val="DefaultParagraphFont"/>
    <w:link w:val="Footer"/>
    <w:uiPriority w:val="99"/>
    <w:qFormat/>
    <w:rsid w:val="00650c07"/>
    <w:rPr>
      <w:rFonts w:ascii="Times New Roman" w:hAnsi="Times New Roman"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7f27fd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2053b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link w:val="Annotationtext"/>
    <w:uiPriority w:val="99"/>
    <w:semiHidden/>
    <w:qFormat/>
    <w:rsid w:val="0012053b"/>
    <w:rPr>
      <w:rFonts w:ascii="Times New Roman" w:hAnsi="Times New Roman" w:eastAsia="Times New Roman" w:cs="Times New Roman"/>
      <w:sz w:val="20"/>
      <w:szCs w:val="20"/>
    </w:rPr>
  </w:style>
  <w:style w:type="character" w:styleId="AssuntodecomentrioCarter" w:customStyle="1">
    <w:name w:val="Assunto de comentário Caráter"/>
    <w:basedOn w:val="TextodecomentrioCarter"/>
    <w:link w:val="Annotationsubject"/>
    <w:uiPriority w:val="99"/>
    <w:semiHidden/>
    <w:qFormat/>
    <w:rsid w:val="0012053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0f1944"/>
    <w:pPr/>
    <w:rPr>
      <w:rFonts w:ascii="Lucida Grande" w:hAnsi="Lucida Grande" w:cs="Lucida Grande"/>
      <w:sz w:val="18"/>
      <w:szCs w:val="18"/>
    </w:rPr>
  </w:style>
  <w:style w:type="paragraph" w:styleId="TituloTerciario" w:customStyle="1">
    <w:name w:val="TituloTerciario"/>
    <w:basedOn w:val="Normal"/>
    <w:qFormat/>
    <w:rsid w:val="007d686f"/>
    <w:pPr>
      <w:spacing w:lineRule="atLeast" w:line="360"/>
      <w:jc w:val="both"/>
    </w:pPr>
    <w:rPr>
      <w:rFonts w:ascii="Times" w:hAnsi="Times"/>
      <w:b/>
    </w:rPr>
  </w:style>
  <w:style w:type="paragraph" w:styleId="ListParagraph">
    <w:name w:val="List Paragraph"/>
    <w:basedOn w:val="Normal"/>
    <w:uiPriority w:val="34"/>
    <w:qFormat/>
    <w:rsid w:val="00fa7dc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650c0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650c0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12053b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ecomentrioCarter"/>
    <w:uiPriority w:val="99"/>
    <w:semiHidden/>
    <w:unhideWhenUsed/>
    <w:qFormat/>
    <w:rsid w:val="0012053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9903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S&#243;dio" TargetMode="External"/><Relationship Id="rId3" Type="http://schemas.openxmlformats.org/officeDocument/2006/relationships/hyperlink" Target="https://pt.wikipedia.org/wiki/Enxofre" TargetMode="External"/><Relationship Id="rId4" Type="http://schemas.openxmlformats.org/officeDocument/2006/relationships/hyperlink" Target="https://pt.wikipedia.org/wiki/Oxig&#234;nio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069A-EA24-4497-8057-FBEBEAC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LibreOffice/7.3.4.2$Linux_X86_64 LibreOffice_project/30$Build-2</Application>
  <AppVersion>15.0000</AppVersion>
  <Pages>3</Pages>
  <Words>951</Words>
  <Characters>4409</Characters>
  <CharactersWithSpaces>5305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2021-11-20T18:54:00Z</dcterms:created>
  <dc:creator>Adelaide</dc:creator>
  <dc:description/>
  <dc:language>en-AU</dc:language>
  <cp:lastModifiedBy/>
  <cp:lastPrinted>2018-01-22T10:14:00Z</cp:lastPrinted>
  <dcterms:modified xsi:type="dcterms:W3CDTF">2022-07-27T10:13:31Z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