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b/>
          <w:sz w:val="32"/>
        </w:rPr>
        <w:t xml:space="preserve">Analisi interpretativa: </w:t>
      </w:r>
      <w:r>
        <w:rPr>
          <w:rFonts w:ascii="Times New Roman" w:hAnsi="Times New Roman"/>
          <w:b/>
          <w:i/>
          <w:sz w:val="32"/>
        </w:rPr>
        <w:t>Luz</w:t>
      </w:r>
      <w:r>
        <w:rPr>
          <w:rFonts w:ascii="Times New Roman" w:hAnsi="Times New Roman"/>
          <w:b/>
          <w:sz w:val="32"/>
        </w:rPr>
        <w:t xml:space="preserve"> (da "Descrizione del corpo")</w:t>
      </w:r>
    </w:p>
    <w:p>
      <w:pPr>
        <w:spacing w:after="60"/>
        <w:ind w:firstLine="0"/>
        <w:jc w:val="center"/>
      </w:pPr>
      <w:r>
        <w:rPr>
          <w:rFonts w:ascii="Times New Roman" w:hAnsi="Times New Roman"/>
          <w:sz w:val="28"/>
        </w:rPr>
        <w:t>Alice Cortegiani</w:t>
      </w:r>
      <w:r>
        <w:rPr>
          <w:rFonts w:ascii="Times New Roman" w:hAnsi="Times New Roman"/>
          <w:sz w:val="28"/>
          <w:vertAlign w:val="superscript"/>
        </w:rPr>
        <w:t>1</w:t>
      </w:r>
      <w:r>
        <w:rPr>
          <w:rFonts w:ascii="Times New Roman" w:hAnsi="Times New Roman"/>
          <w:sz w:val="28"/>
        </w:rPr>
      </w:r>
    </w:p>
    <w:p>
      <w:pPr>
        <w:spacing w:after="240"/>
        <w:ind w:firstLine="0"/>
        <w:jc w:val="center"/>
      </w:pPr>
      <w:r>
        <w:rPr>
          <w:rFonts w:ascii="Times New Roman" w:hAnsi="Times New Roman"/>
          <w:sz w:val="20"/>
        </w:rPr>
      </w:r>
      <w:r>
        <w:rPr>
          <w:rFonts w:ascii="Times New Roman" w:hAnsi="Times New Roman"/>
          <w:sz w:val="20"/>
          <w:vertAlign w:val="superscript"/>
        </w:rPr>
        <w:t>1</w:t>
      </w:r>
      <w:r>
        <w:rPr>
          <w:rFonts w:ascii="Times New Roman" w:hAnsi="Times New Roman"/>
          <w:sz w:val="20"/>
        </w:rPr>
        <w:t>LEAP Laboratorio ElettroAcustico Permanente, Roma</w:t>
      </w:r>
    </w:p>
    <w:p>
      <w:pPr>
        <w:spacing w:before="240" w:after="120"/>
        <w:ind w:firstLine="0"/>
        <w:jc w:val="center"/>
      </w:pPr>
      <w:r>
        <w:rPr>
          <w:rFonts w:ascii="Times New Roman" w:hAnsi="Times New Roman"/>
          <w:b/>
          <w:smallCaps/>
          <w:sz w:val="22"/>
        </w:rPr>
        <w:t>BIBLIOGRAFIA</w:t>
      </w:r>
    </w:p>
    <w:p>
      <w:pPr>
        <w:ind w:firstLine="0"/>
      </w:pPr>
      <w:r>
        <w:rPr>
          <w:rFonts w:ascii="Times New Roman" w:hAnsi="Times New Roman"/>
          <w:sz w:val="22"/>
        </w:rPr>
        <w:t xml:space="preserve">}{ 1em center {Bibliografia} center 0.5em } document Analisi interpretativa: </w:t>
      </w:r>
      <w:r>
        <w:rPr>
          <w:rFonts w:ascii="Times New Roman" w:hAnsi="Times New Roman"/>
          <w:i/>
          <w:sz w:val="22"/>
        </w:rPr>
        <w:t>Luz</w:t>
      </w:r>
      <w:r>
        <w:rPr>
          <w:rFonts w:ascii="Times New Roman" w:hAnsi="Times New Roman"/>
          <w:sz w:val="22"/>
        </w:rPr>
        <w:t xml:space="preserve"> (da "Descrizione del corpo") Alice Cortegiani{1} {1LEAP Laboratorio ElettroAcustico Permanente, Roma}</w:t>
      </w:r>
    </w:p>
    <w:p>
      <w:pPr>
        <w:ind w:firstLine="0"/>
      </w:pPr>
      <w:r>
        <w:rPr>
          <w:rFonts w:ascii="Times New Roman" w:hAnsi="Times New Roman"/>
          <w:sz w:val="22"/>
        </w:rPr>
        <w:t xml:space="preserve">Il presente contributo affronta la separazione epistemologica tra analisi musicale e prassi interpretativa. Partendo dalla domanda: </w:t>
      </w:r>
      <w:r>
        <w:rPr>
          <w:rFonts w:ascii="Times New Roman" w:hAnsi="Times New Roman"/>
          <w:i/>
          <w:sz w:val="22"/>
        </w:rPr>
        <w:t>come può l'interprete sviluppare una metodologia analitica che emerga dalla relazione diretta con la materia in vibrazione, anziché precederla?</w:t>
      </w:r>
      <w:r>
        <w:rPr>
          <w:rFonts w:ascii="Times New Roman" w:hAnsi="Times New Roman"/>
          <w:sz w:val="22"/>
        </w:rPr>
        <w:t xml:space="preserve">, la ricerca propone il concetto di </w:t>
      </w:r>
      <w:r>
        <w:rPr>
          <w:rFonts w:ascii="Times New Roman" w:hAnsi="Times New Roman"/>
          <w:i/>
          <w:sz w:val="22"/>
        </w:rPr>
        <w:t>analisi interpretativa</w:t>
      </w:r>
      <w:r>
        <w:rPr>
          <w:rFonts w:ascii="Times New Roman" w:hAnsi="Times New Roman"/>
          <w:sz w:val="22"/>
        </w:rPr>
        <w:t xml:space="preserve"> applicata all'opera </w:t>
      </w:r>
      <w:r>
        <w:rPr>
          <w:rFonts w:ascii="Times New Roman" w:hAnsi="Times New Roman"/>
          <w:i/>
          <w:sz w:val="22"/>
        </w:rPr>
        <w:t>Luz</w:t>
      </w:r>
      <w:r>
        <w:rPr>
          <w:rFonts w:ascii="Times New Roman" w:hAnsi="Times New Roman"/>
          <w:sz w:val="22"/>
        </w:rPr>
        <w:t xml:space="preserve"> (da "Descrizione del corpo") di Domenico Guaccero. Il problema centrale riguarda la sistematizzazione di una coscienza interpretativa che sia simultaneamente prassi riflessiva e azione trasformativa, fondamentale per quella letteratura la cui prassi interpretativa è da ri-attivare. </w:t>
      </w:r>
      <w:r>
        <w:rPr>
          <w:rFonts w:ascii="Times New Roman" w:hAnsi="Times New Roman"/>
          <w:i/>
          <w:sz w:val="22"/>
        </w:rPr>
        <w:t>Luz</w:t>
      </w:r>
      <w:r>
        <w:rPr>
          <w:rFonts w:ascii="Times New Roman" w:hAnsi="Times New Roman"/>
          <w:sz w:val="22"/>
        </w:rPr>
        <w:t xml:space="preserve"> articola melodie di Timbri di 24 tipologie ed espone la ricerca timbrica alla relazione con il silenzio mediante l'introduzione di un silenzio </w:t>
      </w:r>
      <w:r>
        <w:rPr>
          <w:rFonts w:ascii="Times New Roman" w:hAnsi="Times New Roman"/>
          <w:i/>
          <w:sz w:val="22"/>
        </w:rPr>
        <w:t>udibile animato</w:t>
      </w:r>
      <w:r>
        <w:rPr>
          <w:rFonts w:ascii="Times New Roman" w:hAnsi="Times New Roman"/>
          <w:sz w:val="22"/>
        </w:rPr>
        <w:t xml:space="preserve">. Nel metodo proposto, </w:t>
      </w:r>
      <w:r>
        <w:rPr>
          <w:rFonts w:ascii="Times New Roman" w:hAnsi="Times New Roman"/>
          <w:i/>
          <w:sz w:val="22"/>
        </w:rPr>
        <w:t>timbro</w:t>
      </w:r>
      <w:r>
        <w:rPr>
          <w:rFonts w:ascii="Times New Roman" w:hAnsi="Times New Roman"/>
          <w:sz w:val="22"/>
        </w:rPr>
        <w:t xml:space="preserve">, </w:t>
      </w:r>
      <w:r>
        <w:rPr>
          <w:rFonts w:ascii="Times New Roman" w:hAnsi="Times New Roman"/>
          <w:i/>
          <w:sz w:val="22"/>
        </w:rPr>
        <w:t>silenzio</w:t>
      </w:r>
      <w:r>
        <w:rPr>
          <w:rFonts w:ascii="Times New Roman" w:hAnsi="Times New Roman"/>
          <w:sz w:val="22"/>
        </w:rPr>
        <w:t xml:space="preserve"> e </w:t>
      </w:r>
      <w:r>
        <w:rPr>
          <w:rFonts w:ascii="Times New Roman" w:hAnsi="Times New Roman"/>
          <w:i/>
          <w:sz w:val="22"/>
        </w:rPr>
        <w:t>grafia musicale</w:t>
      </w:r>
      <w:r>
        <w:rPr>
          <w:rFonts w:ascii="Times New Roman" w:hAnsi="Times New Roman"/>
          <w:sz w:val="22"/>
        </w:rPr>
        <w:t xml:space="preserve"> fondono il nucleo centrale della spirale speculativa di esperienza e conoscenza, alimentando l'individuazione di un nuovo interprete. La ricerca contemporanea ha prodotto contributi nell'esplorazione timbrica e nell'interpretazione come co-creazione (Guaccero, 1970), tuttavia manca una sistematizzazione metodologica che integri queste prospettive nella prassi interpretativa tradizionale. L'atto interpretativo si scolpisce dalla sala da concerto, superando la separazione tra analisi preliminare ed esecuzione attraverso un processo conoscitivo che si compie nell'atto interpretativo stesso (Hatten, 2021). La dimensione teorica si fonda su una fenomenologia dell'interpretazione (Rognoni, 1966) che integri il concetto di "misura" come </w:t>
      </w:r>
      <w:r>
        <w:rPr>
          <w:rFonts w:ascii="Times New Roman" w:hAnsi="Times New Roman"/>
          <w:i/>
          <w:sz w:val="22"/>
        </w:rPr>
        <w:t>metron</w:t>
      </w:r>
      <w:r>
        <w:rPr>
          <w:rFonts w:ascii="Times New Roman" w:hAnsi="Times New Roman"/>
          <w:sz w:val="22"/>
        </w:rPr>
        <w:t xml:space="preserve"> emergente (Cacciari, 1996).</w:t>
      </w:r>
    </w:p>
    <w:p>
      <w:pPr>
        <w:ind w:firstLine="0"/>
      </w:pPr>
      <w:r>
        <w:rPr>
          <w:rFonts w:ascii="Times New Roman" w:hAnsi="Times New Roman"/>
          <w:sz w:val="22"/>
        </w:rPr>
        <w:t>La ricerca mira a: 1) ricongiungersi agli studi musicologici per ricostituire una prassi interpretativa per l'opera di Guaccero; 2) sistematizzare l'analisi interpretativa come metodologia trasferibile; 3) fornire strumenti pedagogici che superino la dicotomia teoria/prassi. L'analisi interpretativa propone un processo dove più dimensioni si co-costituiscono reciprocamente: una grammatica dell'ascolto analitico emergente dalla mediazione tecnologica che include mappature timbriche e sistemi di notazione delle relazioni tra gesto e suono.</w:t>
      </w:r>
    </w:p>
    <w:p>
      <w:pPr>
        <w:ind w:firstLine="0"/>
      </w:pPr>
      <w:r>
        <w:rPr>
          <w:rFonts w:ascii="Times New Roman" w:hAnsi="Times New Roman"/>
          <w:sz w:val="22"/>
        </w:rPr>
        <w:t>L'obiettivo finale è contribuire a un'</w:t>
      </w:r>
      <w:r>
        <w:rPr>
          <w:rFonts w:ascii="Times New Roman" w:hAnsi="Times New Roman"/>
          <w:i/>
          <w:sz w:val="22"/>
        </w:rPr>
        <w:t>archeologia del presente musicale</w:t>
      </w:r>
      <w:r>
        <w:rPr>
          <w:rFonts w:ascii="Times New Roman" w:hAnsi="Times New Roman"/>
          <w:sz w:val="22"/>
        </w:rPr>
        <w:t>, dove l'interprete media tra tradizione e contemporaneità, sviluppando strumenti che trasformino i paradigmi didattici e colmino il divario tra ricerca extra-accademica e formazione istituzionale.</w:t>
      </w:r>
    </w:p>
    <w:p>
      <w:pPr>
        <w:ind w:firstLine="0"/>
      </w:pPr>
      <w:r>
        <w:rPr>
          <w:rFonts w:ascii="Times New Roman" w:hAnsi="Times New Roman"/>
          <w:sz w:val="22"/>
        </w:rPr>
        <w:t xml:space="preserve">Cacciari, M. (1996). </w:t>
      </w:r>
      <w:r>
        <w:rPr>
          <w:rFonts w:ascii="Times New Roman" w:hAnsi="Times New Roman"/>
          <w:i/>
          <w:sz w:val="22"/>
        </w:rPr>
        <w:t>Metafisica concreta</w:t>
      </w:r>
      <w:r>
        <w:rPr>
          <w:rFonts w:ascii="Times New Roman" w:hAnsi="Times New Roman"/>
          <w:sz w:val="22"/>
        </w:rPr>
        <w:t>. Adelphi.</w:t>
      </w:r>
    </w:p>
    <w:p>
      <w:pPr>
        <w:ind w:firstLine="0"/>
      </w:pPr>
      <w:r>
        <w:rPr>
          <w:rFonts w:ascii="Times New Roman" w:hAnsi="Times New Roman"/>
          <w:sz w:val="22"/>
        </w:rPr>
        <w:t xml:space="preserve">Guaccero, D. (1970). Improvvisazione e composizione. </w:t>
      </w:r>
      <w:r>
        <w:rPr>
          <w:rFonts w:ascii="Times New Roman" w:hAnsi="Times New Roman"/>
          <w:i/>
          <w:sz w:val="22"/>
        </w:rPr>
        <w:t>Nuova Rivista Musicale Italiana</w:t>
      </w:r>
      <w:r>
        <w:rPr>
          <w:rFonts w:ascii="Times New Roman" w:hAnsi="Times New Roman"/>
          <w:sz w:val="22"/>
        </w:rPr>
        <w:t xml:space="preserve">, </w:t>
      </w:r>
      <w:r>
        <w:rPr>
          <w:rFonts w:ascii="Times New Roman" w:hAnsi="Times New Roman"/>
          <w:i/>
          <w:sz w:val="22"/>
        </w:rPr>
        <w:t>4</w:t>
      </w:r>
      <w:r>
        <w:rPr>
          <w:rFonts w:ascii="Times New Roman" w:hAnsi="Times New Roman"/>
          <w:sz w:val="22"/>
        </w:rPr>
        <w:t>(3), 445–462.</w:t>
      </w:r>
    </w:p>
    <w:p>
      <w:pPr>
        <w:ind w:firstLine="0"/>
      </w:pPr>
      <w:r>
        <w:rPr>
          <w:rFonts w:ascii="Times New Roman" w:hAnsi="Times New Roman"/>
          <w:sz w:val="22"/>
        </w:rPr>
        <w:t xml:space="preserve">Hatten, R. S. (2021). A speculative hermeneutics for music analysis and interpretation. </w:t>
      </w:r>
      <w:r>
        <w:rPr>
          <w:rFonts w:ascii="Times New Roman" w:hAnsi="Times New Roman"/>
          <w:i/>
          <w:sz w:val="22"/>
        </w:rPr>
        <w:t>The Musical Quarterly</w:t>
      </w:r>
      <w:r>
        <w:rPr>
          <w:rFonts w:ascii="Times New Roman" w:hAnsi="Times New Roman"/>
          <w:sz w:val="22"/>
        </w:rPr>
        <w:t xml:space="preserve">, </w:t>
      </w:r>
      <w:r>
        <w:rPr>
          <w:rFonts w:ascii="Times New Roman" w:hAnsi="Times New Roman"/>
          <w:i/>
          <w:sz w:val="22"/>
        </w:rPr>
        <w:t>104</w:t>
      </w:r>
      <w:r>
        <w:rPr>
          <w:rFonts w:ascii="Times New Roman" w:hAnsi="Times New Roman"/>
          <w:sz w:val="22"/>
        </w:rPr>
        <w:t>(1-2), 12–32.</w:t>
      </w:r>
    </w:p>
    <w:p>
      <w:pPr>
        <w:ind w:firstLine="0"/>
      </w:pPr>
      <w:r>
        <w:rPr>
          <w:rFonts w:ascii="Times New Roman" w:hAnsi="Times New Roman"/>
          <w:sz w:val="22"/>
        </w:rPr>
        <w:t xml:space="preserve">Rognoni, L. (1966). </w:t>
      </w:r>
      <w:r>
        <w:rPr>
          <w:rFonts w:ascii="Times New Roman" w:hAnsi="Times New Roman"/>
          <w:i/>
          <w:sz w:val="22"/>
        </w:rPr>
        <w:t>Fenomenologia della musica radicale</w:t>
      </w:r>
      <w:r>
        <w:rPr>
          <w:rFonts w:ascii="Times New Roman" w:hAnsi="Times New Roman"/>
          <w:sz w:val="22"/>
        </w:rPr>
        <w:t>. Laterza.</w:t>
      </w:r>
    </w:p>
    <w:p>
      <w:pPr>
        <w:ind w:firstLine="0"/>
      </w:pPr>
      <w:r>
        <w:rPr>
          <w:rFonts w:ascii="Times New Roman" w:hAnsi="Times New Roman"/>
          <w:sz w:val="22"/>
        </w:rPr>
        <w:t xml:space="preserve">Smalley, D. (1997). Spectromorphology: explaining sound-shapes. </w:t>
      </w:r>
      <w:r>
        <w:rPr>
          <w:rFonts w:ascii="Times New Roman" w:hAnsi="Times New Roman"/>
          <w:i/>
          <w:sz w:val="22"/>
        </w:rPr>
        <w:t>Organised Sound</w:t>
      </w:r>
      <w:r>
        <w:rPr>
          <w:rFonts w:ascii="Times New Roman" w:hAnsi="Times New Roman"/>
          <w:sz w:val="22"/>
        </w:rPr>
        <w:t xml:space="preserve">, </w:t>
      </w:r>
      <w:r>
        <w:rPr>
          <w:rFonts w:ascii="Times New Roman" w:hAnsi="Times New Roman"/>
          <w:i/>
          <w:sz w:val="22"/>
        </w:rPr>
        <w:t>2</w:t>
      </w:r>
      <w:r>
        <w:rPr>
          <w:rFonts w:ascii="Times New Roman" w:hAnsi="Times New Roman"/>
          <w:sz w:val="22"/>
        </w:rPr>
        <w:t>(2), 107–126.</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ind w:firstLine="284"/>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