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oinformatics-advances-cover-letter"/>
    <w:p>
      <w:pPr>
        <w:pStyle w:val="Heading1"/>
      </w:pPr>
      <w:r>
        <w:t xml:space="preserve">Bioinformatics Advances 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are submitting</w:t>
      </w:r>
      <w:r>
        <w:t xml:space="preserve"> </w:t>
      </w:r>
      <w:r>
        <w:t xml:space="preserve">“</w:t>
      </w:r>
      <w:r>
        <w:t xml:space="preserve">ProteinLM-Augmented Blinded Rediscovery of Food-Derived ACE-Inhibitory Peptides</w:t>
      </w:r>
      <w:r>
        <w:t xml:space="preserve">”</w:t>
      </w:r>
      <w:r>
        <w:t xml:space="preserve"> </w:t>
      </w:r>
      <w:r>
        <w:t xml:space="preserve">for consideration as an Original Article in Bioinformatics Advances.</w:t>
      </w:r>
    </w:p>
    <w:p>
      <w:pPr>
        <w:pStyle w:val="BodyText"/>
      </w:pPr>
      <w:r>
        <w:t xml:space="preserve">The manuscript presents a computational biology benchmark for food-derived ACE-inhibitory peptide prioritization. It addresses a recurrent validation problem in peptide AI: apparent performance can be driven by exact-sequence reuse, post-hoc recipe selection, easy motif recovery, or weak negative controls. The study therefore uses blinded candidate universes, exact-sequence-excluded primary-literature holdouts, matched decoys, frozen ranking recipes, motif-neighborhood auditing, and explicit post-unblinding statistics.</w:t>
      </w:r>
    </w:p>
    <w:p>
      <w:pPr>
        <w:pStyle w:val="BodyText"/>
      </w:pPr>
      <w:r>
        <w:t xml:space="preserve">The central results combine prospective frozen validation with ProteinLM rescoring. A v4 frozen broad-shortlist recipe recovered 16 of 31 positives in the top 10 percent of a 56,494-candidate universe, with hypergeometric p = 6.76e-09 and matched-decoy AUROC = 0.7575. After a harder v5 stress panel exposed top-rank failure modes, a post-v5 balanced recipe recovered 6 of 52 v6 positives in the top 1 percent of a 58,192-candidate universe, with p = 1.34e-05 and matched-decoy AUROC = 0.7642. ESM2 ProteinLM rescoring improved parent-grouped held-out AUROC from 0.7624 to 0.7832 and improved full-universe matched-decoy AUROC to 0.7813 under a frozen 0.65 ACE / 0.35 PLM fusion.</w:t>
      </w:r>
    </w:p>
    <w:p>
      <w:pPr>
        <w:pStyle w:val="BodyText"/>
      </w:pPr>
      <w:r>
        <w:t xml:space="preserve">The manuscript fits Bioinformatics Advances because it contributes an auditable sequence-analysis benchmark, evaluates machine-learning and ProteinLM-supported ranking of biological sequence data, and reports failure modes alongside positive validations. The validated claim is computational prioritization and rediscovery, not wet-lab potency, receptor binding, or therapeutic efficacy.</w:t>
      </w:r>
    </w:p>
    <w:p>
      <w:pPr>
        <w:pStyle w:val="BodyText"/>
      </w:pPr>
      <w:r>
        <w:t xml:space="preserve">Funding: none. Competing interests: none declared. Data and analysis code are available from the corresponding author on reasonable request.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Oğuzcan Ünver</w:t>
      </w:r>
    </w:p>
    <w:p>
      <w:pPr>
        <w:pStyle w:val="BodyText"/>
      </w:pPr>
      <w:r>
        <w:t xml:space="preserve">Metastate Bio Inc, Wilmington, Delaware, USA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2026-08-30T18:50:53Z</dcterms:created>
  <dcterms:modified xsi:type="dcterms:W3CDTF">2026-08-30T18:50:53Z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