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544cbd2ef00a14535bea1eef14fd471f689140"/>
    <w:p>
      <w:pPr>
        <w:pStyle w:val="Heading1"/>
      </w:pPr>
      <w:r>
        <w:t xml:space="preserve">Bioinformatics Advances Submission Metadata</w:t>
      </w:r>
    </w:p>
    <w:p>
      <w:pPr>
        <w:pStyle w:val="FirstParagraph"/>
      </w:pPr>
      <w:r>
        <w:t xml:space="preserve">Date prepared: 2026-08-30</w:t>
      </w:r>
    </w:p>
    <w:bookmarkStart w:id="20" w:name="journal"/>
    <w:p>
      <w:pPr>
        <w:pStyle w:val="Heading2"/>
      </w:pPr>
      <w:r>
        <w:t xml:space="preserve">Journal</w:t>
      </w:r>
    </w:p>
    <w:p>
      <w:pPr>
        <w:pStyle w:val="FirstParagraph"/>
      </w:pPr>
      <w:r>
        <w:t xml:space="preserve">Bioinformatics Advances</w:t>
      </w:r>
    </w:p>
    <w:bookmarkEnd w:id="20"/>
    <w:bookmarkStart w:id="21" w:name="article-type"/>
    <w:p>
      <w:pPr>
        <w:pStyle w:val="Heading2"/>
      </w:pPr>
      <w:r>
        <w:t xml:space="preserve">Article Type</w:t>
      </w:r>
    </w:p>
    <w:p>
      <w:pPr>
        <w:pStyle w:val="FirstParagraph"/>
      </w:pPr>
      <w:r>
        <w:t xml:space="preserve">Original Article</w:t>
      </w:r>
    </w:p>
    <w:bookmarkEnd w:id="21"/>
    <w:bookmarkStart w:id="22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ProteinLM-Augmented Blinded Rediscovery of Food-Derived ACE-Inhibitory Peptides</w:t>
      </w:r>
    </w:p>
    <w:bookmarkEnd w:id="22"/>
    <w:bookmarkStart w:id="23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Oğuzcan Ünver</w:t>
      </w:r>
    </w:p>
    <w:bookmarkEnd w:id="23"/>
    <w:bookmarkStart w:id="24" w:name="affiliation"/>
    <w:p>
      <w:pPr>
        <w:pStyle w:val="Heading2"/>
      </w:pPr>
      <w:r>
        <w:t xml:space="preserve">Affiliation</w:t>
      </w:r>
    </w:p>
    <w:p>
      <w:pPr>
        <w:pStyle w:val="FirstParagraph"/>
      </w:pPr>
      <w:r>
        <w:t xml:space="preserve">Metastate Bio Inc, Wilmington, Delaware, USA</w:t>
      </w:r>
    </w:p>
    <w:bookmarkEnd w:id="24"/>
    <w:bookmarkStart w:id="25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Oğuzcan Ünver; email to be provided at upload; ORCID to be provided at upload if required</w:t>
      </w:r>
    </w:p>
    <w:bookmarkEnd w:id="25"/>
    <w:bookmarkStart w:id="26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Food-derived angiotensin-converting enzyme (ACE)-inhibitory peptides are a useful benchmark for computational peptide prioritization because many active sequences have been reported across heterogeneous source materials. We built leakage-controlled blinded candidate universes containing hidden literature positives, matched decoys, random peptides, and food-protein digestome background. Ranking recipes were frozen before independent holdout curation and evaluated after exact-sequence overlap audits. A v4 frozen broad-shortlist recipe recovered 16 of 31 positives in the top 10 percent of a 56,494-candidate universe. A harder v5 stress panel exposed reduced top-rank recovery. After a post-v5 freeze, the v6 balanced recipe recovered 6 of 52 positives in the top 1 percent of a 58,192-candidate universe, with 11.54-fold enrichment and matched-decoy AUROC 0.7642. ESM2 ProteinLM rescoring improved parent-grouped held-out matched-decoy AUROC from 0.7624 to 0.7832, and a frozen full-universe 0.65 ACE / 0.35 length-calibrated PLM fusion improved matched-decoy AUROC to 0.7813 while preserving 6 of 52 top-1-percent recovery. These results support computational prioritization and rediscovery, not wet-lab potency or receptor-binding claims.</w:t>
      </w:r>
    </w:p>
    <w:bookmarkEnd w:id="26"/>
    <w:bookmarkStart w:id="27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bioactive peptides; ACE inhibition; protein language models; ESM2; blinded validation; peptide prioritization; food peptidomics</w:t>
      </w:r>
    </w:p>
    <w:bookmarkEnd w:id="27"/>
    <w:bookmarkStart w:id="28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1"/>
        </w:numPr>
        <w:pStyle w:val="Compact"/>
      </w:pPr>
      <w:r>
        <w:t xml:space="preserve">Funding: This research received no specific grant from any funding agency in the public, commercial, or not-for-profit sectors.</w:t>
      </w:r>
    </w:p>
    <w:p>
      <w:pPr>
        <w:numPr>
          <w:ilvl w:val="0"/>
          <w:numId w:val="1001"/>
        </w:numPr>
        <w:pStyle w:val="Compact"/>
      </w:pPr>
      <w:r>
        <w:t xml:space="preserve">Competing interests: The author declares no competing interests.</w:t>
      </w:r>
    </w:p>
    <w:p>
      <w:pPr>
        <w:numPr>
          <w:ilvl w:val="0"/>
          <w:numId w:val="1001"/>
        </w:numPr>
        <w:pStyle w:val="Compact"/>
      </w:pPr>
      <w:r>
        <w:t xml:space="preserve">Data availability: The datasets and analysis code used for this study are available from the corresponding author on reasonable request. Non-sensitive derived summary tables, reports, and reproducibility manifests are included in the submission package where permitted.</w:t>
      </w:r>
    </w:p>
    <w:p>
      <w:pPr>
        <w:numPr>
          <w:ilvl w:val="0"/>
          <w:numId w:val="1001"/>
        </w:numPr>
        <w:pStyle w:val="Compact"/>
      </w:pPr>
      <w:r>
        <w:t xml:space="preserve">Ethics: Not applicable; this is a computational study based on literature-derived peptide evidence and generated analysis artifacts.</w:t>
      </w:r>
    </w:p>
    <w:p>
      <w:pPr>
        <w:numPr>
          <w:ilvl w:val="0"/>
          <w:numId w:val="1001"/>
        </w:numPr>
        <w:pStyle w:val="Compact"/>
      </w:pPr>
      <w:r>
        <w:t xml:space="preserve">AI-assisted tools: Language-model tools were used to assist code implementation, artifact generation, and manuscript drafting. The author remains responsible for study design, curation, code, analysis, interpretation, and final manuscript.</w:t>
      </w:r>
    </w:p>
    <w:bookmarkEnd w:id="28"/>
    <w:bookmarkStart w:id="29" w:name="submission-blockers"/>
    <w:p>
      <w:pPr>
        <w:pStyle w:val="Heading2"/>
      </w:pPr>
      <w:r>
        <w:t xml:space="preserve">Submission Blockers</w:t>
      </w:r>
    </w:p>
    <w:p>
      <w:pPr>
        <w:numPr>
          <w:ilvl w:val="0"/>
          <w:numId w:val="1002"/>
        </w:numPr>
        <w:pStyle w:val="Compact"/>
      </w:pPr>
      <w:r>
        <w:t xml:space="preserve">Corresponding author email.</w:t>
      </w:r>
    </w:p>
    <w:p>
      <w:pPr>
        <w:numPr>
          <w:ilvl w:val="0"/>
          <w:numId w:val="1002"/>
        </w:numPr>
        <w:pStyle w:val="Compact"/>
      </w:pPr>
      <w:r>
        <w:t xml:space="preserve">ORCID if required by the submission system.</w:t>
      </w:r>
    </w:p>
    <w:p>
      <w:pPr>
        <w:numPr>
          <w:ilvl w:val="0"/>
          <w:numId w:val="1002"/>
        </w:numPr>
        <w:pStyle w:val="Compact"/>
      </w:pPr>
      <w:r>
        <w:t xml:space="preserve">Final decision on whether to replace request-only code/data access with an archival repository link.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2026-08-30T18:50:53Z</dcterms:created>
  <dcterms:modified xsi:type="dcterms:W3CDTF">2026-08-30T18:50:53Z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