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401fe2adc539f084f3e3c517fa775708854a938"/>
    <w:p>
      <w:pPr>
        <w:pStyle w:val="Heading1"/>
      </w:pPr>
      <w:r>
        <w:t xml:space="preserve">Matched nulls reveal specificity limits of metabolic pathway scores</w:t>
      </w:r>
    </w:p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Oğuzcan Ünver¹</w:t>
      </w:r>
    </w:p>
    <w:p>
      <w:pPr>
        <w:pStyle w:val="BodyText"/>
      </w:pPr>
      <w:r>
        <w:t xml:space="preserve">¹ Metastate Bio Inc, Wilmington, Delaware, USA</w:t>
      </w:r>
    </w:p>
    <w:p>
      <w:pPr>
        <w:pStyle w:val="BodyText"/>
      </w:pP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can@metastate.bio</w:t>
        </w:r>
      </w:hyperlink>
    </w:p>
    <w:p>
      <w:pPr>
        <w:pStyle w:val="BodyText"/>
      </w:pPr>
      <w:r>
        <w:t xml:space="preserve">ORCID: 0009-0007-2023-5084</w:t>
      </w:r>
    </w:p>
    <w:bookmarkEnd w:id="21"/>
    <w:bookmarkStart w:id="22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Pathway scores compress metabolomic profiles into interpretable biological summaries, but a score</w:t>
      </w:r>
      <w:r>
        <w:t xml:space="preserve"> </w:t>
      </w:r>
      <w:r>
        <w:t xml:space="preserve">can predict well without its declared pathway boundaries carrying specific information. We tested</w:t>
      </w:r>
      <w:r>
        <w:t xml:space="preserve"> </w:t>
      </w:r>
      <w:r>
        <w:t xml:space="preserve">metabolic representations by asking whether they reconstruct hidden measurements in biological</w:t>
      </w:r>
      <w:r>
        <w:t xml:space="preserve"> </w:t>
      </w:r>
      <w:r>
        <w:t xml:space="preserve">groups excluded from model fitting and outperform random representations of equal complexity. In</w:t>
      </w:r>
      <w:r>
        <w:t xml:space="preserve"> </w:t>
      </w:r>
      <w:r>
        <w:t xml:space="preserve">1,539 longitudinal samples from 112 people, broad lipid families achieved R²=0.588 but were inferior</w:t>
      </w:r>
      <w:r>
        <w:t xml:space="preserve"> </w:t>
      </w:r>
      <w:r>
        <w:t xml:space="preserve">to size-matched random groups. Structure-resolved lipid descriptors achieved R²=0.907 and exceeded</w:t>
      </w:r>
      <w:r>
        <w:t xml:space="preserve"> </w:t>
      </w:r>
      <w:r>
        <w:t xml:space="preserve">fixed-degree graph nulls; this result replicated in 450 people from 15 population categories</w:t>
      </w:r>
      <w:r>
        <w:t xml:space="preserve"> </w:t>
      </w:r>
      <w:r>
        <w:t xml:space="preserve">(R²=0.617), with all 20 graph nulls rejected. In 913 cancer cell lines, direct HumanGEM</w:t>
      </w:r>
      <w:r>
        <w:t xml:space="preserve"> </w:t>
      </w:r>
      <w:r>
        <w:t xml:space="preserve">neighborhoods predicted 60 metabolites across held-out lineages and improved RMSE by 0.134 standard</w:t>
      </w:r>
      <w:r>
        <w:t xml:space="preserve"> </w:t>
      </w:r>
      <w:r>
        <w:t xml:space="preserve">deviations (95% CI 0.093–0.177) against 20 dimension-matched random feature draws. A harder</w:t>
      </w:r>
      <w:r>
        <w:t xml:space="preserve"> </w:t>
      </w:r>
      <w:r>
        <w:t xml:space="preserve">degree-and-coverage-matched null gave 0.137 (0.097–0.181). Additive expression gave the lowest</w:t>
      </w:r>
      <w:r>
        <w:t xml:space="preserve"> </w:t>
      </w:r>
      <w:r>
        <w:t xml:space="preserve">compact-model RMSE; transcript interactions added no general increment. All post-result human and</w:t>
      </w:r>
      <w:r>
        <w:t xml:space="preserve"> </w:t>
      </w:r>
      <w:r>
        <w:t xml:space="preserve">CCLE sensitivity settings passed. These results</w:t>
      </w:r>
      <w:r>
        <w:t xml:space="preserve"> </w:t>
      </w:r>
      <w:r>
        <w:t xml:space="preserve">establish a falsification-led qualification framework: metabolic scores should earn</w:t>
      </w:r>
      <w:r>
        <w:t xml:space="preserve"> </w:t>
      </w:r>
      <w:r>
        <w:t xml:space="preserve">pathway-specific interpretation only when their structure retains unseen information beyond an</w:t>
      </w:r>
      <w:r>
        <w:t xml:space="preserve"> </w:t>
      </w:r>
      <w:r>
        <w:t xml:space="preserve">equally complex random structure. The framework validates representation and prioritization, not</w:t>
      </w:r>
      <w:r>
        <w:t xml:space="preserve"> </w:t>
      </w:r>
      <w:r>
        <w:t xml:space="preserve">physiological flux, causality or clinical utility.</w:t>
      </w:r>
    </w:p>
    <w:bookmarkEnd w:id="22"/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Metabolomics provides a high-dimensional view of biochemical state, but most interpretation</w:t>
      </w:r>
      <w:r>
        <w:t xml:space="preserve"> </w:t>
      </w:r>
      <w:r>
        <w:t xml:space="preserve">workflows reduce measured metabolites to sets, pathways or latent scores. Metabolite Set Enrichment</w:t>
      </w:r>
      <w:r>
        <w:t xml:space="preserve"> </w:t>
      </w:r>
      <w:r>
        <w:t xml:space="preserve">Analysis, Pathway Activity Profiling, mummichog and probabilistic network methods each place</w:t>
      </w:r>
      <w:r>
        <w:t xml:space="preserve"> </w:t>
      </w:r>
      <w:r>
        <w:t xml:space="preserve">measurements into biological context in different ways [1–4]. Single-sample pathway analysis</w:t>
      </w:r>
      <w:r>
        <w:t xml:space="preserve"> </w:t>
      </w:r>
      <w:r>
        <w:t xml:space="preserve">extends this idea by transforming each person or sample from metabolite space into pathway-score</w:t>
      </w:r>
      <w:r>
        <w:t xml:space="preserve"> </w:t>
      </w:r>
      <w:r>
        <w:t xml:space="preserve">space [5]. These transformations can stabilize noisy measurements and make profiles readable.</w:t>
      </w:r>
      <w:r>
        <w:t xml:space="preserve"> </w:t>
      </w:r>
      <w:r>
        <w:t xml:space="preserve">They can also attach a biological name to covariance that would be captured by almost any grouping</w:t>
      </w:r>
      <w:r>
        <w:t xml:space="preserve"> </w:t>
      </w:r>
      <w:r>
        <w:t xml:space="preserve">of the same size.</w:t>
      </w:r>
    </w:p>
    <w:p>
      <w:pPr>
        <w:pStyle w:val="BodyText"/>
      </w:pPr>
      <w:r>
        <w:t xml:space="preserve">This distinction is consequential for personalized interpretation. A score may outperform a</w:t>
      </w:r>
      <w:r>
        <w:t xml:space="preserve"> </w:t>
      </w:r>
      <w:r>
        <w:t xml:space="preserve">population mean because it compresses correlated markers, yet still provide no evidence that its</w:t>
      </w:r>
      <w:r>
        <w:t xml:space="preserve"> </w:t>
      </w:r>
      <w:r>
        <w:t xml:space="preserve">declared pathway membership is special. Metabolomics pathway analyses are sensitive to the assay</w:t>
      </w:r>
      <w:r>
        <w:t xml:space="preserve"> </w:t>
      </w:r>
      <w:r>
        <w:t xml:space="preserve">background, metabolite identification, pathway database and scoring rule [6]. Lipid ontology work</w:t>
      </w:r>
      <w:r>
        <w:t xml:space="preserve"> </w:t>
      </w:r>
      <w:r>
        <w:t xml:space="preserve">has shown that headgroup, chain length and unsaturation encode chemical and biophysical structure</w:t>
      </w:r>
      <w:r>
        <w:t xml:space="preserve"> </w:t>
      </w:r>
      <w:r>
        <w:t xml:space="preserve">[7], but the predictive specificity of such structure has not generally been tested against null</w:t>
      </w:r>
      <w:r>
        <w:t xml:space="preserve"> </w:t>
      </w:r>
      <w:r>
        <w:t xml:space="preserve">incidence graphs preserving both annotation depth and descriptor prevalence.</w:t>
      </w:r>
    </w:p>
    <w:p>
      <w:pPr>
        <w:pStyle w:val="BodyText"/>
      </w:pPr>
      <w:r>
        <w:t xml:space="preserve">Genome-scale metabolic models supply a second level of structure. Human1 contains curated</w:t>
      </w:r>
      <w:r>
        <w:t xml:space="preserve"> </w:t>
      </w:r>
      <w:r>
        <w:t xml:space="preserve">metabolites, reactions and gene–protein–reaction (GPR) rules [8]. The Cancer Cell Line Encyclopedia</w:t>
      </w:r>
      <w:r>
        <w:t xml:space="preserve"> </w:t>
      </w:r>
      <w:r>
        <w:t xml:space="preserve">(CCLE) couples broad metabolomics with molecular profiles across hundreds of cell lines [9], making</w:t>
      </w:r>
      <w:r>
        <w:t xml:space="preserve"> </w:t>
      </w:r>
      <w:r>
        <w:t xml:space="preserve">it possible to ask whether reaction neighborhoods generalize across lineages. However, a direct</w:t>
      </w:r>
      <w:r>
        <w:t xml:space="preserve"> </w:t>
      </w:r>
      <w:r>
        <w:t xml:space="preserve">reaction neighborhood can also look successful because metabolomics is highly correlated. A fair</w:t>
      </w:r>
      <w:r>
        <w:t xml:space="preserve"> </w:t>
      </w:r>
      <w:r>
        <w:t xml:space="preserve">test requires random feature sets with the same dimensions and identical validation folds.</w:t>
      </w:r>
    </w:p>
    <w:p>
      <w:pPr>
        <w:pStyle w:val="BodyText"/>
      </w:pPr>
      <w:r>
        <w:t xml:space="preserve">Cross-omic interpretation introduces a separate risk. MOFA, DIABLO and similarity network fusion</w:t>
      </w:r>
      <w:r>
        <w:t xml:space="preserve"> </w:t>
      </w:r>
      <w:r>
        <w:t xml:space="preserve">integrate modalities measured in overlapping samples [10–12]. Public genomics, transcriptomics,</w:t>
      </w:r>
      <w:r>
        <w:t xml:space="preserve"> </w:t>
      </w:r>
      <w:r>
        <w:t xml:space="preserve">metabolomics, isotope and perturbation studies often contain different people, tissues or model</w:t>
      </w:r>
      <w:r>
        <w:t xml:space="preserve"> </w:t>
      </w:r>
      <w:r>
        <w:t xml:space="preserve">systems. Merging such sources into one personalized scalar would turn reference evidence into an</w:t>
      </w:r>
      <w:r>
        <w:t xml:space="preserve"> </w:t>
      </w:r>
      <w:r>
        <w:t xml:space="preserve">unmeasured individual attribute. Likewise, flux balance analysis and expression-contextualized</w:t>
      </w:r>
      <w:r>
        <w:t xml:space="preserve"> </w:t>
      </w:r>
      <w:r>
        <w:t xml:space="preserve">metabolic models estimate feasible or optimized flux states under explicit assumptions [13–17];</w:t>
      </w:r>
      <w:r>
        <w:t xml:space="preserve"> </w:t>
      </w:r>
      <w:r>
        <w:t xml:space="preserve">metabolite concentration alone is not flux.</w:t>
      </w:r>
    </w:p>
    <w:p>
      <w:pPr>
        <w:pStyle w:val="BodyText"/>
      </w:pPr>
      <w:r>
        <w:t xml:space="preserve">We therefore developed a falsification-led benchmark with two requirements. First, a representation</w:t>
      </w:r>
      <w:r>
        <w:t xml:space="preserve"> </w:t>
      </w:r>
      <w:r>
        <w:t xml:space="preserve">must reconstruct measurements hidden from people, populations or lineages that did not contribute</w:t>
      </w:r>
      <w:r>
        <w:t xml:space="preserve"> </w:t>
      </w:r>
      <w:r>
        <w:t xml:space="preserve">to model fitting. Second, it must outperform a random representation matched for effective</w:t>
      </w:r>
      <w:r>
        <w:t xml:space="preserve"> </w:t>
      </w:r>
      <w:r>
        <w:t xml:space="preserve">complexity. We coupled this benchmark to a factorized evidence contract,</w:t>
      </w:r>
      <w:r>
        <w:t xml:space="preserve"> </w:t>
      </w:r>
      <w:r>
        <w:t xml:space="preserve">P=(M,G,T,R,E,U), that keeps measured metabolic state (M), genetic support (G), transcript state (T),</w:t>
      </w:r>
      <w:r>
        <w:t xml:space="preserve"> </w:t>
      </w:r>
      <w:r>
        <w:t xml:space="preserve">constraint-derived reserve (R), perturbational evidence (E) and uncertainty or unavailable</w:t>
      </w:r>
      <w:r>
        <w:t xml:space="preserve"> </w:t>
      </w:r>
      <w:r>
        <w:t xml:space="preserve">components (U) separate. Applying this framework to two public human lipidomic cohorts, CCLE and</w:t>
      </w:r>
      <w:r>
        <w:t xml:space="preserve"> </w:t>
      </w:r>
      <w:r>
        <w:t xml:space="preserve">bounded supporting datasets reveals a resolution-dependent pattern: broad biochemical classes compress profiles</w:t>
      </w:r>
      <w:r>
        <w:t xml:space="preserve"> </w:t>
      </w:r>
      <w:r>
        <w:t xml:space="preserve">without establishing specificity, whereas structure-resolved lipid attributes and direct reaction</w:t>
      </w:r>
      <w:r>
        <w:t xml:space="preserve"> </w:t>
      </w:r>
      <w:r>
        <w:t xml:space="preserve">neighborhoods retain reproducible information beyond matched random controls (Fig. 1).</w:t>
      </w:r>
    </w:p>
    <w:bookmarkEnd w:id="23"/>
    <w:bookmarkStart w:id="29" w:name="results"/>
    <w:p>
      <w:pPr>
        <w:pStyle w:val="Heading2"/>
      </w:pPr>
      <w:r>
        <w:t xml:space="preserve">Results</w:t>
      </w:r>
    </w:p>
    <w:bookmarkStart w:id="24" w:name="X4c9bf22a2d052c73c28b17b20b004a7e6a8219d"/>
    <w:p>
      <w:pPr>
        <w:pStyle w:val="Heading3"/>
      </w:pPr>
      <w:r>
        <w:t xml:space="preserve">Broad lipid families predict hidden markers but fail the specificity test</w:t>
      </w:r>
    </w:p>
    <w:p>
      <w:pPr>
        <w:pStyle w:val="FirstParagraph"/>
      </w:pPr>
      <w:r>
        <w:t xml:space="preserve">The frozen ST002081 benchmark used the longitudinal lipidomic cohort reported by Hornburg and</w:t>
      </w:r>
      <w:r>
        <w:t xml:space="preserve"> </w:t>
      </w:r>
      <w:r>
        <w:t xml:space="preserve">colleagues [18]. After participant and complete-case eligibility, 493 lipids from nine families</w:t>
      </w:r>
      <w:r>
        <w:t xml:space="preserve"> </w:t>
      </w:r>
      <w:r>
        <w:t xml:space="preserve">remained in 1,539 samples from 112 people. Five disjoint panels ensured that every eligible lipid</w:t>
      </w:r>
      <w:r>
        <w:t xml:space="preserve"> </w:t>
      </w:r>
      <w:r>
        <w:t xml:space="preserve">was hidden exactly once. All transformations and ridge fits were trained in participant-isolated</w:t>
      </w:r>
      <w:r>
        <w:t xml:space="preserve"> </w:t>
      </w:r>
      <w:r>
        <w:t xml:space="preserve">folds.</w:t>
      </w:r>
    </w:p>
    <w:p>
      <w:pPr>
        <w:pStyle w:val="BodyText"/>
      </w:pPr>
      <w:r>
        <w:t xml:space="preserve">Family scores achieved a row-weighted held-out RMSE of 0.650 training-fold standard deviations and</w:t>
      </w:r>
      <w:r>
        <w:t xml:space="preserve"> </w:t>
      </w:r>
      <w:r>
        <w:t xml:space="preserve">pooled R²=0.588, compared with RMSE 1.013 and R²=0 for the training-fold population mean. The</w:t>
      </w:r>
      <w:r>
        <w:t xml:space="preserve"> </w:t>
      </w:r>
      <w:r>
        <w:t xml:space="preserve">participant-paired RMSE improvement was 0.397 SD (95% bootstrap interval 0.351–0.446). Thus broad</w:t>
      </w:r>
      <w:r>
        <w:t xml:space="preserve"> </w:t>
      </w:r>
      <w:r>
        <w:t xml:space="preserve">families retained substantial person-level profile information.</w:t>
      </w:r>
    </w:p>
    <w:p>
      <w:pPr>
        <w:pStyle w:val="BodyText"/>
      </w:pPr>
      <w:r>
        <w:t xml:space="preserve">They nevertheless failed the frozen pathway-specificity gate. Size-matched random groups achieved</w:t>
      </w:r>
      <w:r>
        <w:t xml:space="preserve"> </w:t>
      </w:r>
      <w:r>
        <w:t xml:space="preserve">RMSE 0.627 and R²=0.617. The paired family-score improvement was −0.026 SD (−0.043 to −0.010), in</w:t>
      </w:r>
      <w:r>
        <w:t xml:space="preserve"> </w:t>
      </w:r>
      <w:r>
        <w:t xml:space="preserve">favor of the random grouping. Family scores produced precision@3 of 0.403 for top-decile hidden</w:t>
      </w:r>
      <w:r>
        <w:t xml:space="preserve"> </w:t>
      </w:r>
      <w:r>
        <w:t xml:space="preserve">deviations versus 0.369 for random groups, but the paired interval crossed zero (−0.025 to 0.059).</w:t>
      </w:r>
      <w:r>
        <w:t xml:space="preserve"> </w:t>
      </w:r>
      <w:r>
        <w:t xml:space="preserve">The all-visible model reached RMSE 0.175 and R²=0.970. Coarse family scores therefore compressed a</w:t>
      </w:r>
      <w:r>
        <w:t xml:space="preserve"> </w:t>
      </w:r>
      <w:r>
        <w:t xml:space="preserve">strong low-rank lipid covariance structure, but the family labels did not explain exact</w:t>
      </w:r>
      <w:r>
        <w:t xml:space="preserve"> </w:t>
      </w:r>
      <w:r>
        <w:t xml:space="preserve">reconstruction better than random labels of equal size (Fig. 2A).</w:t>
      </w:r>
    </w:p>
    <w:bookmarkEnd w:id="24"/>
    <w:bookmarkStart w:id="25" w:name="Xe40261444fac970b8bbc1df5d054d257a2f37dc"/>
    <w:p>
      <w:pPr>
        <w:pStyle w:val="Heading3"/>
      </w:pPr>
      <w:r>
        <w:t xml:space="preserve">Lipid structure survives fixed-degree nulls and external population holdout</w:t>
      </w:r>
    </w:p>
    <w:p>
      <w:pPr>
        <w:pStyle w:val="FirstParagraph"/>
      </w:pPr>
      <w:r>
        <w:t xml:space="preserve">After opening the coarse-family result, we explicitly labeled a structural follow-up as adaptive.</w:t>
      </w:r>
      <w:r>
        <w:t xml:space="preserve"> </w:t>
      </w:r>
      <w:r>
        <w:t xml:space="preserve">Ninety-five descriptors represented lipid class or headgroup, total carbon and unsaturation, and</w:t>
      </w:r>
      <w:r>
        <w:t xml:space="preserve"> </w:t>
      </w:r>
      <w:r>
        <w:t xml:space="preserve">individual acyl-chain length and unsaturation. The matched null randomized the feature–descriptor</w:t>
      </w:r>
      <w:r>
        <w:t xml:space="preserve"> </w:t>
      </w:r>
      <w:r>
        <w:t xml:space="preserve">incidence graph while preserving every lipid degree and every descriptor degree [20]. This controls</w:t>
      </w:r>
      <w:r>
        <w:t xml:space="preserve"> </w:t>
      </w:r>
      <w:r>
        <w:t xml:space="preserve">both how richly each lipid is annotated and how prevalent each descriptor is.</w:t>
      </w:r>
    </w:p>
    <w:p>
      <w:pPr>
        <w:pStyle w:val="BodyText"/>
      </w:pPr>
      <w:r>
        <w:t xml:space="preserve">Structure-resolved scores achieved RMSE 0.309, pooled R²=0.907, precision@3=0.888 and NDCG@3=0.891.</w:t>
      </w:r>
      <w:r>
        <w:t xml:space="preserve"> </w:t>
      </w:r>
      <w:r>
        <w:t xml:space="preserve">The primary fixed-degree random graph achieved RMSE 0.410, R²=0.836, precision@3=0.744 and</w:t>
      </w:r>
      <w:r>
        <w:t xml:space="preserve"> </w:t>
      </w:r>
      <w:r>
        <w:t xml:space="preserve">NDCG@3=0.804. Participant-paired structural improvements were 0.102 RMSE SD (0.097–0.108) and 0.137</w:t>
      </w:r>
      <w:r>
        <w:t xml:space="preserve"> </w:t>
      </w:r>
      <w:r>
        <w:t xml:space="preserve">precision (0.122–0.152). Across 20 additional graph-null realizations, RMSE improvements ranged</w:t>
      </w:r>
      <w:r>
        <w:t xml:space="preserve"> </w:t>
      </w:r>
      <w:r>
        <w:t xml:space="preserve">from 0.094 to 0.107; the smallest lower confidence limits remained positive for RMSE (0.088) and</w:t>
      </w:r>
      <w:r>
        <w:t xml:space="preserve"> </w:t>
      </w:r>
      <w:r>
        <w:t xml:space="preserve">precision (0.107).</w:t>
      </w:r>
    </w:p>
    <w:p>
      <w:pPr>
        <w:pStyle w:val="BodyText"/>
      </w:pPr>
      <w:r>
        <w:t xml:space="preserve">We next locked a separate replication before retrieving its abundance matrix. Metabolomics</w:t>
      </w:r>
      <w:r>
        <w:t xml:space="preserve"> </w:t>
      </w:r>
      <w:r>
        <w:t xml:space="preserve">Workbench ST000818 analysis AN001299 contributed 255 eligible lipids from 450 blood samples in 15</w:t>
      </w:r>
      <w:r>
        <w:t xml:space="preserve"> </w:t>
      </w:r>
      <w:r>
        <w:t xml:space="preserve">population categories [23]. All members of a population category were assigned to the same outer</w:t>
      </w:r>
      <w:r>
        <w:t xml:space="preserve"> </w:t>
      </w:r>
      <w:r>
        <w:t xml:space="preserve">fold. Structural scores achieved RMSE 1.237, R²=0.617, precision@3=0.574 and NDCG@3=0.716. Coarse</w:t>
      </w:r>
      <w:r>
        <w:t xml:space="preserve"> </w:t>
      </w:r>
      <w:r>
        <w:t xml:space="preserve">families achieved RMSE 1.878 and R²=0.118; the all-visible model achieved RMSE 0.840 and R²=0.824.</w:t>
      </w:r>
      <w:r>
        <w:t xml:space="preserve"> </w:t>
      </w:r>
      <w:r>
        <w:t xml:space="preserve">Across 20 fixed-degree nulls, structural RMSE improvement ranged from 0.503 to 0.628 SD and</w:t>
      </w:r>
      <w:r>
        <w:t xml:space="preserve"> </w:t>
      </w:r>
      <w:r>
        <w:t xml:space="preserve">precision improvement from 0.091 to 0.115. Every population-bootstrap interval passed; the smallest</w:t>
      </w:r>
      <w:r>
        <w:t xml:space="preserve"> </w:t>
      </w:r>
      <w:r>
        <w:t xml:space="preserve">lower bounds were 0.057 SD for RMSE and 0.072 for precision.</w:t>
      </w:r>
    </w:p>
    <w:p>
      <w:pPr>
        <w:pStyle w:val="BodyText"/>
      </w:pPr>
      <w:r>
        <w:t xml:space="preserve">The human robustness grid varied descriptor prevalence, graph randomization depth and ridge</w:t>
      </w:r>
      <w:r>
        <w:t xml:space="preserve"> </w:t>
      </w:r>
      <w:r>
        <w:t xml:space="preserve">regularization. In both cohorts, all nine settings preserved all degrees, all RMSE and precision</w:t>
      </w:r>
      <w:r>
        <w:t xml:space="preserve"> </w:t>
      </w:r>
      <w:r>
        <w:t xml:space="preserve">point improvements were positive, and every confidence interval excluded zero. The narrowest</w:t>
      </w:r>
      <w:r>
        <w:t xml:space="preserve"> </w:t>
      </w:r>
      <w:r>
        <w:t xml:space="preserve">replication result arose when descriptors had to occur in at least ten features: RMSE improvement</w:t>
      </w:r>
      <w:r>
        <w:t xml:space="preserve"> </w:t>
      </w:r>
      <w:r>
        <w:t xml:space="preserve">fell to 0.056 SD but retained a positive lower bound of 0.042. The result is therefore robust across</w:t>
      </w:r>
      <w:r>
        <w:t xml:space="preserve"> </w:t>
      </w:r>
      <w:r>
        <w:t xml:space="preserve">the declared analysis choices, although the grid remains post-result evidence.</w:t>
      </w:r>
    </w:p>
    <w:p>
      <w:pPr>
        <w:pStyle w:val="BodyText"/>
      </w:pPr>
      <w:r>
        <w:t xml:space="preserve">A graph-mixing diagnostic regenerated all 200 panel-specific nulls. Every row and column degree was</w:t>
      </w:r>
      <w:r>
        <w:t xml:space="preserve"> </w:t>
      </w:r>
      <w:r>
        <w:t xml:space="preserve">preserved, every panel contained 20 unique graphs, the minimum observed-edge replacement was 0.771,</w:t>
      </w:r>
      <w:r>
        <w:t xml:space="preserve"> </w:t>
      </w:r>
      <w:r>
        <w:t xml:space="preserve">and the maximum pairwise null Jaccard was 0.131. Thus the null ensemble moved substantially away</w:t>
      </w:r>
      <w:r>
        <w:t xml:space="preserve"> </w:t>
      </w:r>
      <w:r>
        <w:t xml:space="preserve">from the biological incidence graph, although this diagnostic does not prove perfectly uniform</w:t>
      </w:r>
      <w:r>
        <w:t xml:space="preserve"> </w:t>
      </w:r>
      <w:r>
        <w:t xml:space="preserve">sampling over all graphs with the same degrees.</w:t>
      </w:r>
      <w:r>
        <w:t xml:space="preserve"> </w:t>
      </w:r>
      <w:r>
        <w:t xml:space="preserve">The complete discovery, replication and sensitivity effects are shown in Fig. 2B–D.</w:t>
      </w:r>
    </w:p>
    <w:bookmarkEnd w:id="25"/>
    <w:bookmarkStart w:id="26" w:name="Xaea47253f67bb82e92e4b094062ac7d45172fdc"/>
    <w:p>
      <w:pPr>
        <w:pStyle w:val="Heading3"/>
      </w:pPr>
      <w:r>
        <w:t xml:space="preserve">Direct reaction neighborhoods generalize across cancer lineages</w:t>
      </w:r>
    </w:p>
    <w:p>
      <w:pPr>
        <w:pStyle w:val="FirstParagraph"/>
      </w:pPr>
      <w:r>
        <w:t xml:space="preserve">CCLE supplied 913 cell lines with aligned metabolomics, RNA expression and lineage labels [9]. Of</w:t>
      </w:r>
      <w:r>
        <w:t xml:space="preserve"> </w:t>
      </w:r>
      <w:r>
        <w:t xml:space="preserve">225 assayed metabolites, 76 had eligible stable mappings to HumanGEM. Sixty target metabolites had</w:t>
      </w:r>
      <w:r>
        <w:t xml:space="preserve"> </w:t>
      </w:r>
      <w:r>
        <w:t xml:space="preserve">at least 300 measurements, an assayed neighbor on a direct non-transport reaction containing no</w:t>
      </w:r>
      <w:r>
        <w:t xml:space="preserve"> </w:t>
      </w:r>
      <w:r>
        <w:t xml:space="preserve">more than eight metabolites, and a complete reaction-linked GPR signature.</w:t>
      </w:r>
    </w:p>
    <w:p>
      <w:pPr>
        <w:pStyle w:val="BodyText"/>
      </w:pPr>
      <w:r>
        <w:t xml:space="preserve">The matched random factorized model achieved mean equal-lineage RMSE 0.920 SD and median target</w:t>
      </w:r>
      <w:r>
        <w:t xml:space="preserve"> </w:t>
      </w:r>
      <w:r>
        <w:t xml:space="preserve">R²=0.045. Direct metabolites alone improved RMSE to 0.798 and produced positive R² for 53 of 60</w:t>
      </w:r>
      <w:r>
        <w:t xml:space="preserve"> </w:t>
      </w:r>
      <w:r>
        <w:t xml:space="preserve">targets. Adding GPR expression signatures additively produced the best compact model (RMSE 0.788;</w:t>
      </w:r>
      <w:r>
        <w:t xml:space="preserve"> </w:t>
      </w:r>
      <w:r>
        <w:t xml:space="preserve">median R²=0.270). The full interaction model achieved RMSE 0.797 and median R²=0.241, with positive</w:t>
      </w:r>
      <w:r>
        <w:t xml:space="preserve"> </w:t>
      </w:r>
      <w:r>
        <w:t xml:space="preserve">R² for 52 targets. Its improvement over the dimension-matched random model was 0.124 SD</w:t>
      </w:r>
      <w:r>
        <w:t xml:space="preserve"> </w:t>
      </w:r>
      <w:r>
        <w:t xml:space="preserve">(target-bootstrap interval 0.083–0.167).</w:t>
      </w:r>
    </w:p>
    <w:p>
      <w:pPr>
        <w:pStyle w:val="BodyText"/>
      </w:pPr>
      <w:r>
        <w:t xml:space="preserve">Transcript interactions did not supply a general increment. They were indistinguishable from the</w:t>
      </w:r>
      <w:r>
        <w:t xml:space="preserve"> </w:t>
      </w:r>
      <w:r>
        <w:t xml:space="preserve">direct-metabolite model (improvement 0.002 SD, −0.010 to 0.014) and were 0.009 SD worse than additive</w:t>
      </w:r>
      <w:r>
        <w:t xml:space="preserve"> </w:t>
      </w:r>
      <w:r>
        <w:t xml:space="preserve">GPR features (0.004–0.014 in favor of the additive model). An all-metabolite model remained stronger</w:t>
      </w:r>
      <w:r>
        <w:t xml:space="preserve"> </w:t>
      </w:r>
      <w:r>
        <w:t xml:space="preserve">(RMSE 0.638; median R²=0.567; 58 positive-R² targets), showing that direct topology trades complete</w:t>
      </w:r>
      <w:r>
        <w:t xml:space="preserve"> </w:t>
      </w:r>
      <w:r>
        <w:t xml:space="preserve">covariance for compactness and interpretation.</w:t>
      </w:r>
    </w:p>
    <w:p>
      <w:pPr>
        <w:pStyle w:val="BodyText"/>
      </w:pPr>
      <w:r>
        <w:t xml:space="preserve">The topology result survived all ten post-result sensitivity settings. Reaction size limits,</w:t>
      </w:r>
      <w:r>
        <w:t xml:space="preserve"> </w:t>
      </w:r>
      <w:r>
        <w:t xml:space="preserve">transport inclusion, ridge penalties and GPR aggregation produced positive random-control</w:t>
      </w:r>
      <w:r>
        <w:t xml:space="preserve"> </w:t>
      </w:r>
      <w:r>
        <w:t xml:space="preserve">improvements with lower bounds from 0.028 to 0.169 SD. Median target R² was positive in every</w:t>
      </w:r>
      <w:r>
        <w:t xml:space="preserve"> </w:t>
      </w:r>
      <w:r>
        <w:t xml:space="preserve">setting. Including transport increased the eligible targets from 60 to 63 and gave the largest</w:t>
      </w:r>
      <w:r>
        <w:t xml:space="preserve"> </w:t>
      </w:r>
      <w:r>
        <w:t xml:space="preserve">improvement (0.219 SD), an exploratory observation. Interactions failed to beat additive GPR</w:t>
      </w:r>
      <w:r>
        <w:t xml:space="preserve"> </w:t>
      </w:r>
      <w:r>
        <w:t xml:space="preserve">features in all ten settings.</w:t>
      </w:r>
    </w:p>
    <w:p>
      <w:pPr>
        <w:pStyle w:val="BodyText"/>
      </w:pPr>
      <w:r>
        <w:t xml:space="preserve">The primary benchmark used one prespecified random feature seed. A post-result stochastic-null</w:t>
      </w:r>
      <w:r>
        <w:t xml:space="preserve"> </w:t>
      </w:r>
      <w:r>
        <w:t xml:space="preserve">ensemble regenerated all target-specific random metabolite, GPR and interaction sets for 20</w:t>
      </w:r>
      <w:r>
        <w:t xml:space="preserve"> </w:t>
      </w:r>
      <w:r>
        <w:t xml:space="preserve">additional seeds. Biological-factorized RMSE was invariant, while random RMSE ranged from 0.902 to</w:t>
      </w:r>
      <w:r>
        <w:t xml:space="preserve"> </w:t>
      </w:r>
      <w:r>
        <w:t xml:space="preserve">0.970 SD. Every seed retained a positive target-bootstrap lower bound. Averaging random performance</w:t>
      </w:r>
      <w:r>
        <w:t xml:space="preserve"> </w:t>
      </w:r>
      <w:r>
        <w:t xml:space="preserve">within target gave an expected-null improvement of 0.134 SD (0.093–0.177); individual seed effects</w:t>
      </w:r>
      <w:r>
        <w:t xml:space="preserve"> </w:t>
      </w:r>
      <w:r>
        <w:t xml:space="preserve">ranged from 0.105 to 0.173 SD. The reaction-topology result is therefore not attributable to a</w:t>
      </w:r>
      <w:r>
        <w:t xml:space="preserve"> </w:t>
      </w:r>
      <w:r>
        <w:t xml:space="preserve">single weak random draw.</w:t>
      </w:r>
    </w:p>
    <w:p>
      <w:pPr>
        <w:pStyle w:val="BodyText"/>
      </w:pPr>
      <w:r>
        <w:t xml:space="preserve">A harder post-result null additionally matched each random metabolite on direct-network degree and</w:t>
      </w:r>
      <w:r>
        <w:t xml:space="preserve"> </w:t>
      </w:r>
      <w:r>
        <w:t xml:space="preserve">assay coverage and each random GPR signature on candidate-network degree, without using target</w:t>
      </w:r>
      <w:r>
        <w:t xml:space="preserve"> </w:t>
      </w:r>
      <w:r>
        <w:t xml:space="preserve">abundance or correlation. All 20 matched seeds passed; the expected-null improvement was 0.137 SD</w:t>
      </w:r>
      <w:r>
        <w:t xml:space="preserve"> </w:t>
      </w:r>
      <w:r>
        <w:t xml:space="preserve">(0.097–0.181), and mean log-degree imbalances were 0.055 for metabolites and 0.009 for signatures.</w:t>
      </w:r>
      <w:r>
        <w:t xml:space="preserve"> </w:t>
      </w:r>
      <w:r>
        <w:t xml:space="preserve">To address target dependence, targets were assigned to 20 dominant HumanGEM subsystems. The</w:t>
      </w:r>
      <w:r>
        <w:t xml:space="preserve"> </w:t>
      </w:r>
      <w:r>
        <w:t xml:space="preserve">cluster-bootstrap interval remained positive (0.086–0.194), and every leave-one-subsystem-out mean</w:t>
      </w:r>
      <w:r>
        <w:t xml:space="preserve"> </w:t>
      </w:r>
      <w:r>
        <w:t xml:space="preserve">was positive (minimum 0.120 SD).</w:t>
      </w:r>
      <w:r>
        <w:t xml:space="preserve"> </w:t>
      </w:r>
      <w:r>
        <w:t xml:space="preserve">Model ablations, null ensembles, subsystem effects, parameter sensitivity and mapping denominators</w:t>
      </w:r>
      <w:r>
        <w:t xml:space="preserve"> </w:t>
      </w:r>
      <w:r>
        <w:t xml:space="preserve">are shown in Fig. 3.</w:t>
      </w:r>
    </w:p>
    <w:bookmarkEnd w:id="26"/>
    <w:bookmarkStart w:id="27" w:name="Xd4944fe203769d468ef6ac2730f8d9fb2d87596"/>
    <w:p>
      <w:pPr>
        <w:pStyle w:val="Heading3"/>
      </w:pPr>
      <w:r>
        <w:t xml:space="preserve">Cross-omic evidence supports topology but keeps stronger claims closed</w:t>
      </w:r>
    </w:p>
    <w:p>
      <w:pPr>
        <w:pStyle w:val="FirstParagraph"/>
      </w:pPr>
      <w:r>
        <w:t xml:space="preserve">A prior reaction-resolved CCLE screen identified one FDR-significant interaction among 284 tests:</w:t>
      </w:r>
      <w:r>
        <w:t xml:space="preserve"> </w:t>
      </w:r>
      <w:r>
        <w:t xml:space="preserve">higher CDA expression reduced cytidine–uridine coupling (standardized interaction β=−0.222,</w:t>
      </w:r>
      <w:r>
        <w:t xml:space="preserve"> </w:t>
      </w:r>
      <w:r>
        <w:t xml:space="preserve">HC3 SE=0.0297, q=2.16×10⁻¹¹). The direction survived all lineage and holdout checks and added</w:t>
      </w:r>
      <w:r>
        <w:t xml:space="preserve"> </w:t>
      </w:r>
      <w:r>
        <w:t xml:space="preserve">out-of-fold ΔR²=0.046 for that selected relationship. The all-target benchmark shows why this</w:t>
      </w:r>
      <w:r>
        <w:t xml:space="preserve"> </w:t>
      </w:r>
      <w:r>
        <w:t xml:space="preserve">candidate cannot justify universal interaction expansion: interactions lose on average in every</w:t>
      </w:r>
      <w:r>
        <w:t xml:space="preserve"> </w:t>
      </w:r>
      <w:r>
        <w:t xml:space="preserve">sensitivity setting, and the CDA state did not validate against prespecified drug or CRISPR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Human genetics supplied topology support rather than same-person fusion. Among 71 eligible METSIM</w:t>
      </w:r>
      <w:r>
        <w:t xml:space="preserve"> </w:t>
      </w:r>
      <w:r>
        <w:t xml:space="preserve">gene–metabolite states [19], 26 linked the knowledge-nominated gene and metabolite on a direct</w:t>
      </w:r>
      <w:r>
        <w:t xml:space="preserve"> </w:t>
      </w:r>
      <w:r>
        <w:t xml:space="preserve">HumanGEM reaction. None of 100,000 within-panel, global degree-matched or biochemical-class</w:t>
      </w:r>
      <w:r>
        <w:t xml:space="preserve"> </w:t>
      </w:r>
      <w:r>
        <w:t xml:space="preserve">permutations reached 26 recoveries (plus-one empirical P=9.9999×10⁻⁶ for each null). Because the</w:t>
      </w:r>
      <w:r>
        <w:t xml:space="preserve"> </w:t>
      </w:r>
      <w:r>
        <w:t xml:space="preserve">gene nominations were knowledge based, this is a positive-control audit of network topology rather</w:t>
      </w:r>
      <w:r>
        <w:t xml:space="preserve"> </w:t>
      </w:r>
      <w:r>
        <w:t xml:space="preserve">than independent causal-gene discovery.</w:t>
      </w:r>
    </w:p>
    <w:p>
      <w:pPr>
        <w:pStyle w:val="BodyText"/>
      </w:pPr>
      <w:r>
        <w:t xml:space="preserve">External challenges remained negative where stronger interpretation required them. Public NSCLC</w:t>
      </w:r>
      <w:r>
        <w:t xml:space="preserve"> </w:t>
      </w:r>
      <w:r>
        <w:t xml:space="preserve">isotope data [21] yielded no FDR-significant expression-module, oncogenotype or ACO1 result. In the</w:t>
      </w:r>
      <w:r>
        <w:t xml:space="preserve"> </w:t>
      </w:r>
      <w:r>
        <w:t xml:space="preserve">human longitudinal cohort, forward prediction (R²=0.452) did not beat reverse-time prediction</w:t>
      </w:r>
      <w:r>
        <w:t xml:space="preserve"> </w:t>
      </w:r>
      <w:r>
        <w:t xml:space="preserve">(R²=0.459). A 1,000-draw HumanGEM constraint ensemble separated stable configured controls from</w:t>
      </w:r>
      <w:r>
        <w:t xml:space="preserve"> </w:t>
      </w:r>
      <w:r>
        <w:t xml:space="preserve">unstable mechanisms but lacked organ-specific exchange-rate calibration. Consequently, no result</w:t>
      </w:r>
      <w:r>
        <w:t xml:space="preserve"> </w:t>
      </w:r>
      <w:r>
        <w:t xml:space="preserve">is described as measured flux, temporal causality, treatment response or individual genomic</w:t>
      </w:r>
      <w:r>
        <w:t xml:space="preserve"> </w:t>
      </w:r>
      <w:r>
        <w:t xml:space="preserve">personalization.</w:t>
      </w:r>
    </w:p>
    <w:bookmarkEnd w:id="27"/>
    <w:bookmarkStart w:id="28" w:name="Xe4448c68b688bdc4ea26f0f15c92c2007a9b17b"/>
    <w:p>
      <w:pPr>
        <w:pStyle w:val="Heading3"/>
      </w:pPr>
      <w:r>
        <w:t xml:space="preserve">Mapping coverage defines the result's domain</w:t>
      </w:r>
    </w:p>
    <w:p>
      <w:pPr>
        <w:pStyle w:val="FirstParagraph"/>
      </w:pPr>
      <w:r>
        <w:t xml:space="preserve">The mapping audit retained accepted and rejected rows. It retained 255 of 260 ST000818 lipids and</w:t>
      </w:r>
      <w:r>
        <w:t xml:space="preserve"> </w:t>
      </w:r>
      <w:r>
        <w:t xml:space="preserve">493 of 845 ST002081 lipids under the complete-case and parser gates. In CCLE, 76 of 225 assay</w:t>
      </w:r>
      <w:r>
        <w:t xml:space="preserve"> </w:t>
      </w:r>
      <w:r>
        <w:t xml:space="preserve">metabolites mapped to the eligible HumanGEM representation, 169 of 195 GPR signatures were used, and</w:t>
      </w:r>
      <w:r>
        <w:t xml:space="preserve"> </w:t>
      </w:r>
      <w:r>
        <w:t xml:space="preserve">all 60 primary targets had complete feature-set records. The reaction result therefore applies to</w:t>
      </w:r>
      <w:r>
        <w:t xml:space="preserve"> </w:t>
      </w:r>
      <w:r>
        <w:t xml:space="preserve">the mapped, network-accessible assay subset rather than the entire CCLE metabolome.</w:t>
      </w:r>
    </w:p>
    <w:bookmarkEnd w:id="28"/>
    <w:bookmarkEnd w:id="29"/>
    <w:bookmarkStart w:id="30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central result is a resolution-dependent test of biological specificity. Broad lipid classes</w:t>
      </w:r>
      <w:r>
        <w:t xml:space="preserve"> </w:t>
      </w:r>
      <w:r>
        <w:t xml:space="preserve">were useful compressors but did not beat random groups of identical size. Lipid structural</w:t>
      </w:r>
      <w:r>
        <w:t xml:space="preserve"> </w:t>
      </w:r>
      <w:r>
        <w:t xml:space="preserve">descriptors beat a stronger null that preserved both feature annotation depth and descriptor</w:t>
      </w:r>
      <w:r>
        <w:t xml:space="preserve"> </w:t>
      </w:r>
      <w:r>
        <w:t xml:space="preserve">prevalence, and the result survived a separately locked population-held-out cohort. Direct</w:t>
      </w:r>
      <w:r>
        <w:t xml:space="preserve"> </w:t>
      </w:r>
      <w:r>
        <w:t xml:space="preserve">HumanGEM neighborhoods likewise generalized across cancer lineages and beat matched random</w:t>
      </w:r>
      <w:r>
        <w:t xml:space="preserve"> </w:t>
      </w:r>
      <w:r>
        <w:t xml:space="preserve">features. These observations support a practical qualification rule: biological labels should</w:t>
      </w:r>
      <w:r>
        <w:t xml:space="preserve"> </w:t>
      </w:r>
      <w:r>
        <w:t xml:space="preserve">earn pathway-specific language only when their structure retains unseen information beyond an</w:t>
      </w:r>
      <w:r>
        <w:t xml:space="preserve"> </w:t>
      </w:r>
      <w:r>
        <w:t xml:space="preserve">equally complex random structure.</w:t>
      </w:r>
    </w:p>
    <w:p>
      <w:pPr>
        <w:pStyle w:val="BodyText"/>
      </w:pPr>
      <w:r>
        <w:t xml:space="preserve">For the human analyses, “structure” refers to chemical descriptors encoded in assay feature names.</w:t>
      </w:r>
      <w:r>
        <w:t xml:space="preserve"> </w:t>
      </w:r>
      <w:r>
        <w:t xml:space="preserve">Their success validates a structure-aware representation of the measured lipid panel. It does not,</w:t>
      </w:r>
      <w:r>
        <w:t xml:space="preserve"> </w:t>
      </w:r>
      <w:r>
        <w:t xml:space="preserve">by itself, establish pathway activity, physiological regulation or reaction flux. The CCLE test is</w:t>
      </w:r>
      <w:r>
        <w:t xml:space="preserve"> </w:t>
      </w:r>
      <w:r>
        <w:t xml:space="preserve">separately reaction-topological and remains confined to mapped intracellular cell-line data.</w:t>
      </w:r>
    </w:p>
    <w:p>
      <w:pPr>
        <w:pStyle w:val="BodyText"/>
      </w:pPr>
      <w:r>
        <w:t xml:space="preserve">This framework complements enrichment and ssPA rather than replacing them. Enrichment asks which</w:t>
      </w:r>
      <w:r>
        <w:t xml:space="preserve"> </w:t>
      </w:r>
      <w:r>
        <w:t xml:space="preserve">sets are overrepresented or altered. ssPA asks how to represent a sample in pathway space, and has</w:t>
      </w:r>
      <w:r>
        <w:t xml:space="preserve"> </w:t>
      </w:r>
      <w:r>
        <w:t xml:space="preserve">been benchmarked using semi-synthetic pathway perturbations [5]. Our endpoint is real-data</w:t>
      </w:r>
      <w:r>
        <w:t xml:space="preserve"> </w:t>
      </w:r>
      <w:r>
        <w:t xml:space="preserve">information retention: can visible members reconstruct hidden members outside people, populations</w:t>
      </w:r>
      <w:r>
        <w:t xml:space="preserve"> </w:t>
      </w:r>
      <w:r>
        <w:t xml:space="preserve">or lineages used for fitting? The two questions can disagree, as the coarse lipid result shows. A</w:t>
      </w:r>
      <w:r>
        <w:t xml:space="preserve"> </w:t>
      </w:r>
      <w:r>
        <w:t xml:space="preserve">score may be useful for visualization or denoising without supporting pathway-specific inference.</w:t>
      </w:r>
    </w:p>
    <w:p>
      <w:pPr>
        <w:pStyle w:val="BodyText"/>
      </w:pPr>
      <w:r>
        <w:t xml:space="preserve">The CCLE result also bounds the role of transcriptomics. Additive GPR expression supplied a small</w:t>
      </w:r>
      <w:r>
        <w:t xml:space="preserve"> </w:t>
      </w:r>
      <w:r>
        <w:t xml:space="preserve">general increment, but interaction terms did not. One robust CDA-conditioned relationship</w:t>
      </w:r>
      <w:r>
        <w:t xml:space="preserve"> </w:t>
      </w:r>
      <w:r>
        <w:t xml:space="preserve">coexists with this negative average result. The architecture is therefore consistent with sparse</w:t>
      </w:r>
      <w:r>
        <w:t xml:space="preserve"> </w:t>
      </w:r>
      <w:r>
        <w:t xml:space="preserve">effect modification, not with an interaction term for every connected metabolite and enzyme.</w:t>
      </w:r>
      <w:r>
        <w:t xml:space="preserve"> </w:t>
      </w:r>
      <w:r>
        <w:t xml:space="preserve">Candidate-specific testing with multiplicity control is more defensible than universal expansion.</w:t>
      </w:r>
    </w:p>
    <w:p>
      <w:pPr>
        <w:pStyle w:val="BodyText"/>
      </w:pPr>
      <w:r>
        <w:t xml:space="preserve">The factorized evidence contract addresses a different failure mode. The human lipid cohorts,</w:t>
      </w:r>
      <w:r>
        <w:t xml:space="preserve"> </w:t>
      </w:r>
      <w:r>
        <w:t xml:space="preserve">METSIM, CCLE, NSCLC and constraint model do not contain the same people or measurement types.</w:t>
      </w:r>
      <w:r>
        <w:t xml:space="preserve"> </w:t>
      </w:r>
      <w:r>
        <w:t xml:space="preserve">Agreement across them is triangulation. Genetic topology can annotate the plausibility of a</w:t>
      </w:r>
      <w:r>
        <w:t xml:space="preserve"> </w:t>
      </w:r>
      <w:r>
        <w:t xml:space="preserve">measured pathway, but it cannot be displayed as a person's genetic capacity when that person's DNA</w:t>
      </w:r>
      <w:r>
        <w:t xml:space="preserve"> </w:t>
      </w:r>
      <w:r>
        <w:t xml:space="preserve">was not supplied. Expression can contextualize a cancer-cell model but is not inherited genotype.</w:t>
      </w:r>
      <w:r>
        <w:t xml:space="preserve"> </w:t>
      </w:r>
      <w:r>
        <w:t xml:space="preserve">Constraint sensitivity can expose model fragility but is not measured flux. Keeping these</w:t>
      </w:r>
      <w:r>
        <w:t xml:space="preserve"> </w:t>
      </w:r>
      <w:r>
        <w:t xml:space="preserve">components separate preserves useful evidence without manufacturing a synthetic multi-omic person.</w:t>
      </w:r>
    </w:p>
    <w:p>
      <w:pPr>
        <w:pStyle w:val="BodyText"/>
      </w:pPr>
      <w:r>
        <w:t xml:space="preserve">The study has limitations. ST002081 is a repeated cohort dominated by structurally related lipids;</w:t>
      </w:r>
      <w:r>
        <w:t xml:space="preserve"> </w:t>
      </w:r>
      <w:r>
        <w:t xml:space="preserve">the structural analysis was adaptive. ST000818 is a locked external cohort, but its population,</w:t>
      </w:r>
      <w:r>
        <w:t xml:space="preserve"> </w:t>
      </w:r>
      <w:r>
        <w:t xml:space="preserve">diet and platform differ, and no source publication was identified for AN001299 beyond repository</w:t>
      </w:r>
      <w:r>
        <w:t xml:space="preserve"> </w:t>
      </w:r>
      <w:r>
        <w:t xml:space="preserve">metadata. CCLE contains transformed cell lines and only 76 of 225 metabolites mapped to the</w:t>
      </w:r>
      <w:r>
        <w:t xml:space="preserve"> </w:t>
      </w:r>
      <w:r>
        <w:t xml:space="preserve">eligible network representation. Plasma and intracellular abundance are not reaction rates.</w:t>
      </w:r>
      <w:r>
        <w:t xml:space="preserve"> </w:t>
      </w:r>
      <w:r>
        <w:t xml:space="preserve">Knowledge-based gene nomination limits the independence of the mQTL topology audit. The sensitivity</w:t>
      </w:r>
      <w:r>
        <w:t xml:space="preserve"> </w:t>
      </w:r>
      <w:r>
        <w:t xml:space="preserve">grids were designed after primary results and demonstrate robustness, not prospective confirmation.</w:t>
      </w:r>
      <w:r>
        <w:t xml:space="preserve"> </w:t>
      </w:r>
      <w:r>
        <w:t xml:space="preserve">Finally, ridge models were chosen for auditability. A nonlinear predictor might improve accuracy,</w:t>
      </w:r>
      <w:r>
        <w:t xml:space="preserve"> </w:t>
      </w:r>
      <w:r>
        <w:t xml:space="preserve">but accuracy alone would not validate pathway identity without the same matched-null tests.</w:t>
      </w:r>
    </w:p>
    <w:p>
      <w:pPr>
        <w:pStyle w:val="BodyText"/>
      </w:pPr>
      <w:r>
        <w:t xml:space="preserve">The output is therefore a research-grade credibility layer, not a clinical claim. For personalized</w:t>
      </w:r>
      <w:r>
        <w:t xml:space="preserve"> </w:t>
      </w:r>
      <w:r>
        <w:t xml:space="preserve">metabolomics, it supports assay-calibrated structural scores, hidden-marker prioritization and</w:t>
      </w:r>
      <w:r>
        <w:t xml:space="preserve"> </w:t>
      </w:r>
      <w:r>
        <w:t xml:space="preserve">transparent reaction annotations. Before use on a new customer assay, the feature map, missingness,</w:t>
      </w:r>
      <w:r>
        <w:t xml:space="preserve"> </w:t>
      </w:r>
      <w:r>
        <w:t xml:space="preserve">normalization and benchmark population must be recalibrated. Prospective outcomes, paired human</w:t>
      </w:r>
      <w:r>
        <w:t xml:space="preserve"> </w:t>
      </w:r>
      <w:r>
        <w:t xml:space="preserve">genomics and metabolomics, and calibrated flux measurements remain separate future validation</w:t>
      </w:r>
      <w:r>
        <w:t xml:space="preserve"> </w:t>
      </w:r>
      <w:r>
        <w:t xml:space="preserve">tasks.</w:t>
      </w:r>
    </w:p>
    <w:p>
      <w:pPr>
        <w:pStyle w:val="BodyText"/>
      </w:pPr>
      <w:r>
        <w:t xml:space="preserve">Operationally, a person-level interpretation should expose the input basis, measured feature</w:t>
      </w:r>
      <w:r>
        <w:t xml:space="preserve"> </w:t>
      </w:r>
      <w:r>
        <w:t xml:space="preserve">coverage, representation benchmark, uncertainty and candidate validation markers rather than</w:t>
      </w:r>
      <w:r>
        <w:t xml:space="preserve"> </w:t>
      </w:r>
      <w:r>
        <w:t xml:space="preserve">collapse these dimensions into one confidence percentage. The same falsification principle applies</w:t>
      </w:r>
      <w:r>
        <w:t xml:space="preserve"> </w:t>
      </w:r>
      <w:r>
        <w:t xml:space="preserve">to constraint-derived outputs: model feasibility or sensitivity should not be called a process</w:t>
      </w:r>
      <w:r>
        <w:t xml:space="preserve"> </w:t>
      </w:r>
      <w:r>
        <w:t xml:space="preserve">bottleneck until it survives plausible bounds and objectives and agrees with held-out measurements</w:t>
      </w:r>
      <w:r>
        <w:t xml:space="preserve"> </w:t>
      </w:r>
      <w:r>
        <w:t xml:space="preserve">or perturbations. These are separate application contracts linked by a common requirement that a</w:t>
      </w:r>
      <w:r>
        <w:t xml:space="preserve"> </w:t>
      </w:r>
      <w:r>
        <w:t xml:space="preserve">biological label survive serious alternatives.</w:t>
      </w:r>
    </w:p>
    <w:bookmarkEnd w:id="30"/>
    <w:bookmarkStart w:id="38" w:name="methods"/>
    <w:p>
      <w:pPr>
        <w:pStyle w:val="Heading2"/>
      </w:pPr>
      <w:r>
        <w:t xml:space="preserve">Methods</w:t>
      </w:r>
    </w:p>
    <w:bookmarkStart w:id="31" w:name="X032e7c1fd1c0e37f8f45a09ad1512560e3d374d"/>
    <w:p>
      <w:pPr>
        <w:pStyle w:val="Heading3"/>
      </w:pPr>
      <w:r>
        <w:t xml:space="preserve">Protocol, evidence roles and claim boundary</w:t>
      </w:r>
    </w:p>
    <w:p>
      <w:pPr>
        <w:pStyle w:val="FirstParagraph"/>
      </w:pPr>
      <w:r>
        <w:t xml:space="preserve">The primary human missing-panel and CCLE prediction designs, feature definitions, models and gates</w:t>
      </w:r>
      <w:r>
        <w:t xml:space="preserve"> </w:t>
      </w:r>
      <w:r>
        <w:t xml:space="preserve">were frozen before execution. The structural human follow-up was prespecified after viewing the</w:t>
      </w:r>
      <w:r>
        <w:t xml:space="preserve"> </w:t>
      </w:r>
      <w:r>
        <w:t xml:space="preserve">coarse result and was labeled adaptive. ST000818 was selected from a pre-existing public-study</w:t>
      </w:r>
      <w:r>
        <w:t xml:space="preserve"> </w:t>
      </w:r>
      <w:r>
        <w:t xml:space="preserve">registry using metadata and metabolite names; its protocol was frozen before retrieval of the</w:t>
      </w:r>
      <w:r>
        <w:t xml:space="preserve"> </w:t>
      </w:r>
      <w:r>
        <w:t xml:space="preserve">abundance matrix. Human and CCLE parameter grids were registered after their primary results and</w:t>
      </w:r>
      <w:r>
        <w:t xml:space="preserve"> </w:t>
      </w:r>
      <w:r>
        <w:t xml:space="preserve">are labeled post-result sensitivity. Existing mQTL, interaction, isotope, longitudinal and</w:t>
      </w:r>
      <w:r>
        <w:t xml:space="preserve"> </w:t>
      </w:r>
      <w:r>
        <w:t xml:space="preserve">constraint analyses were supporting evidence and were not counted as untouched replication.</w:t>
      </w:r>
    </w:p>
    <w:p>
      <w:pPr>
        <w:pStyle w:val="BodyText"/>
      </w:pPr>
      <w:r>
        <w:t xml:space="preserve">No analysis was allowed to establish diagnosis, treatment response, physiological flux or</w:t>
      </w:r>
      <w:r>
        <w:t xml:space="preserve"> </w:t>
      </w:r>
      <w:r>
        <w:t xml:space="preserve">same-person genomic personalization. Concentration prediction was not described as flux, and</w:t>
      </w:r>
      <w:r>
        <w:t xml:space="preserve"> </w:t>
      </w:r>
      <w:r>
        <w:t xml:space="preserve">expression was treated as cell state rather than germline genotype.</w:t>
      </w:r>
    </w:p>
    <w:bookmarkEnd w:id="31"/>
    <w:bookmarkStart w:id="32" w:name="human-missing-panel-benchmark"/>
    <w:p>
      <w:pPr>
        <w:pStyle w:val="Heading3"/>
      </w:pPr>
      <w:r>
        <w:t xml:space="preserve">Human missing-panel benchmark</w:t>
      </w:r>
    </w:p>
    <w:p>
      <w:pPr>
        <w:pStyle w:val="FirstParagraph"/>
      </w:pPr>
      <w:r>
        <w:t xml:space="preserve">We used the checksum-pinned Metabolomics Workbench ST002081 mwTab source linked to the published</w:t>
      </w:r>
      <w:r>
        <w:t xml:space="preserve"> </w:t>
      </w:r>
      <w:r>
        <w:t xml:space="preserve">cohort [18]. Samples without a usable participant identifier were excluded. Features complete</w:t>
      </w:r>
      <w:r>
        <w:t xml:space="preserve"> </w:t>
      </w:r>
      <w:r>
        <w:t xml:space="preserve">across the retained samples were assigned to deterministic families: names beginning with TAG</w:t>
      </w:r>
      <w:r>
        <w:t xml:space="preserve"> </w:t>
      </w:r>
      <w:r>
        <w:t xml:space="preserve">formed the triacylglycerol family; otherwise the prefix before the first parenthesis defined the</w:t>
      </w:r>
      <w:r>
        <w:t xml:space="preserve"> </w:t>
      </w:r>
      <w:r>
        <w:t xml:space="preserve">family. Families with fewer than five complete features were excluded.</w:t>
      </w:r>
    </w:p>
    <w:p>
      <w:pPr>
        <w:pStyle w:val="BodyText"/>
      </w:pPr>
      <w:r>
        <w:t xml:space="preserve">Seeded round-robin assignment generated five disjoint hidden panels within families. Each feature</w:t>
      </w:r>
      <w:r>
        <w:t xml:space="preserve"> </w:t>
      </w:r>
      <w:r>
        <w:t xml:space="preserve">was an outcome in one panel and absent from that panel's predictors. Five outer folds isolated all</w:t>
      </w:r>
      <w:r>
        <w:t xml:space="preserve"> </w:t>
      </w:r>
      <w:r>
        <w:t xml:space="preserve">samples from a participant. Four models were fitted with ridge alpha 10: training-fold population</w:t>
      </w:r>
      <w:r>
        <w:t xml:space="preserve"> </w:t>
      </w:r>
      <w:r>
        <w:t xml:space="preserve">mean; median scores from randomly reassigned visible markers preserving family sizes; median scores</w:t>
      </w:r>
      <w:r>
        <w:t xml:space="preserve"> </w:t>
      </w:r>
      <w:r>
        <w:t xml:space="preserve">from declared visible families; and all visible markers. Imputation, means, standard deviations and</w:t>
      </w:r>
      <w:r>
        <w:t xml:space="preserve"> </w:t>
      </w:r>
      <w:r>
        <w:t xml:space="preserve">models were fitted within training folds.</w:t>
      </w:r>
    </w:p>
    <w:p>
      <w:pPr>
        <w:pStyle w:val="BodyText"/>
      </w:pPr>
      <w:r>
        <w:t xml:space="preserve">Primary endpoints were pooled out-of-fold R², row-weighted RMSE and equal-participant RMSE.</w:t>
      </w:r>
      <w:r>
        <w:t xml:space="preserve"> </w:t>
      </w:r>
      <w:r>
        <w:t xml:space="preserve">Prioritization endpoints were precision@3 and NDCG@3 for markers in the sample-specific top decile</w:t>
      </w:r>
      <w:r>
        <w:t xml:space="preserve"> </w:t>
      </w:r>
      <w:r>
        <w:t xml:space="preserve">of absolute standardized hidden deviations. Confidence intervals used 5,000 participant-bootstrap</w:t>
      </w:r>
      <w:r>
        <w:t xml:space="preserve"> </w:t>
      </w:r>
      <w:r>
        <w:t xml:space="preserve">draws.</w:t>
      </w:r>
    </w:p>
    <w:bookmarkEnd w:id="32"/>
    <w:bookmarkStart w:id="33" w:name="Xfba9198ae12a3edd0f3dcd8fdb8cd53068d074d"/>
    <w:p>
      <w:pPr>
        <w:pStyle w:val="Heading3"/>
      </w:pPr>
      <w:r>
        <w:t xml:space="preserve">Structural descriptors and fixed-degree nulls</w:t>
      </w:r>
    </w:p>
    <w:p>
      <w:pPr>
        <w:pStyle w:val="FirstParagraph"/>
      </w:pPr>
      <w:r>
        <w:t xml:space="preserve">Lipid names were parsed into binary descriptors for class or headgroup, total carbon, total</w:t>
      </w:r>
      <w:r>
        <w:t xml:space="preserve"> </w:t>
      </w:r>
      <w:r>
        <w:t xml:space="preserve">unsaturation, individual chain length and individual chain unsaturation, following standard lipid</w:t>
      </w:r>
      <w:r>
        <w:t xml:space="preserve"> </w:t>
      </w:r>
      <w:r>
        <w:t xml:space="preserve">classification principles [22]. Descriptors occurring in fewer than five or more than 90% of</w:t>
      </w:r>
      <w:r>
        <w:t xml:space="preserve"> </w:t>
      </w:r>
      <w:r>
        <w:t xml:space="preserve">eligible features were excluded in the primary setting. Within each hidden panel, each feature was</w:t>
      </w:r>
      <w:r>
        <w:t xml:space="preserve"> </w:t>
      </w:r>
      <w:r>
        <w:t xml:space="preserve">predicted from median scores of its visible descriptors using the same folds and training-only</w:t>
      </w:r>
      <w:r>
        <w:t xml:space="preserve"> </w:t>
      </w:r>
      <w:r>
        <w:t xml:space="preserve">transformations.</w:t>
      </w:r>
    </w:p>
    <w:p>
      <w:pPr>
        <w:pStyle w:val="BodyText"/>
      </w:pPr>
      <w:r>
        <w:t xml:space="preserve">The null applied double-edge swaps to the visible feature–descriptor bipartite graph. Every feature</w:t>
      </w:r>
      <w:r>
        <w:t xml:space="preserve"> </w:t>
      </w:r>
      <w:r>
        <w:t xml:space="preserve">degree and descriptor degree was preserved while biochemical identity was disrupted. The discovery</w:t>
      </w:r>
      <w:r>
        <w:t xml:space="preserve"> </w:t>
      </w:r>
      <w:r>
        <w:t xml:space="preserve">audit used the primary seed plus 20 additional seeds, each with complete refitting and bootstrap.</w:t>
      </w:r>
      <w:r>
        <w:t xml:space="preserve"> </w:t>
      </w:r>
      <w:r>
        <w:t xml:space="preserve">Null quality was assessed post-result by observed-edge replacement, observed-null Jaccard,</w:t>
      </w:r>
      <w:r>
        <w:t xml:space="preserve"> </w:t>
      </w:r>
      <w:r>
        <w:t xml:space="preserve">within-panel uniqueness and all pairwise null-null Jaccard similarities for the 20 reported seeds</w:t>
      </w:r>
      <w:r>
        <w:t xml:space="preserve"> </w:t>
      </w:r>
      <w:r>
        <w:t xml:space="preserve">in each of five panels and both cohorts.</w:t>
      </w:r>
      <w:r>
        <w:t xml:space="preserve"> </w:t>
      </w:r>
      <w:r>
        <w:t xml:space="preserve">No favorable null was selected.</w:t>
      </w:r>
    </w:p>
    <w:bookmarkEnd w:id="33"/>
    <w:bookmarkStart w:id="34" w:name="locked-human-replication"/>
    <w:p>
      <w:pPr>
        <w:pStyle w:val="Heading3"/>
      </w:pPr>
      <w:r>
        <w:t xml:space="preserve">Locked human replication</w:t>
      </w:r>
    </w:p>
    <w:p>
      <w:pPr>
        <w:pStyle w:val="FirstParagraph"/>
      </w:pPr>
      <w:r>
        <w:t xml:space="preserve">ST000818 analysis AN001299 contained 450 blood samples, one repository participant per sample, in</w:t>
      </w:r>
      <w:r>
        <w:t xml:space="preserve"> </w:t>
      </w:r>
      <w:r>
        <w:t xml:space="preserve">15 population categories of 30. The frozen parser retained 255 complete lipids from six families</w:t>
      </w:r>
      <w:r>
        <w:t xml:space="preserve"> </w:t>
      </w:r>
      <w:r>
        <w:t xml:space="preserve">and 81 descriptors. Five outer folds held out complete population categories. Hidden panels,</w:t>
      </w:r>
      <w:r>
        <w:t xml:space="preserve"> </w:t>
      </w:r>
      <w:r>
        <w:t xml:space="preserve">regularization and endpoints followed discovery. Twenty separately fitted fixed-degree graphs were</w:t>
      </w:r>
      <w:r>
        <w:t xml:space="preserve"> </w:t>
      </w:r>
      <w:r>
        <w:t xml:space="preserve">prespecified. Replication required positive lower 95% confidence bounds for both RMSE and</w:t>
      </w:r>
      <w:r>
        <w:t xml:space="preserve"> </w:t>
      </w:r>
      <w:r>
        <w:t xml:space="preserve">precision@3 against every graph under population-category bootstrap.</w:t>
      </w:r>
    </w:p>
    <w:p>
      <w:pPr>
        <w:pStyle w:val="BodyText"/>
      </w:pPr>
      <w:r>
        <w:t xml:space="preserve">The post-result human grid varied ridge alpha (1, 10, 100), minimum descriptor prevalence (3, 5,</w:t>
      </w:r>
      <w:r>
        <w:t xml:space="preserve"> </w:t>
      </w:r>
      <w:r>
        <w:t xml:space="preserve">10), maximum prevalence (0.80, 0.90, 0.95) and swaps per edge (5, 10, 25), yielding nine unique</w:t>
      </w:r>
      <w:r>
        <w:t xml:space="preserve"> </w:t>
      </w:r>
      <w:r>
        <w:t xml:space="preserve">settings including primary. Each setting used 2,000 group-bootstrap draws and a deterministic null</w:t>
      </w:r>
      <w:r>
        <w:t xml:space="preserve"> </w:t>
      </w:r>
      <w:r>
        <w:t xml:space="preserve">seed.</w:t>
      </w:r>
    </w:p>
    <w:bookmarkEnd w:id="34"/>
    <w:bookmarkStart w:id="35" w:name="ccle-direct-network-benchmark"/>
    <w:p>
      <w:pPr>
        <w:pStyle w:val="Heading3"/>
      </w:pPr>
      <w:r>
        <w:t xml:space="preserve">CCLE direct-network benchmark</w:t>
      </w:r>
    </w:p>
    <w:p>
      <w:pPr>
        <w:pStyle w:val="FirstParagraph"/>
      </w:pPr>
      <w:r>
        <w:t xml:space="preserve">Checksum-pinned CCLE 2019 metabolite abundance, RNA expression and lineage files were aligned by</w:t>
      </w:r>
      <w:r>
        <w:t xml:space="preserve"> </w:t>
      </w:r>
      <w:r>
        <w:t xml:space="preserve">cell line [9]. Normalized-name expansion was accepted only when it resolved uniquely to a</w:t>
      </w:r>
      <w:r>
        <w:t xml:space="preserve"> </w:t>
      </w:r>
      <w:r>
        <w:t xml:space="preserve">HumanGEM metabolite with stable annotation. Candidate neighborhoods used direct non-transport</w:t>
      </w:r>
      <w:r>
        <w:t xml:space="preserve"> </w:t>
      </w:r>
      <w:r>
        <w:t xml:space="preserve">reactions with at most eight metabolites; protein-degradation pseudo-reactions were excluded.</w:t>
      </w:r>
      <w:r>
        <w:t xml:space="preserve"> </w:t>
      </w:r>
      <w:r>
        <w:t xml:space="preserve">GPR alternatives were separate signatures and required complexes used the least-expressed subunit.</w:t>
      </w:r>
    </w:p>
    <w:p>
      <w:pPr>
        <w:pStyle w:val="BodyText"/>
      </w:pPr>
      <w:r>
        <w:t xml:space="preserve">A target required at least 300 measured samples, at least one assayed direct neighbor and one</w:t>
      </w:r>
      <w:r>
        <w:t xml:space="preserve"> </w:t>
      </w:r>
      <w:r>
        <w:t xml:space="preserve">complete GPR signature. Models comprised population mean; dimension-matched random metabolites,</w:t>
      </w:r>
      <w:r>
        <w:t xml:space="preserve"> </w:t>
      </w:r>
      <w:r>
        <w:t xml:space="preserve">GPR signatures and interactions; direct metabolites; direct metabolites plus additive GPR</w:t>
      </w:r>
      <w:r>
        <w:t xml:space="preserve"> </w:t>
      </w:r>
      <w:r>
        <w:t xml:space="preserve">signatures; direct metabolites, signatures and declared products; and every other mapped</w:t>
      </w:r>
      <w:r>
        <w:t xml:space="preserve"> </w:t>
      </w:r>
      <w:r>
        <w:t xml:space="preserve">metabolite. Random features excluded target neighborhoods and signatures where possible and</w:t>
      </w:r>
      <w:r>
        <w:t xml:space="preserve"> </w:t>
      </w:r>
      <w:r>
        <w:t xml:space="preserve">preserved the number of each feature type.</w:t>
      </w:r>
    </w:p>
    <w:p>
      <w:pPr>
        <w:pStyle w:val="BodyText"/>
      </w:pPr>
      <w:r>
        <w:t xml:space="preserve">Two repeats of five deterministic size-balanced folds held out complete lineages. Training medians</w:t>
      </w:r>
      <w:r>
        <w:t xml:space="preserve"> </w:t>
      </w:r>
      <w:r>
        <w:t xml:space="preserve">were used for imputation. Predictors and outcomes were scaled on training data; interaction products</w:t>
      </w:r>
      <w:r>
        <w:t xml:space="preserve"> </w:t>
      </w:r>
      <w:r>
        <w:t xml:space="preserve">were created after base-feature scaling and rescaled within training. Ridge alpha was 10. The</w:t>
      </w:r>
      <w:r>
        <w:t xml:space="preserve"> </w:t>
      </w:r>
      <w:r>
        <w:t xml:space="preserve">primary metric was target-level equal-lineage RMSE. Paired intervals used 5,000 target-bootstrap</w:t>
      </w:r>
      <w:r>
        <w:t xml:space="preserve"> </w:t>
      </w:r>
      <w:r>
        <w:t xml:space="preserve">draws.</w:t>
      </w:r>
    </w:p>
    <w:p>
      <w:pPr>
        <w:pStyle w:val="BodyText"/>
      </w:pPr>
      <w:r>
        <w:t xml:space="preserve">The post-result grid varied maximum reaction size (4, 6, 8, 12, unbounded), transport inclusion,</w:t>
      </w:r>
      <w:r>
        <w:t xml:space="preserve"> </w:t>
      </w:r>
      <w:r>
        <w:t xml:space="preserve">ridge alpha (1, 10, 100) and GPR aggregation (limiting subunit, mean, sum). Ten complete settings</w:t>
      </w:r>
      <w:r>
        <w:t xml:space="preserve"> </w:t>
      </w:r>
      <w:r>
        <w:t xml:space="preserve">were fitted. Each regenerated its matched random control.</w:t>
      </w:r>
    </w:p>
    <w:p>
      <w:pPr>
        <w:pStyle w:val="BodyText"/>
      </w:pPr>
      <w:r>
        <w:t xml:space="preserve">A separate post-result null ensemble held the biological features, target set, folds and model</w:t>
      </w:r>
      <w:r>
        <w:t xml:space="preserve"> </w:t>
      </w:r>
      <w:r>
        <w:t xml:space="preserve">settings fixed while regenerating dimension-matched random features from 20 deterministic seeds.</w:t>
      </w:r>
      <w:r>
        <w:t xml:space="preserve"> </w:t>
      </w:r>
      <w:r>
        <w:t xml:space="preserve">Every realization was fitted independently. Per-seed uncertainty used 2,000 target-bootstrap draws.</w:t>
      </w:r>
      <w:r>
        <w:t xml:space="preserve"> </w:t>
      </w:r>
      <w:r>
        <w:t xml:space="preserve">The expected-null contrast averaged random RMSE within target across seeds and used 5,000 paired</w:t>
      </w:r>
      <w:r>
        <w:t xml:space="preserve"> </w:t>
      </w:r>
      <w:r>
        <w:t xml:space="preserve">target-bootstrap draws.</w:t>
      </w:r>
    </w:p>
    <w:p>
      <w:pPr>
        <w:pStyle w:val="BodyText"/>
      </w:pPr>
      <w:r>
        <w:t xml:space="preserve">The property-matched null used minimum-cost bipartite assignment. Random metabolites matched</w:t>
      </w:r>
      <w:r>
        <w:t xml:space="preserve"> </w:t>
      </w:r>
      <w:r>
        <w:t xml:space="preserve">direct-network neighbors on log direct-network degree and global outcome-independent assay</w:t>
      </w:r>
      <w:r>
        <w:t xml:space="preserve"> </w:t>
      </w:r>
      <w:r>
        <w:t xml:space="preserve">coverage; random GPR signatures matched reaction-linked signatures on log candidate-network</w:t>
      </w:r>
      <w:r>
        <w:t xml:space="preserve"> </w:t>
      </w:r>
      <w:r>
        <w:t xml:space="preserve">degree. A small seeded jitter varied near-equivalent assignments. Twenty complete seeds were</w:t>
      </w:r>
      <w:r>
        <w:t xml:space="preserve"> </w:t>
      </w:r>
      <w:r>
        <w:t xml:space="preserve">refitted and evaluated under the same gates as the dimension-matched ensemble.</w:t>
      </w:r>
    </w:p>
    <w:p>
      <w:pPr>
        <w:pStyle w:val="BodyText"/>
      </w:pPr>
      <w:r>
        <w:t xml:space="preserve">For the dependence audit, each target was assigned to the HumanGEM subsystem occurring most often</w:t>
      </w:r>
      <w:r>
        <w:t xml:space="preserve"> </w:t>
      </w:r>
      <w:r>
        <w:t xml:space="preserve">among its eligible direct candidate rows, with alphabetical tie resolution. Ten thousand bootstrap</w:t>
      </w:r>
      <w:r>
        <w:t xml:space="preserve"> </w:t>
      </w:r>
      <w:r>
        <w:t xml:space="preserve">draws resampled the resulting subsystem clusters with all member targets, and leave-one-subsystem-</w:t>
      </w:r>
      <w:r>
        <w:t xml:space="preserve"> </w:t>
      </w:r>
      <w:r>
        <w:t xml:space="preserve">out effects were computed exhaustively. This deterministic grouping is a dependence sensitivity,</w:t>
      </w:r>
      <w:r>
        <w:t xml:space="preserve"> </w:t>
      </w:r>
      <w:r>
        <w:t xml:space="preserve">not a claim that HumanGEM subsystems are mutually independent.</w:t>
      </w:r>
    </w:p>
    <w:bookmarkEnd w:id="35"/>
    <w:bookmarkStart w:id="36" w:name="X0ef90ffa9f0e45a8994434907843285af0d4537"/>
    <w:p>
      <w:pPr>
        <w:pStyle w:val="Heading3"/>
      </w:pPr>
      <w:r>
        <w:t xml:space="preserve">Mapping, provenance and supporting evidence</w:t>
      </w:r>
    </w:p>
    <w:p>
      <w:pPr>
        <w:pStyle w:val="FirstParagraph"/>
      </w:pPr>
      <w:r>
        <w:t xml:space="preserve">The human mapping table contains original name, family, all parsed descriptors, hidden-panel</w:t>
      </w:r>
      <w:r>
        <w:t xml:space="preserve"> </w:t>
      </w:r>
      <w:r>
        <w:t xml:space="preserve">assignment, acceptance and exclusion reason. CCLE tables contain assay name, stable identifiers,</w:t>
      </w:r>
      <w:r>
        <w:t xml:space="preserve"> </w:t>
      </w:r>
      <w:r>
        <w:t xml:space="preserve">HumanGEM metabolite and compartment, GPR availability, and all features used for each target. All</w:t>
      </w:r>
      <w:r>
        <w:t xml:space="preserve"> </w:t>
      </w:r>
      <w:r>
        <w:t xml:space="preserve">source and result manifests contain SHA-256 checksums and are verified by the publication synthesis.</w:t>
      </w:r>
    </w:p>
    <w:p>
      <w:pPr>
        <w:pStyle w:val="BodyText"/>
      </w:pPr>
      <w:r>
        <w:t xml:space="preserve">Supporting evidence comprised a 71-state METSIM–HumanGEM topology audit [19]; reaction-resolved</w:t>
      </w:r>
      <w:r>
        <w:t xml:space="preserve"> </w:t>
      </w:r>
      <w:r>
        <w:t xml:space="preserve">CCLE coupling; UKB/BBJ summary-statistic scans; NSCLC isotope challenges [21]; public BCAA</w:t>
      </w:r>
      <w:r>
        <w:t xml:space="preserve"> </w:t>
      </w:r>
      <w:r>
        <w:t xml:space="preserve">perturbations; a 1,000-draw HumanGEM constraint ensemble; and an earlier longitudinal direction</w:t>
      </w:r>
      <w:r>
        <w:t xml:space="preserve"> </w:t>
      </w:r>
      <w:r>
        <w:t xml:space="preserve">test. These sources differ in participants, tissue, organism and assay. They were adjudicated as</w:t>
      </w:r>
      <w:r>
        <w:t xml:space="preserve"> </w:t>
      </w:r>
      <w:r>
        <w:t xml:space="preserve">separate domains, not pooled as participant-level observations.</w:t>
      </w:r>
    </w:p>
    <w:bookmarkEnd w:id="36"/>
    <w:bookmarkStart w:id="37" w:name="Xd3101759229062561ee1b60c9079cfd54a0006d"/>
    <w:p>
      <w:pPr>
        <w:pStyle w:val="Heading3"/>
      </w:pPr>
      <w:r>
        <w:t xml:space="preserve">Computational and generative-AI assistance</w:t>
      </w:r>
    </w:p>
    <w:p>
      <w:pPr>
        <w:pStyle w:val="FirstParagraph"/>
      </w:pPr>
      <w:r>
        <w:t xml:space="preserve">OpenAI Codex was used under the author's direction for literature triage, code generation,</w:t>
      </w:r>
      <w:r>
        <w:t xml:space="preserve"> </w:t>
      </w:r>
      <w:r>
        <w:t xml:space="preserve">analysis orchestration, quality-control checks, figure preparation, manuscript drafting and</w:t>
      </w:r>
      <w:r>
        <w:t xml:space="preserve"> </w:t>
      </w:r>
      <w:r>
        <w:t xml:space="preserve">internal adversarial review. Quantitative results were generated by the executable analysis code</w:t>
      </w:r>
      <w:r>
        <w:t xml:space="preserve"> </w:t>
      </w:r>
      <w:r>
        <w:t xml:space="preserve">from checksum-pinned public inputs and are linked to machine-readable outputs, sensitivity grids</w:t>
      </w:r>
      <w:r>
        <w:t xml:space="preserve"> </w:t>
      </w:r>
      <w:r>
        <w:t xml:space="preserve">and provenance ledgers. The author defined the research questions and claim boundaries, directed</w:t>
      </w:r>
      <w:r>
        <w:t xml:space="preserve"> </w:t>
      </w:r>
      <w:r>
        <w:t xml:space="preserve">the computational programme, interpreted the resulting evidence and retains responsibility for</w:t>
      </w:r>
      <w:r>
        <w:t xml:space="preserve"> </w:t>
      </w:r>
      <w:r>
        <w:t xml:space="preserve">the integrity and final approval of the work. The AI system is not an author.</w:t>
      </w:r>
    </w:p>
    <w:bookmarkEnd w:id="37"/>
    <w:bookmarkEnd w:id="38"/>
    <w:bookmarkStart w:id="39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analyzed datasets are public. ST002081 is available from Metabolomics Workbench under</w:t>
      </w:r>
      <w:r>
        <w:t xml:space="preserve"> </w:t>
      </w:r>
      <w:r>
        <w:t xml:space="preserve">doi:10.21228/M8ZM5P and ST000818 under doi:10.21228/M89M31. The CCLE metabolomics source is</w:t>
      </w:r>
      <w:r>
        <w:t xml:space="preserve"> </w:t>
      </w:r>
      <w:r>
        <w:t xml:space="preserve">described by Li et al. [9]. METSIM summary results are described by Yin et al. [19]. Human1 is</w:t>
      </w:r>
      <w:r>
        <w:t xml:space="preserve"> </w:t>
      </w:r>
      <w:r>
        <w:t xml:space="preserve">available through the Human-GEM project [8]. Raw public files are not redistributed in the source</w:t>
      </w:r>
      <w:r>
        <w:t xml:space="preserve"> </w:t>
      </w:r>
      <w:r>
        <w:t xml:space="preserve">repository; scripts, source URLs, versions and checksums define retrieval and integrity.</w:t>
      </w:r>
    </w:p>
    <w:bookmarkEnd w:id="39"/>
    <w:bookmarkStart w:id="40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analysis code, frozen protocols, configurations, aggregate metrics, complete sensitivity grids,</w:t>
      </w:r>
      <w:r>
        <w:t xml:space="preserve"> </w:t>
      </w:r>
      <w:r>
        <w:t xml:space="preserve">accepted/rejected mapping ledgers, figures and machine-readable claim ledger are included in the</w:t>
      </w:r>
      <w:r>
        <w:t xml:space="preserve"> </w:t>
      </w:r>
      <w:r>
        <w:t xml:space="preserve">repository. A permanent public repository URL, software license and archival DOI must be inserted</w:t>
      </w:r>
      <w:r>
        <w:t xml:space="preserve"> </w:t>
      </w:r>
      <w:r>
        <w:t xml:space="preserve">before submission. The principal output directories are</w:t>
      </w:r>
      <w:r>
        <w:t xml:space="preserve"> </w:t>
      </w:r>
      <w:r>
        <w:rPr>
          <w:rStyle w:val="VerbatimChar"/>
        </w:rPr>
        <w:t xml:space="preserve">artifacts/pathway-score-st002081/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artifacts/pathway-score-st002081-structural/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artifacts/pathway-score-st000818-replication/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artifacts/pathway-score-ccle/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artifacts/pathway-score-human-sensitivity/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artifacts/pathway-score-ccle-sensitivity/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artifacts/pathway-score-human-graph-mixing/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artifacts/pathway-score-ccle-null-ensemble/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artifacts/pathway-score-ccle-property-matched-null/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artifacts/pathway-score-ccle-reaction-cluster/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artifacts/pathway-score-mapping-supplement/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artifacts/pathway-score-publication-figures/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artifacts/factorized-pathway-publication/</w:t>
      </w:r>
      <w:r>
        <w:t xml:space="preserve">.</w:t>
      </w:r>
    </w:p>
    <w:bookmarkEnd w:id="40"/>
    <w:bookmarkStart w:id="50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Cs/>
          <w:b/>
        </w:rPr>
        <w:t xml:space="preserve">Figure 1 | Falsification-led qualification design.</w:t>
      </w:r>
      <w:r>
        <w:t xml:space="preserve"> </w:t>
      </w:r>
      <w:r>
        <w:t xml:space="preserve">Three public-data experiments separate</w:t>
      </w:r>
      <w:r>
        <w:t xml:space="preserve"> </w:t>
      </w:r>
      <w:r>
        <w:t xml:space="preserve">source data, biological holdout, matched null and the claim each analysis can support. ST002081 is</w:t>
      </w:r>
      <w:r>
        <w:t xml:space="preserve"> </w:t>
      </w:r>
      <w:r>
        <w:t xml:space="preserve">the frozen coarse-family test; ST000818 is the protocol-locked external structural replication;</w:t>
      </w:r>
      <w:r>
        <w:t xml:space="preserve"> </w:t>
      </w:r>
      <w:r>
        <w:t xml:space="preserve">CCLE plus HumanGEM is the lineage-held-out reaction-topology test. The experiments qualify</w:t>
      </w:r>
      <w:r>
        <w:t xml:space="preserve"> </w:t>
      </w:r>
      <w:r>
        <w:t xml:space="preserve">representations and do not measure physiological flux or clinical utility.</w:t>
      </w:r>
    </w:p>
    <w:p>
      <w:pPr>
        <w:pStyle w:val="BodyText"/>
      </w:pPr>
      <w:r>
        <w:drawing>
          <wp:inline>
            <wp:extent cx="5334000" cy="258219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../artifacts/pathway-score-publication-figures/figure-1-study-desig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| Human prediction, specificity, external replication and robustness.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Participant-held-out ST002081 RMSE for population, coarse-family, size-matched random,</w:t>
      </w:r>
      <w:r>
        <w:t xml:space="preserve"> </w:t>
      </w:r>
      <w:r>
        <w:t xml:space="preserve">fixed-degree-null, structure-resolved and all-visible representations. Lower is better. The coarse</w:t>
      </w:r>
      <w:r>
        <w:t xml:space="preserve"> </w:t>
      </w:r>
      <w:r>
        <w:t xml:space="preserve">family score predicts but loses to size-matched random grouping.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Structural-minus-null RMSE</w:t>
      </w:r>
      <w:r>
        <w:t xml:space="preserve"> </w:t>
      </w:r>
      <w:r>
        <w:t xml:space="preserve">improvement and 95% participant-bootstrap intervals for 20 ST002081 fixed-degree graph nulls.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Corresponding population-category bootstrap results in locked ST000818.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Complete</w:t>
      </w:r>
      <w:r>
        <w:t xml:space="preserve"> </w:t>
      </w:r>
      <w:r>
        <w:t xml:space="preserve">post-result human parameter grid. Error bars are 95% paired group-bootstrap intervals. The inset</w:t>
      </w:r>
      <w:r>
        <w:t xml:space="preserve"> </w:t>
      </w:r>
      <w:r>
        <w:t xml:space="preserve">reports the worst edge replacement and maximum pairwise null Jaccard across 200 panel-specific</w:t>
      </w:r>
      <w:r>
        <w:t xml:space="preserve"> </w:t>
      </w:r>
      <w:r>
        <w:t xml:space="preserve">graphs.</w:t>
      </w:r>
    </w:p>
    <w:p>
      <w:pPr>
        <w:pStyle w:val="BodyText"/>
      </w:pPr>
      <w:r>
        <w:drawing>
          <wp:inline>
            <wp:extent cx="5334000" cy="368788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rtifacts/pathway-score-publication-figures/figure-2-human-valid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| Reaction topology survives hard nulls while interactions fail.</w:t>
      </w:r>
      <w:r>
        <w:t xml:space="preserve"> </w:t>
      </w:r>
      <w:r>
        <w:rPr>
          <w:bCs/>
          <w:b/>
        </w:rPr>
        <w:t xml:space="preserve">A,</w:t>
      </w:r>
      <w:r>
        <w:t xml:space="preserve"> </w:t>
      </w:r>
      <w:r>
        <w:t xml:space="preserve">Mean</w:t>
      </w:r>
      <w:r>
        <w:t xml:space="preserve"> </w:t>
      </w:r>
      <w:r>
        <w:t xml:space="preserve">equal-lineage RMSE across 60 CCLE targets for the model ablation.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Random-minus-topology RMSE</w:t>
      </w:r>
      <w:r>
        <w:t xml:space="preserve"> </w:t>
      </w:r>
      <w:r>
        <w:t xml:space="preserve">for 20 dimension-matched and 20 network-degree-and-coverage-matched feature realizations; lines</w:t>
      </w:r>
      <w:r>
        <w:t xml:space="preserve"> </w:t>
      </w:r>
      <w:r>
        <w:t xml:space="preserve">show ensemble means.</w:t>
      </w:r>
      <w:r>
        <w:t xml:space="preserve"> </w:t>
      </w:r>
      <w:r>
        <w:rPr>
          <w:bCs/>
          <w:b/>
        </w:rPr>
        <w:t xml:space="preserve">C,</w:t>
      </w:r>
      <w:r>
        <w:t xml:space="preserve"> </w:t>
      </w:r>
      <w:r>
        <w:t xml:space="preserve">Mean property-matched target effect in each dominant HumanGEM</w:t>
      </w:r>
      <w:r>
        <w:t xml:space="preserve"> </w:t>
      </w:r>
      <w:r>
        <w:t xml:space="preserve">subsystem. Negative subsystem means are shown in red; cluster-resampled inference is reported in</w:t>
      </w:r>
      <w:r>
        <w:t xml:space="preserve"> </w:t>
      </w:r>
      <w:r>
        <w:t xml:space="preserve">the text.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Topology-versus-random effects and 95% target-bootstrap intervals for all ten</w:t>
      </w:r>
      <w:r>
        <w:t xml:space="preserve"> </w:t>
      </w:r>
      <w:r>
        <w:t xml:space="preserve">post-result settings.</w:t>
      </w:r>
      <w:r>
        <w:t xml:space="preserve"> </w:t>
      </w:r>
      <w:r>
        <w:rPr>
          <w:bCs/>
          <w:b/>
        </w:rPr>
        <w:t xml:space="preserve">E,</w:t>
      </w:r>
      <w:r>
        <w:t xml:space="preserve"> </w:t>
      </w:r>
      <w:r>
        <w:t xml:space="preserve">Interaction-versus-additive-GPR effects; negative values favor the</w:t>
      </w:r>
      <w:r>
        <w:t xml:space="preserve"> </w:t>
      </w:r>
      <w:r>
        <w:t xml:space="preserve">additive model.</w:t>
      </w:r>
      <w:r>
        <w:t xml:space="preserve"> </w:t>
      </w:r>
      <w:r>
        <w:rPr>
          <w:bCs/>
          <w:b/>
        </w:rPr>
        <w:t xml:space="preserve">F,</w:t>
      </w:r>
      <w:r>
        <w:t xml:space="preserve"> </w:t>
      </w:r>
      <w:r>
        <w:t xml:space="preserve">Accepted and rejected mapping denominators.</w:t>
      </w:r>
    </w:p>
    <w:p>
      <w:pPr>
        <w:pStyle w:val="BodyText"/>
      </w:pPr>
      <w:r>
        <w:drawing>
          <wp:inline>
            <wp:extent cx="5334000" cy="28259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../artifacts/pathway-score-publication-figures/figure-3-ccle-valid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Xia, J. &amp; Wishart, D. S. MSEA: a web-based tool to identify biologically meaningful patterns in</w:t>
      </w:r>
      <w:r>
        <w:t xml:space="preserve"> </w:t>
      </w:r>
      <w:r>
        <w:t xml:space="preserve">quantitative metabolomic data.</w:t>
      </w:r>
      <w:r>
        <w:t xml:space="preserve"> </w:t>
      </w:r>
      <w:r>
        <w:rPr>
          <w:iCs/>
          <w:i/>
        </w:rPr>
        <w:t xml:space="preserve">Nucleic Acids Res.</w:t>
      </w:r>
      <w:r>
        <w:t xml:space="preserve"> </w:t>
      </w:r>
      <w:r>
        <w:rPr>
          <w:bCs/>
          <w:b/>
        </w:rPr>
        <w:t xml:space="preserve">38</w:t>
      </w:r>
      <w:r>
        <w:t xml:space="preserve">, W71–W77 (2010).</w:t>
      </w:r>
    </w:p>
    <w:p>
      <w:pPr>
        <w:numPr>
          <w:ilvl w:val="0"/>
          <w:numId w:val="1001"/>
        </w:numPr>
        <w:pStyle w:val="Compact"/>
      </w:pPr>
      <w:r>
        <w:t xml:space="preserve">Aggio, R. B. M., Ruggiero, K. &amp; Villas-Bôas, S. G. Pathway Activity Profiling (PAPi): from the</w:t>
      </w:r>
      <w:r>
        <w:t xml:space="preserve"> </w:t>
      </w:r>
      <w:r>
        <w:t xml:space="preserve">metabolite profile to the metabolic pathway activity.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rPr>
          <w:bCs/>
          <w:b/>
        </w:rPr>
        <w:t xml:space="preserve">26</w:t>
      </w:r>
      <w:r>
        <w:t xml:space="preserve">, 2969–2976 (2010).</w:t>
      </w:r>
    </w:p>
    <w:p>
      <w:pPr>
        <w:numPr>
          <w:ilvl w:val="0"/>
          <w:numId w:val="1001"/>
        </w:numPr>
        <w:pStyle w:val="Compact"/>
      </w:pPr>
      <w:r>
        <w:t xml:space="preserve">Li, S. et al. Predicting network activity from high throughput metabolomics.</w:t>
      </w:r>
      <w:r>
        <w:t xml:space="preserve"> </w:t>
      </w:r>
      <w:r>
        <w:rPr>
          <w:iCs/>
          <w:i/>
        </w:rPr>
        <w:t xml:space="preserve">PLoS Comput. Biol.</w:t>
      </w:r>
      <w:r>
        <w:t xml:space="preserve"> </w:t>
      </w:r>
      <w:r>
        <w:rPr>
          <w:bCs/>
          <w:b/>
        </w:rPr>
        <w:t xml:space="preserve">9</w:t>
      </w:r>
      <w:r>
        <w:t xml:space="preserve">, e1003123 (2013).</w:t>
      </w:r>
    </w:p>
    <w:p>
      <w:pPr>
        <w:numPr>
          <w:ilvl w:val="0"/>
          <w:numId w:val="1001"/>
        </w:numPr>
        <w:pStyle w:val="Compact"/>
      </w:pPr>
      <w:r>
        <w:t xml:space="preserve">Hosseini, R., Hassanpour, N., Liu, L.-P. &amp; Hassoun, S. Pathway-Activity Likelihood Analysis and</w:t>
      </w:r>
      <w:r>
        <w:t xml:space="preserve"> </w:t>
      </w:r>
      <w:r>
        <w:t xml:space="preserve">Metabolite Annotation for Untargeted Metabolomics Using Probabilistic Modeling.</w:t>
      </w:r>
      <w:r>
        <w:t xml:space="preserve"> </w:t>
      </w:r>
      <w:r>
        <w:rPr>
          <w:iCs/>
          <w:i/>
        </w:rPr>
        <w:t xml:space="preserve">Metabolites</w:t>
      </w:r>
      <w:r>
        <w:t xml:space="preserve"> </w:t>
      </w:r>
      <w:r>
        <w:rPr>
          <w:bCs/>
          <w:b/>
        </w:rPr>
        <w:t xml:space="preserve">10</w:t>
      </w:r>
      <w:r>
        <w:t xml:space="preserve">, 183 (2020).</w:t>
      </w:r>
    </w:p>
    <w:p>
      <w:pPr>
        <w:numPr>
          <w:ilvl w:val="0"/>
          <w:numId w:val="1001"/>
        </w:numPr>
        <w:pStyle w:val="Compact"/>
      </w:pPr>
      <w:r>
        <w:t xml:space="preserve">Wieder, C., Lai, R. P. J. &amp; Ebbels, T. M. D. Single sample pathway analysis in metabolomics:</w:t>
      </w:r>
      <w:r>
        <w:t xml:space="preserve"> </w:t>
      </w:r>
      <w:r>
        <w:t xml:space="preserve">performance evaluation and application.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rPr>
          <w:bCs/>
          <w:b/>
        </w:rPr>
        <w:t xml:space="preserve">23</w:t>
      </w:r>
      <w:r>
        <w:t xml:space="preserve">, 481 (2022).</w:t>
      </w:r>
    </w:p>
    <w:p>
      <w:pPr>
        <w:numPr>
          <w:ilvl w:val="0"/>
          <w:numId w:val="1001"/>
        </w:numPr>
        <w:pStyle w:val="Compact"/>
      </w:pPr>
      <w:r>
        <w:t xml:space="preserve">Wieder, C. et al. Pathway analysis in metabolomics: recommendations for the use of</w:t>
      </w:r>
      <w:r>
        <w:t xml:space="preserve"> </w:t>
      </w:r>
      <w:r>
        <w:t xml:space="preserve">over-representation analysis.</w:t>
      </w:r>
      <w:r>
        <w:t xml:space="preserve"> </w:t>
      </w:r>
      <w:r>
        <w:rPr>
          <w:iCs/>
          <w:i/>
        </w:rPr>
        <w:t xml:space="preserve">PLoS Comput. Biol.</w:t>
      </w:r>
      <w:r>
        <w:t xml:space="preserve"> </w:t>
      </w:r>
      <w:r>
        <w:rPr>
          <w:bCs/>
          <w:b/>
        </w:rPr>
        <w:t xml:space="preserve">17</w:t>
      </w:r>
      <w:r>
        <w:t xml:space="preserve">, e1009105 (2021).</w:t>
      </w:r>
    </w:p>
    <w:p>
      <w:pPr>
        <w:numPr>
          <w:ilvl w:val="0"/>
          <w:numId w:val="1001"/>
        </w:numPr>
        <w:pStyle w:val="Compact"/>
      </w:pPr>
      <w:r>
        <w:t xml:space="preserve">Molenaar, M. R. et al. LION/web: a web-based ontology enrichment tool for lipidomic data</w:t>
      </w:r>
      <w:r>
        <w:t xml:space="preserve"> </w:t>
      </w:r>
      <w:r>
        <w:t xml:space="preserve">analysis.</w:t>
      </w:r>
      <w:r>
        <w:t xml:space="preserve"> </w:t>
      </w:r>
      <w:r>
        <w:rPr>
          <w:iCs/>
          <w:i/>
        </w:rPr>
        <w:t xml:space="preserve">GigaScience</w:t>
      </w:r>
      <w:r>
        <w:t xml:space="preserve"> </w:t>
      </w:r>
      <w:r>
        <w:rPr>
          <w:bCs/>
          <w:b/>
        </w:rPr>
        <w:t xml:space="preserve">8</w:t>
      </w:r>
      <w:r>
        <w:t xml:space="preserve">, giz061 (2019).</w:t>
      </w:r>
    </w:p>
    <w:p>
      <w:pPr>
        <w:numPr>
          <w:ilvl w:val="0"/>
          <w:numId w:val="1001"/>
        </w:numPr>
        <w:pStyle w:val="Compact"/>
      </w:pPr>
      <w:r>
        <w:t xml:space="preserve">Robinson, J. L. et al. An atlas of human metabolism.</w:t>
      </w:r>
      <w:r>
        <w:t xml:space="preserve"> </w:t>
      </w:r>
      <w:r>
        <w:rPr>
          <w:iCs/>
          <w:i/>
        </w:rPr>
        <w:t xml:space="preserve">Sci. Signal.</w:t>
      </w:r>
      <w:r>
        <w:t xml:space="preserve"> </w:t>
      </w:r>
      <w:r>
        <w:rPr>
          <w:bCs/>
          <w:b/>
        </w:rPr>
        <w:t xml:space="preserve">13</w:t>
      </w:r>
      <w:r>
        <w:t xml:space="preserve">, eaaz1482 (2020).</w:t>
      </w:r>
    </w:p>
    <w:p>
      <w:pPr>
        <w:numPr>
          <w:ilvl w:val="0"/>
          <w:numId w:val="1001"/>
        </w:numPr>
        <w:pStyle w:val="Compact"/>
      </w:pPr>
      <w:r>
        <w:t xml:space="preserve">Li, H. et al. The landscape of cancer cell line metabolism.</w:t>
      </w:r>
      <w:r>
        <w:t xml:space="preserve"> </w:t>
      </w:r>
      <w:r>
        <w:rPr>
          <w:iCs/>
          <w:i/>
        </w:rPr>
        <w:t xml:space="preserve">Nat. Med.</w:t>
      </w:r>
      <w:r>
        <w:t xml:space="preserve"> </w:t>
      </w:r>
      <w:r>
        <w:rPr>
          <w:bCs/>
          <w:b/>
        </w:rPr>
        <w:t xml:space="preserve">25</w:t>
      </w:r>
      <w:r>
        <w:t xml:space="preserve">, 850–860 (2019).</w:t>
      </w:r>
    </w:p>
    <w:p>
      <w:pPr>
        <w:numPr>
          <w:ilvl w:val="0"/>
          <w:numId w:val="1001"/>
        </w:numPr>
        <w:pStyle w:val="Compact"/>
      </w:pPr>
      <w:r>
        <w:t xml:space="preserve">Argelaguet, R. et al. Multi-Omics Factor Analysis—a framework for unsupervised integration of</w:t>
      </w:r>
      <w:r>
        <w:t xml:space="preserve"> </w:t>
      </w:r>
      <w:r>
        <w:t xml:space="preserve">multi-omics data sets.</w:t>
      </w:r>
      <w:r>
        <w:t xml:space="preserve"> </w:t>
      </w:r>
      <w:r>
        <w:rPr>
          <w:iCs/>
          <w:i/>
        </w:rPr>
        <w:t xml:space="preserve">Mol. Syst. Biol.</w:t>
      </w:r>
      <w:r>
        <w:t xml:space="preserve"> </w:t>
      </w:r>
      <w:r>
        <w:rPr>
          <w:bCs/>
          <w:b/>
        </w:rPr>
        <w:t xml:space="preserve">14</w:t>
      </w:r>
      <w:r>
        <w:t xml:space="preserve">, e8124 (2018).</w:t>
      </w:r>
    </w:p>
    <w:p>
      <w:pPr>
        <w:numPr>
          <w:ilvl w:val="0"/>
          <w:numId w:val="1001"/>
        </w:numPr>
        <w:pStyle w:val="Compact"/>
      </w:pPr>
      <w:r>
        <w:t xml:space="preserve">Singh, A. et al. DIABLO: an integrative approach for identifying key molecular drivers from</w:t>
      </w:r>
      <w:r>
        <w:t xml:space="preserve"> </w:t>
      </w:r>
      <w:r>
        <w:t xml:space="preserve">multi-omics assays.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rPr>
          <w:bCs/>
          <w:b/>
        </w:rPr>
        <w:t xml:space="preserve">35</w:t>
      </w:r>
      <w:r>
        <w:t xml:space="preserve">, 3055–3062 (2019).</w:t>
      </w:r>
    </w:p>
    <w:p>
      <w:pPr>
        <w:numPr>
          <w:ilvl w:val="0"/>
          <w:numId w:val="1001"/>
        </w:numPr>
        <w:pStyle w:val="Compact"/>
      </w:pPr>
      <w:r>
        <w:t xml:space="preserve">Wang, B. et al. Similarity network fusion for aggregating data types on a genomic scale.</w:t>
      </w:r>
      <w:r>
        <w:t xml:space="preserve"> </w:t>
      </w:r>
      <w:r>
        <w:rPr>
          <w:iCs/>
          <w:i/>
        </w:rPr>
        <w:t xml:space="preserve">Nat. Methods</w:t>
      </w:r>
      <w:r>
        <w:t xml:space="preserve"> </w:t>
      </w:r>
      <w:r>
        <w:rPr>
          <w:bCs/>
          <w:b/>
        </w:rPr>
        <w:t xml:space="preserve">11</w:t>
      </w:r>
      <w:r>
        <w:t xml:space="preserve">, 333–337 (2014).</w:t>
      </w:r>
    </w:p>
    <w:p>
      <w:pPr>
        <w:numPr>
          <w:ilvl w:val="0"/>
          <w:numId w:val="1001"/>
        </w:numPr>
        <w:pStyle w:val="Compact"/>
      </w:pPr>
      <w:r>
        <w:t xml:space="preserve">Orth, J. D., Thiele, I. &amp; Palsson, B. Ø. What is flux balance analysis?</w:t>
      </w:r>
      <w:r>
        <w:t xml:space="preserve"> </w:t>
      </w:r>
      <w:r>
        <w:rPr>
          <w:iCs/>
          <w:i/>
        </w:rPr>
        <w:t xml:space="preserve">Nat. Biotechnol.</w:t>
      </w:r>
      <w:r>
        <w:t xml:space="preserve"> </w:t>
      </w:r>
      <w:r>
        <w:rPr>
          <w:bCs/>
          <w:b/>
        </w:rPr>
        <w:t xml:space="preserve">28</w:t>
      </w:r>
      <w:r>
        <w:t xml:space="preserve">, 245–248 (2010).</w:t>
      </w:r>
    </w:p>
    <w:p>
      <w:pPr>
        <w:numPr>
          <w:ilvl w:val="0"/>
          <w:numId w:val="1001"/>
        </w:numPr>
        <w:pStyle w:val="Compact"/>
      </w:pPr>
      <w:r>
        <w:t xml:space="preserve">Machado, D. &amp; Herrgård, M. Systematic evaluation of methods for integration of transcriptomic</w:t>
      </w:r>
      <w:r>
        <w:t xml:space="preserve"> </w:t>
      </w:r>
      <w:r>
        <w:t xml:space="preserve">data into constraint-based models of metabolism.</w:t>
      </w:r>
      <w:r>
        <w:t xml:space="preserve"> </w:t>
      </w:r>
      <w:r>
        <w:rPr>
          <w:iCs/>
          <w:i/>
        </w:rPr>
        <w:t xml:space="preserve">PLoS Comput. Biol.</w:t>
      </w:r>
      <w:r>
        <w:t xml:space="preserve"> </w:t>
      </w:r>
      <w:r>
        <w:rPr>
          <w:bCs/>
          <w:b/>
        </w:rPr>
        <w:t xml:space="preserve">10</w:t>
      </w:r>
      <w:r>
        <w:t xml:space="preserve">, e1003580 (2014).</w:t>
      </w:r>
    </w:p>
    <w:p>
      <w:pPr>
        <w:numPr>
          <w:ilvl w:val="0"/>
          <w:numId w:val="1001"/>
        </w:numPr>
        <w:pStyle w:val="Compact"/>
      </w:pPr>
      <w:r>
        <w:t xml:space="preserve">Wagner, A. et al. Metabolic modeling of single Th17 cells reveals regulators of autoimmunity.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rPr>
          <w:bCs/>
          <w:b/>
        </w:rPr>
        <w:t xml:space="preserve">184</w:t>
      </w:r>
      <w:r>
        <w:t xml:space="preserve">, 4168–4185.e21 (2021).</w:t>
      </w:r>
    </w:p>
    <w:p>
      <w:pPr>
        <w:numPr>
          <w:ilvl w:val="0"/>
          <w:numId w:val="1001"/>
        </w:numPr>
        <w:pStyle w:val="Compact"/>
      </w:pPr>
      <w:r>
        <w:t xml:space="preserve">Alghamdi, N. et al. A graph neural network model to estimate cell-wise metabolic flux using</w:t>
      </w:r>
      <w:r>
        <w:t xml:space="preserve"> </w:t>
      </w:r>
      <w:r>
        <w:t xml:space="preserve">single-cell RNA-seq data.</w:t>
      </w:r>
      <w:r>
        <w:t xml:space="preserve"> </w:t>
      </w:r>
      <w:r>
        <w:rPr>
          <w:iCs/>
          <w:i/>
        </w:rPr>
        <w:t xml:space="preserve">Genome Res.</w:t>
      </w:r>
      <w:r>
        <w:t xml:space="preserve"> </w:t>
      </w:r>
      <w:r>
        <w:rPr>
          <w:bCs/>
          <w:b/>
        </w:rPr>
        <w:t xml:space="preserve">31</w:t>
      </w:r>
      <w:r>
        <w:t xml:space="preserve">, 1867–1884 (2021).</w:t>
      </w:r>
    </w:p>
    <w:p>
      <w:pPr>
        <w:numPr>
          <w:ilvl w:val="0"/>
          <w:numId w:val="1001"/>
        </w:numPr>
        <w:pStyle w:val="Compact"/>
      </w:pPr>
      <w:r>
        <w:t xml:space="preserve">Brunk, E. et al. Recon3D enables a three-dimensional view of gene variation in human metabolism.</w:t>
      </w:r>
      <w:r>
        <w:t xml:space="preserve"> </w:t>
      </w:r>
      <w:r>
        <w:rPr>
          <w:iCs/>
          <w:i/>
        </w:rPr>
        <w:t xml:space="preserve">Nat. Biotechnol.</w:t>
      </w:r>
      <w:r>
        <w:t xml:space="preserve"> </w:t>
      </w:r>
      <w:r>
        <w:rPr>
          <w:bCs/>
          <w:b/>
        </w:rPr>
        <w:t xml:space="preserve">36</w:t>
      </w:r>
      <w:r>
        <w:t xml:space="preserve">, 272–281 (2018).</w:t>
      </w:r>
    </w:p>
    <w:p>
      <w:pPr>
        <w:numPr>
          <w:ilvl w:val="0"/>
          <w:numId w:val="1001"/>
        </w:numPr>
        <w:pStyle w:val="Compact"/>
      </w:pPr>
      <w:r>
        <w:t xml:space="preserve">Hornburg, D. et al. Dynamic lipidome alterations associated with human health, disease and</w:t>
      </w:r>
      <w:r>
        <w:t xml:space="preserve"> </w:t>
      </w:r>
      <w:r>
        <w:t xml:space="preserve">ageing.</w:t>
      </w:r>
      <w:r>
        <w:t xml:space="preserve"> </w:t>
      </w:r>
      <w:r>
        <w:rPr>
          <w:iCs/>
          <w:i/>
        </w:rPr>
        <w:t xml:space="preserve">Nat. Metab.</w:t>
      </w:r>
      <w:r>
        <w:t xml:space="preserve"> </w:t>
      </w:r>
      <w:r>
        <w:rPr>
          <w:bCs/>
          <w:b/>
        </w:rPr>
        <w:t xml:space="preserve">5</w:t>
      </w:r>
      <w:r>
        <w:t xml:space="preserve">, 1578–1594 (2023).</w:t>
      </w:r>
    </w:p>
    <w:p>
      <w:pPr>
        <w:numPr>
          <w:ilvl w:val="0"/>
          <w:numId w:val="1001"/>
        </w:numPr>
        <w:pStyle w:val="Compact"/>
      </w:pPr>
      <w:r>
        <w:t xml:space="preserve">Yin, X. et al. Genome-wide association studies of metabolites in Finnish men identify</w:t>
      </w:r>
      <w:r>
        <w:t xml:space="preserve"> </w:t>
      </w:r>
      <w:r>
        <w:t xml:space="preserve">disease-relevant loci.</w:t>
      </w:r>
      <w:r>
        <w:t xml:space="preserve"> </w:t>
      </w:r>
      <w:r>
        <w:rPr>
          <w:iCs/>
          <w:i/>
        </w:rPr>
        <w:t xml:space="preserve">Nat. Commun.</w:t>
      </w:r>
      <w:r>
        <w:t xml:space="preserve"> </w:t>
      </w:r>
      <w:r>
        <w:rPr>
          <w:bCs/>
          <w:b/>
        </w:rPr>
        <w:t xml:space="preserve">13</w:t>
      </w:r>
      <w:r>
        <w:t xml:space="preserve">, 1644 (2022).</w:t>
      </w:r>
    </w:p>
    <w:p>
      <w:pPr>
        <w:numPr>
          <w:ilvl w:val="0"/>
          <w:numId w:val="1001"/>
        </w:numPr>
        <w:pStyle w:val="Compact"/>
      </w:pPr>
      <w:r>
        <w:t xml:space="preserve">Strona, G., Nappo, D., Boccacci, F., Fattorini, S. &amp; San-Miguel-Ayanz, J. A fast and unbiased</w:t>
      </w:r>
      <w:r>
        <w:t xml:space="preserve"> </w:t>
      </w:r>
      <w:r>
        <w:t xml:space="preserve">procedure to randomize ecological binary matrices with fixed row and column totals.</w:t>
      </w:r>
      <w:r>
        <w:t xml:space="preserve"> </w:t>
      </w:r>
      <w:r>
        <w:rPr>
          <w:iCs/>
          <w:i/>
        </w:rPr>
        <w:t xml:space="preserve">Nat. Commun.</w:t>
      </w:r>
      <w:r>
        <w:t xml:space="preserve"> </w:t>
      </w:r>
      <w:r>
        <w:rPr>
          <w:bCs/>
          <w:b/>
        </w:rPr>
        <w:t xml:space="preserve">5</w:t>
      </w:r>
      <w:r>
        <w:t xml:space="preserve">, 4114 (2014).</w:t>
      </w:r>
    </w:p>
    <w:p>
      <w:pPr>
        <w:numPr>
          <w:ilvl w:val="0"/>
          <w:numId w:val="1001"/>
        </w:numPr>
        <w:pStyle w:val="Compact"/>
      </w:pPr>
      <w:r>
        <w:t xml:space="preserve">Chen, P.-H. et al. Metabolic diversity in human non-small cell lung cancer cells.</w:t>
      </w:r>
      <w:r>
        <w:t xml:space="preserve"> </w:t>
      </w:r>
      <w:r>
        <w:rPr>
          <w:iCs/>
          <w:i/>
        </w:rPr>
        <w:t xml:space="preserve">Mol. Cell</w:t>
      </w:r>
      <w:r>
        <w:t xml:space="preserve"> </w:t>
      </w:r>
      <w:r>
        <w:rPr>
          <w:bCs/>
          <w:b/>
        </w:rPr>
        <w:t xml:space="preserve">76</w:t>
      </w:r>
      <w:r>
        <w:t xml:space="preserve">, 838–851.e5 (2019).</w:t>
      </w:r>
    </w:p>
    <w:p>
      <w:pPr>
        <w:numPr>
          <w:ilvl w:val="0"/>
          <w:numId w:val="1001"/>
        </w:numPr>
        <w:pStyle w:val="Compact"/>
      </w:pPr>
      <w:r>
        <w:t xml:space="preserve">Fahy, E. et al. A comprehensive classification system for lipids.</w:t>
      </w:r>
      <w:r>
        <w:t xml:space="preserve"> </w:t>
      </w:r>
      <w:r>
        <w:rPr>
          <w:iCs/>
          <w:i/>
        </w:rPr>
        <w:t xml:space="preserve">J. Lipid Res.</w:t>
      </w:r>
      <w:r>
        <w:t xml:space="preserve"> </w:t>
      </w:r>
      <w:r>
        <w:rPr>
          <w:bCs/>
          <w:b/>
        </w:rPr>
        <w:t xml:space="preserve">46</w:t>
      </w:r>
      <w:r>
        <w:t xml:space="preserve">,</w:t>
      </w:r>
      <w:r>
        <w:t xml:space="preserve"> </w:t>
      </w:r>
      <w:r>
        <w:t xml:space="preserve">839–861 (2005).</w:t>
      </w:r>
    </w:p>
    <w:p>
      <w:pPr>
        <w:numPr>
          <w:ilvl w:val="0"/>
          <w:numId w:val="1001"/>
        </w:numPr>
        <w:pStyle w:val="Compact"/>
      </w:pPr>
      <w:r>
        <w:t xml:space="preserve">Metabolomics Workbench. Integrated nutrigenomic and metabolomic analysis of Africans with</w:t>
      </w:r>
      <w:r>
        <w:t xml:space="preserve"> </w:t>
      </w:r>
      <w:r>
        <w:t xml:space="preserve">variable diet, study ST000818, analysis AN001299. doi:10.21228/M89M31.</w:t>
      </w:r>
    </w:p>
    <w:p>
      <w:pPr>
        <w:numPr>
          <w:ilvl w:val="0"/>
          <w:numId w:val="1001"/>
        </w:numPr>
        <w:pStyle w:val="Compact"/>
      </w:pPr>
      <w:r>
        <w:t xml:space="preserve">Picart-Armada, S. et al. Null diffusion-based enrichment for metabolomics data.</w:t>
      </w:r>
      <w:r>
        <w:t xml:space="preserve"> </w:t>
      </w:r>
      <w:r>
        <w:rPr>
          <w:iCs/>
          <w:i/>
        </w:rPr>
        <w:t xml:space="preserve">PLoS ONE</w:t>
      </w:r>
      <w:r>
        <w:t xml:space="preserve"> </w:t>
      </w:r>
      <w:r>
        <w:rPr>
          <w:bCs/>
          <w:b/>
        </w:rPr>
        <w:t xml:space="preserve">12</w:t>
      </w:r>
      <w:r>
        <w:t xml:space="preserve">, e0189012 (2017).</w:t>
      </w:r>
    </w:p>
    <w:p>
      <w:pPr>
        <w:numPr>
          <w:ilvl w:val="0"/>
          <w:numId w:val="1001"/>
        </w:numPr>
        <w:pStyle w:val="Compact"/>
      </w:pPr>
      <w:r>
        <w:t xml:space="preserve">Hänzelmann, S., Castelo, R. &amp; Guinney, J. GSVA: gene set variation analysis for microarray and</w:t>
      </w:r>
      <w:r>
        <w:t xml:space="preserve"> </w:t>
      </w:r>
      <w:r>
        <w:t xml:space="preserve">RNA-seq data.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rPr>
          <w:bCs/>
          <w:b/>
        </w:rPr>
        <w:t xml:space="preserve">14</w:t>
      </w:r>
      <w:r>
        <w:t xml:space="preserve">, 7 (2013).</w:t>
      </w:r>
    </w:p>
    <w:bookmarkEnd w:id="51"/>
    <w:bookmarkStart w:id="5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research received no external funding. Computational resources were provided by Metastate Bio</w:t>
      </w:r>
      <w:r>
        <w:t xml:space="preserve"> </w:t>
      </w:r>
      <w:r>
        <w:t xml:space="preserve">Inc.</w:t>
      </w:r>
    </w:p>
    <w:bookmarkEnd w:id="52"/>
    <w:bookmarkStart w:id="5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O.Ü. conceived the study, defined the research questions and claim boundaries, directed the</w:t>
      </w:r>
      <w:r>
        <w:t xml:space="preserve"> </w:t>
      </w:r>
      <w:r>
        <w:t xml:space="preserve">computational programme, provided resources, interpreted the results through iterative review,</w:t>
      </w:r>
      <w:r>
        <w:t xml:space="preserve"> </w:t>
      </w:r>
      <w:r>
        <w:t xml:space="preserve">revised the manuscript and accepts responsibility for the integrity of the work. CRediT roles:</w:t>
      </w:r>
      <w:r>
        <w:t xml:space="preserve"> </w:t>
      </w:r>
      <w:r>
        <w:t xml:space="preserve">Conceptualization, Methodology, Resources, Supervision, Project administration, and Writing –</w:t>
      </w:r>
      <w:r>
        <w:t xml:space="preserve"> </w:t>
      </w:r>
      <w:r>
        <w:t xml:space="preserve">review &amp; editing.</w:t>
      </w:r>
    </w:p>
    <w:bookmarkEnd w:id="53"/>
    <w:bookmarkStart w:id="54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O.Ü. is the founder of Metastate and is affiliated with Metastate Bio Inc, which develops</w:t>
      </w:r>
      <w:r>
        <w:t xml:space="preserve"> </w:t>
      </w:r>
      <w:r>
        <w:t xml:space="preserve">commercial metabolic interpretation and modeling products and services that could benefit from</w:t>
      </w:r>
      <w:r>
        <w:t xml:space="preserve"> </w:t>
      </w:r>
      <w:r>
        <w:t xml:space="preserve">the publication of this work. The author declares no other competing interests.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20" Target="mailto:can@metastate.b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can@metastate.b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2026-08-31T09:57:46Z</dcterms:created>
  <dcterms:modified xsi:type="dcterms:W3CDTF">2026-08-31T09:57:46Z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