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upplementary-information"/>
    <w:p>
      <w:pPr>
        <w:pStyle w:val="Heading1"/>
      </w:pPr>
      <w:r>
        <w:t xml:space="preserve">Supplementary information</w:t>
      </w:r>
    </w:p>
    <w:bookmarkStart w:id="20" w:name="X401fe2adc539f084f3e3c517fa775708854a938"/>
    <w:p>
      <w:pPr>
        <w:pStyle w:val="Heading2"/>
      </w:pPr>
      <w:r>
        <w:t xml:space="preserve">Matched nulls reveal specificity limits of metabolic pathway scores</w:t>
      </w:r>
    </w:p>
    <w:p>
      <w:pPr>
        <w:pStyle w:val="FirstParagraph"/>
      </w:pPr>
      <w:r>
        <w:t xml:space="preserve">This supplement accompanies the main manuscript. It distinguishes frozen primary analyses,</w:t>
      </w:r>
      <w:r>
        <w:t xml:space="preserve"> </w:t>
      </w:r>
      <w:r>
        <w:t xml:space="preserve">adaptive analyses, locked external replication, post-result robustness analyses and supporting</w:t>
      </w:r>
      <w:r>
        <w:t xml:space="preserve"> </w:t>
      </w:r>
      <w:r>
        <w:t xml:space="preserve">evidence. Machine-readable tables remain authoritative where rounded values are shown here.</w:t>
      </w:r>
    </w:p>
    <w:bookmarkEnd w:id="20"/>
    <w:bookmarkStart w:id="26" w:name="supplementary-methods"/>
    <w:p>
      <w:pPr>
        <w:pStyle w:val="Heading2"/>
      </w:pPr>
      <w:r>
        <w:t xml:space="preserve">Supplementary Methods</w:t>
      </w:r>
    </w:p>
    <w:bookmarkStart w:id="21" w:name="evidence-roles-and-analysis-chronology"/>
    <w:p>
      <w:pPr>
        <w:pStyle w:val="Heading3"/>
      </w:pPr>
      <w:r>
        <w:t xml:space="preserve">Evidence roles and analysis chronology</w:t>
      </w:r>
    </w:p>
    <w:p>
      <w:pPr>
        <w:pStyle w:val="FirstParagraph"/>
      </w:pPr>
      <w:r>
        <w:t xml:space="preserve">The ST002081 coarse-family benchmark was frozen before execution. Its structural-descriptor</w:t>
      </w:r>
      <w:r>
        <w:t xml:space="preserve"> </w:t>
      </w:r>
      <w:r>
        <w:t xml:space="preserve">follow-up was specified after the coarse benchmark failed its matched-random specificity gate and</w:t>
      </w:r>
      <w:r>
        <w:t xml:space="preserve"> </w:t>
      </w:r>
      <w:r>
        <w:t xml:space="preserve">is therefore adaptive. ST000818 was selected from a pre-existing public-study registry using only</w:t>
      </w:r>
      <w:r>
        <w:t xml:space="preserve"> </w:t>
      </w:r>
      <w:r>
        <w:t xml:space="preserve">metadata and feature names; its population-held-out protocol was frozen before the abundance</w:t>
      </w:r>
      <w:r>
        <w:t xml:space="preserve"> </w:t>
      </w:r>
      <w:r>
        <w:t xml:space="preserve">matrix was retrieved. The human and CCLE parameter grids were declared after their respective</w:t>
      </w:r>
      <w:r>
        <w:t xml:space="preserve"> </w:t>
      </w:r>
      <w:r>
        <w:t xml:space="preserve">primary results and are robustness analyses, not prospective confirmation. Earlier genetics,</w:t>
      </w:r>
      <w:r>
        <w:t xml:space="preserve"> </w:t>
      </w:r>
      <w:r>
        <w:t xml:space="preserve">constraint, isotope, temporal and interaction analyses are supporting domains and were not pooled</w:t>
      </w:r>
      <w:r>
        <w:t xml:space="preserve"> </w:t>
      </w:r>
      <w:r>
        <w:t xml:space="preserve">with the primary observations.</w:t>
      </w:r>
    </w:p>
    <w:bookmarkEnd w:id="21"/>
    <w:bookmarkStart w:id="22" w:name="matched-null-rationale"/>
    <w:p>
      <w:pPr>
        <w:pStyle w:val="Heading3"/>
      </w:pPr>
      <w:r>
        <w:t xml:space="preserve">Matched-null rationale</w:t>
      </w:r>
    </w:p>
    <w:p>
      <w:pPr>
        <w:pStyle w:val="FirstParagraph"/>
      </w:pPr>
      <w:r>
        <w:t xml:space="preserve">The no-information population-mean baseline tests whether a representation predicts at all. It</w:t>
      </w:r>
      <w:r>
        <w:t xml:space="preserve"> </w:t>
      </w:r>
      <w:r>
        <w:t xml:space="preserve">does not test whether the declared biological labels matter. The coarse benchmark therefore used</w:t>
      </w:r>
      <w:r>
        <w:t xml:space="preserve"> </w:t>
      </w:r>
      <w:r>
        <w:t xml:space="preserve">random groups preserving family sizes. The lipid-structure benchmark randomized the binary</w:t>
      </w:r>
      <w:r>
        <w:t xml:space="preserve"> </w:t>
      </w:r>
      <w:r>
        <w:t xml:space="preserve">feature-by-descriptor graph while preserving every feature degree and every descriptor degree.</w:t>
      </w:r>
      <w:r>
        <w:t xml:space="preserve"> </w:t>
      </w:r>
      <w:r>
        <w:t xml:space="preserve">The CCLE benchmark used random metabolite, GPR and interaction feature sets matched to each</w:t>
      </w:r>
      <w:r>
        <w:t xml:space="preserve"> </w:t>
      </w:r>
      <w:r>
        <w:t xml:space="preserve">target's feature counts and evaluated with the same lineage folds. These nulls address effective</w:t>
      </w:r>
      <w:r>
        <w:t xml:space="preserve"> </w:t>
      </w:r>
      <w:r>
        <w:t xml:space="preserve">representation complexity; they do not prove causal mechanism.</w:t>
      </w:r>
    </w:p>
    <w:bookmarkEnd w:id="22"/>
    <w:bookmarkStart w:id="23" w:name="group-isolated-validation"/>
    <w:p>
      <w:pPr>
        <w:pStyle w:val="Heading3"/>
      </w:pPr>
      <w:r>
        <w:t xml:space="preserve">Group-isolated validation</w:t>
      </w:r>
    </w:p>
    <w:p>
      <w:pPr>
        <w:pStyle w:val="FirstParagraph"/>
      </w:pPr>
      <w:r>
        <w:t xml:space="preserve">All samples from a ST002081 participant were held out together. All samples from a ST000818</w:t>
      </w:r>
      <w:r>
        <w:t xml:space="preserve"> </w:t>
      </w:r>
      <w:r>
        <w:t xml:space="preserve">population category were held out together. All cell lines from a CCLE lineage were held out</w:t>
      </w:r>
      <w:r>
        <w:t xml:space="preserve"> </w:t>
      </w:r>
      <w:r>
        <w:t xml:space="preserve">together in two repeats of five deterministic size-balanced folds. Imputation, scaling, feature</w:t>
      </w:r>
      <w:r>
        <w:t xml:space="preserve"> </w:t>
      </w:r>
      <w:r>
        <w:t xml:space="preserve">summaries and ridge models were fitted using training observations only.</w:t>
      </w:r>
    </w:p>
    <w:bookmarkEnd w:id="23"/>
    <w:bookmarkStart w:id="24" w:name="statistical-units"/>
    <w:p>
      <w:pPr>
        <w:pStyle w:val="Heading3"/>
      </w:pPr>
      <w:r>
        <w:t xml:space="preserve">Statistical units</w:t>
      </w:r>
    </w:p>
    <w:p>
      <w:pPr>
        <w:pStyle w:val="FirstParagraph"/>
      </w:pPr>
      <w:r>
        <w:t xml:space="preserve">Human confidence intervals used paired resampling of the outer biological groups: participants in</w:t>
      </w:r>
      <w:r>
        <w:t xml:space="preserve"> </w:t>
      </w:r>
      <w:r>
        <w:t xml:space="preserve">ST002081 and population categories in ST000818. The primary analyses used 5,000 bootstrap draws;</w:t>
      </w:r>
      <w:r>
        <w:t xml:space="preserve"> </w:t>
      </w:r>
      <w:r>
        <w:t xml:space="preserve">the post-result grid used 2,000 draws per setting. CCLE comparisons used 5,000 paired bootstrap</w:t>
      </w:r>
      <w:r>
        <w:t xml:space="preserve"> </w:t>
      </w:r>
      <w:r>
        <w:t xml:space="preserve">draws over prediction targets. The stochastic CCLE null ensemble used 2,000 target-bootstrap draws</w:t>
      </w:r>
      <w:r>
        <w:t xml:space="preserve"> </w:t>
      </w:r>
      <w:r>
        <w:t xml:space="preserve">per random seed and 5,000 for the expected-null contrast. These intervals quantify variation across the declared resampling</w:t>
      </w:r>
      <w:r>
        <w:t xml:space="preserve"> </w:t>
      </w:r>
      <w:r>
        <w:t xml:space="preserve">units. They do not make correlated metabolites or reaction neighborhoods independent.</w:t>
      </w:r>
    </w:p>
    <w:bookmarkEnd w:id="24"/>
    <w:bookmarkStart w:id="25" w:name="mapping-and-source-integrity"/>
    <w:p>
      <w:pPr>
        <w:pStyle w:val="Heading3"/>
      </w:pPr>
      <w:r>
        <w:t xml:space="preserve">Mapping and source integrity</w:t>
      </w:r>
    </w:p>
    <w:p>
      <w:pPr>
        <w:pStyle w:val="FirstParagraph"/>
      </w:pPr>
      <w:r>
        <w:t xml:space="preserve">The feature maps retain every accepted and rejected row and a reason for exclusion. CCLE mappings</w:t>
      </w:r>
      <w:r>
        <w:t xml:space="preserve"> </w:t>
      </w:r>
      <w:r>
        <w:t xml:space="preserve">record assay names, stable identifiers, HumanGEM metabolites and compartments, GPR eligibility,</w:t>
      </w:r>
      <w:r>
        <w:t xml:space="preserve"> </w:t>
      </w:r>
      <w:r>
        <w:t xml:space="preserve">and the exact feature set used for each target. Source and output manifests contain SHA-256</w:t>
      </w:r>
      <w:r>
        <w:t xml:space="preserve"> </w:t>
      </w:r>
      <w:r>
        <w:t xml:space="preserve">checksums. The publication synthesis verified all 15 contributing artifact manifests.</w:t>
      </w:r>
    </w:p>
    <w:bookmarkEnd w:id="25"/>
    <w:bookmarkEnd w:id="26"/>
    <w:bookmarkStart w:id="27" w:name="Xda08c0032b5bae4aa0a2e96f7a74f826c5eaeab"/>
    <w:p>
      <w:pPr>
        <w:pStyle w:val="Heading2"/>
      </w:pPr>
      <w:r>
        <w:t xml:space="preserve">Supplementary Table 1 | Cohorts and benchmark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Retained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Holdout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human plasma lipidomics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1,539 samples; 112 people; 493 eligible lipids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coarse benchmark; adaptive structural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 / AN001299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blood lipidomics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samples; 15 population categories; 255 eligible lipids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Protocol-locked external structural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Cancer-cell-line metabolomics and 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 cell lines; 76 mapped assay metabolites; 60 primary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Reaction-neighborhood prediction and transcript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METSIM summary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mQTL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 eligible gene–metabolite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re-fitted as individual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Positive-control topology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NSCLC public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Cell-line abundance, isotope and molecular 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Source-specific eligible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Source-defined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falsification of stronger mechanistic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HumanGEM / Human1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human metabolic 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Reaction, metabolite and GPR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and model-relative constraint evidence</w:t>
            </w:r>
          </w:p>
        </w:tc>
      </w:tr>
    </w:tbl>
    <w:bookmarkEnd w:id="27"/>
    <w:bookmarkStart w:id="28" w:name="X0f53a7905e97ca38729d2bba09af887c3a244f2"/>
    <w:p>
      <w:pPr>
        <w:pStyle w:val="Heading2"/>
      </w:pPr>
      <w:r>
        <w:t xml:space="preserve">Supplementary Table 2 | Primary benchmark contrasts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Out-of-group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 coarse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Lipid-family median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groups preserving family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compression, but no family 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Lipid class, carbon, unsaturation and chain 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feature and descriptor degree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structural 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parser and representation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feature and descriptor degree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structural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HumanGEM neighbors plus reaction-linked GPR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Dimension-matched random metabolites, GPRs and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Cancer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 topology has predictive 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transcript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neighbors plus additive or interaction GPR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direct-neighbor/additive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Cancer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context helps compact prediction; interactions do not improve it generally</w:t>
            </w:r>
          </w:p>
        </w:tc>
      </w:tr>
    </w:tbl>
    <w:bookmarkEnd w:id="28"/>
    <w:bookmarkStart w:id="29" w:name="X2910f83d93cd6d58602b27995aaccbd9779338d"/>
    <w:p>
      <w:pPr>
        <w:pStyle w:val="Heading2"/>
      </w:pPr>
      <w:r>
        <w:t xml:space="preserve">Supplementary Table 3 | Human structural sensitivity grid</w:t>
      </w:r>
    </w:p>
    <w:p>
      <w:pPr>
        <w:pStyle w:val="FirstParagraph"/>
      </w:pPr>
      <w:r>
        <w:t xml:space="preserve">All entries are structural-minus-degree-null improvements. Parentheses are paired 95% bootstrap</w:t>
      </w:r>
      <w:r>
        <w:t xml:space="preserve"> </w:t>
      </w:r>
      <w:r>
        <w:t xml:space="preserve">intervals. All randomized graphs preserved exact row and column degrees.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Descriptors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Structural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Null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improvement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improvement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 (0.098, 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 (0.119, 0.148)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alpha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 (0.097, 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 (0.129, 0.155)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alpha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 (0.099, 0.112)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 (0.125, 0.153)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minimum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 (0.084, 0.093)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 (0.095, 0.120)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minimum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 (0.103, 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 (0.161, 0.195)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prevalence 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 (0.095, 0.106)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 (0.119, 0.146)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prevalence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 (0.097, 0.110)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 (0.127, 0.153)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swaps per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(0.092, 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 (0.113, 0.140)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Twenty-five swaps per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(0.088, 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 (0.114, 0.139)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 (0.057, 1.006)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 (0.086, 0.121)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alpha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0.511 (0.062, 0.903)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(0.084, 0.117)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alpha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 (0.041, 0.969)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 (0.058, 0.097)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minimum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 (0.050, 0.882)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 (0.054, 0.092)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minimum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 (0.042, 0.120)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 (0.081, 0.114)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prevalence 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 (0.062, 0.960)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 (0.085, 0.121)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prevalence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 (0.068, 0.993)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 (0.086, 0.119)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swaps per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 (0.065, 1.006)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 (0.082, 0.125)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Twenty-five swaps per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 (0.057, 0.975)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(0.071, 0.113)</w:t>
            </w:r>
          </w:p>
        </w:tc>
      </w:tr>
    </w:tbl>
    <w:p>
      <w:pPr>
        <w:pStyle w:val="BodyText"/>
      </w:pPr>
      <w:r>
        <w:t xml:space="preserve">Decision: all nine settings passed both endpoints in each cohort. Because this grid was designed</w:t>
      </w:r>
      <w:r>
        <w:t xml:space="preserve"> </w:t>
      </w:r>
      <w:r>
        <w:t xml:space="preserve">after the primary results, the decision is</w:t>
      </w:r>
      <w:r>
        <w:t xml:space="preserve"> </w:t>
      </w:r>
      <w:r>
        <w:rPr>
          <w:rStyle w:val="VerbatimChar"/>
        </w:rPr>
        <w:t xml:space="preserve">HUMAN_STRUCTURAL_SENSITIVITY_ROBUST</w:t>
      </w:r>
      <w:r>
        <w:t xml:space="preserve">, not independent</w:t>
      </w:r>
      <w:r>
        <w:t xml:space="preserve"> </w:t>
      </w:r>
      <w:r>
        <w:t xml:space="preserve">confirmation.</w:t>
      </w:r>
    </w:p>
    <w:p>
      <w:pPr>
        <w:pStyle w:val="BodyText"/>
      </w:pPr>
      <w:r>
        <w:t xml:space="preserve">The graph-quality diagnostic regenerated 200 panel-specific nulls across the two cohorts. All row</w:t>
      </w:r>
      <w:r>
        <w:t xml:space="preserve"> </w:t>
      </w:r>
      <w:r>
        <w:t xml:space="preserve">and column degrees were exact, every panel contained 20 unique nulls, minimum observed-edge</w:t>
      </w:r>
      <w:r>
        <w:t xml:space="preserve"> </w:t>
      </w:r>
      <w:r>
        <w:t xml:space="preserve">replacement was 0.771 and maximum pairwise null Jaccard was 0.131. This demonstrates graph movement</w:t>
      </w:r>
      <w:r>
        <w:t xml:space="preserve"> </w:t>
      </w:r>
      <w:r>
        <w:t xml:space="preserve">and diversity but not perfectly uniform sampling from every graph with the same degrees.</w:t>
      </w:r>
    </w:p>
    <w:bookmarkEnd w:id="29"/>
    <w:bookmarkStart w:id="30" w:name="X6a03b8f67e35a0e4556f42e65caf387a7e2c8d6"/>
    <w:p>
      <w:pPr>
        <w:pStyle w:val="Heading2"/>
      </w:pPr>
      <w:r>
        <w:t xml:space="preserve">Supplementary Table 4 | CCLE reaction-topology sensitivity grid</w:t>
      </w:r>
    </w:p>
    <w:p>
      <w:pPr>
        <w:pStyle w:val="FirstParagraph"/>
      </w:pPr>
      <w:r>
        <w:t xml:space="preserve">The improvement is random-factorized RMSE minus reaction-factorized RMSE, in training-fold outcome</w:t>
      </w:r>
      <w:r>
        <w:t xml:space="preserve"> </w:t>
      </w:r>
      <w:r>
        <w:t xml:space="preserve">standard-deviation units. Positive values favor topology. The final column is interaction-model</w:t>
      </w:r>
      <w:r>
        <w:t xml:space="preserve"> </w:t>
      </w:r>
      <w:r>
        <w:t xml:space="preserve">RMSE improvement over the additive GPR model; negative values favor the additive model.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Factorized 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target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vs random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vs additive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 (0.084, 0.166)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−0.009 (−0.015, −0.004)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4 metabolites/reaction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 (0.028, 0.135)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−0.008 (−0.014, −0.002)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6 metabolites/reaction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 (0.060, 0.140)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−0.009 (−0.015, −0.004)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12 metabolites/reaction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 (0.088, 0.176)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−0.011 (−0.016, −0.005)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Unbounded reaction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 (0.080, 0.171)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−0.011 (−0.017, −0.006)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transport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 (0.169, 0.273)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−0.014 (−0.020, −0.009)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alpha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 (0.083, 0.166)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−0.010 (−0.016, −0.005)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alpha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 (0.079, 0.157)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−0.006 (−0.010, −0.002)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 (0.086, 0.166)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−0.009 (−0.014, −0.004)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 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 (0.083, 0.167)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−0.009 (−0.014, −0.004)</w:t>
            </w:r>
          </w:p>
        </w:tc>
      </w:tr>
    </w:tbl>
    <w:p>
      <w:pPr>
        <w:pStyle w:val="BodyText"/>
      </w:pPr>
      <w:r>
        <w:t xml:space="preserve">Decision: reaction topology beat its matched random representation in all ten settings. Transcript</w:t>
      </w:r>
      <w:r>
        <w:t xml:space="preserve"> </w:t>
      </w:r>
      <w:r>
        <w:t xml:space="preserve">interactions failed to beat additive GPR terms in all ten settings. The grid is post-result</w:t>
      </w:r>
      <w:r>
        <w:t xml:space="preserve"> </w:t>
      </w:r>
      <w:r>
        <w:t xml:space="preserve">robustness evidence.</w:t>
      </w:r>
    </w:p>
    <w:bookmarkEnd w:id="30"/>
    <w:bookmarkStart w:id="31" w:name="Xbaca4732ca646675ddda2ae03da0ae4865b33e5"/>
    <w:p>
      <w:pPr>
        <w:pStyle w:val="Heading2"/>
      </w:pPr>
      <w:r>
        <w:t xml:space="preserve">Supplementary Table 5 | CCLE stochastic random-feature null ensemble</w:t>
      </w:r>
    </w:p>
    <w:p>
      <w:pPr>
        <w:pStyle w:val="FirstParagraph"/>
      </w:pPr>
      <w:r>
        <w:t xml:space="preserve">The biological feature set and lineage folds were fixed. Each row independently regenerated the</w:t>
      </w:r>
      <w:r>
        <w:t xml:space="preserve"> </w:t>
      </w:r>
      <w:r>
        <w:t xml:space="preserve">dimension-matched random features. Effects are random-minus-topology equal-lineage RMSE.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Random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(95% target-bootstrap CI)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 (0.082, 0.181)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 (0.085, 0.171)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 (0.055, 0.157)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 (0.080, 0.172)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 (0.098, 0.185)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 (0.071, 0.176)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 (0.091, 0.195)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 (0.106, 0.195)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 (0.074, 0.173)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 (0.080, 0.168)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 (0.087, 0.184)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 (0.085, 0.177)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(0.102, 0.189)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 (0.081, 0.168)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 (0.082, 0.179)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 (0.091, 0.182)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 (0.092, 0.232)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 (0.111, 0.240)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 (0.076, 0.183)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20262019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 (0.099, 0.196)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Expected null over 20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 (0.093, 0.177)</w:t>
            </w:r>
          </w:p>
        </w:tc>
      </w:tr>
    </w:tbl>
    <w:p>
      <w:pPr>
        <w:pStyle w:val="BodyText"/>
      </w:pPr>
      <w:r>
        <w:t xml:space="preserve">All 20 per-seed intervals excluded zero. The biological-factorized RMSE remained exactly 0.797 SD</w:t>
      </w:r>
      <w:r>
        <w:t xml:space="preserve"> </w:t>
      </w:r>
      <w:r>
        <w:t xml:space="preserve">across seeds. This post-result ensemble addresses stochastic null selection, not external cohort</w:t>
      </w:r>
      <w:r>
        <w:t xml:space="preserve"> </w:t>
      </w:r>
      <w:r>
        <w:t xml:space="preserve">generalization.</w:t>
      </w:r>
    </w:p>
    <w:bookmarkEnd w:id="31"/>
    <w:bookmarkStart w:id="32" w:name="X6cbb39488065ba12507533b5d1d0c930833d793"/>
    <w:p>
      <w:pPr>
        <w:pStyle w:val="Heading2"/>
      </w:pPr>
      <w:r>
        <w:t xml:space="preserve">Supplementary Table 6 | Property-matched null and subsystem dependence audit</w:t>
      </w:r>
    </w:p>
    <w:p>
      <w:pPr>
        <w:pStyle w:val="FirstParagraph"/>
      </w:pPr>
      <w:r>
        <w:t xml:space="preserve">The hard null matched random metabolites on direct-network degree and assay coverage and random</w:t>
      </w:r>
      <w:r>
        <w:t xml:space="preserve"> </w:t>
      </w:r>
      <w:r>
        <w:t xml:space="preserve">GPR signatures on candidate-network degree. It did not use target values or target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 or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 /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Property-matched expected null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seeds; 60 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0.097–0.181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Property-matched seed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0.116–0.149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per-seed lower bound &gt;0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Metabolite log-degree imbalance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 mean absolute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≤0.35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Metabolite assay-coverage imbalance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 mean absolute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≤0.02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GPR log-degree imbalance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 mean absolute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≤0.35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HumanGEM subsystem-cluster bootstrap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clusters; 60 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0.086–0.194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Leave-one-subsystem-out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exclusions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0.120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effect &gt;0</w:t>
            </w:r>
          </w:p>
        </w:tc>
      </w:tr>
    </w:tbl>
    <w:p>
      <w:pPr>
        <w:pStyle w:val="BodyText"/>
      </w:pPr>
      <w:r>
        <w:t xml:space="preserve">The subsystem audit assigns each target to its most frequent eligible HumanGEM subsystem and is a</w:t>
      </w:r>
      <w:r>
        <w:t xml:space="preserve"> </w:t>
      </w:r>
      <w:r>
        <w:t xml:space="preserve">dependence sensitivity, not proof that pathways or targets are independent.</w:t>
      </w:r>
    </w:p>
    <w:bookmarkEnd w:id="32"/>
    <w:bookmarkStart w:id="33" w:name="Xbf6d7e4b223ac8bd00e1cee4b288cfb008d3bcb"/>
    <w:p>
      <w:pPr>
        <w:pStyle w:val="Heading2"/>
      </w:pPr>
      <w:r>
        <w:t xml:space="preserve">Supplementary Table 7 | Mapping and eligibility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Acceptance 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ST000818 lipid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 lipid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assay metabolites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GPR signatures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primary prediction 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The CCLE conclusion is explicitly limited to the mapped, reaction-accessible assay subset. Rejected</w:t>
      </w:r>
      <w:r>
        <w:t xml:space="preserve"> </w:t>
      </w:r>
      <w:r>
        <w:t xml:space="preserve">rows are retained in</w:t>
      </w:r>
      <w:r>
        <w:t xml:space="preserve"> </w:t>
      </w:r>
      <w:r>
        <w:rPr>
          <w:rStyle w:val="VerbatimChar"/>
        </w:rPr>
        <w:t xml:space="preserve">ccle-metabolite-map.csv</w:t>
      </w:r>
      <w:r>
        <w:t xml:space="preserve">; no inferred identity is assigned to an unmapped</w:t>
      </w:r>
      <w:r>
        <w:t xml:space="preserve"> </w:t>
      </w:r>
      <w:r>
        <w:t xml:space="preserve">assay feature.</w:t>
      </w:r>
    </w:p>
    <w:bookmarkEnd w:id="33"/>
    <w:bookmarkStart w:id="34" w:name="Xd88757613f5e41e41f87b0d143ca305514fa154"/>
    <w:p>
      <w:pPr>
        <w:pStyle w:val="Heading2"/>
      </w:pPr>
      <w:r>
        <w:t xml:space="preserve">Supplementary Table 8 | Machine-readable claim ledger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 lipid-family scores reconstruct hidden human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versus population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Participant-bootstrap RMSE interval above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lipid-family scores are pathway-specific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Size-matched random-group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Structure-resolved lipid scores beat a fixed-degree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same-cohort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Participant-paired RMSE and precision intervals above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Structure-resolved scores replicate in a separate human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population-held-out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ST000818 passed all 20 graph nulls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HumanGEM/GPR features beat size-matched random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in CCLE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Lineage-isolated target-bootstrap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 interactions improve the general direct-network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model did not beat direct-metabolite or additive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transcript-conditioned coupling can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in model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CDA–cytidine–uridine state passed the declared screen and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evidence validates same-person genomic 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cohort contains the required participant-level modalities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estimates physiological flux or treatment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evidence is model-relative; external challenges are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structural results survive declared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Post-result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of nine settings pass in each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reaction topology survives declared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Post-result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of ten settings pass the matched-random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topology is stable across random feature 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Post-result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of twenty seed intervals pass; expected-null lower bound 0.093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topology beats degree-and-coverage-matched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Post-result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of twenty hard-null intervals pass; expected-null lower bound 0.097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topology is not concentrated in one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Post-result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Twenty-cluster lower bound 0.086 SD; all leave-one-subsystem effects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 interactions become generally useful in sensitivity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of ten settings beat the additive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Analysis-facing mappings and exclusions are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accepted/rejected tables and verified checksums</w:t>
            </w:r>
          </w:p>
        </w:tc>
      </w:tr>
    </w:tbl>
    <w:bookmarkEnd w:id="34"/>
    <w:bookmarkStart w:id="35" w:name="X38fa0bef8d82855573efda19f2c5a1705255b3f"/>
    <w:p>
      <w:pPr>
        <w:pStyle w:val="Heading2"/>
      </w:pPr>
      <w:r>
        <w:t xml:space="preserve">Supplementary Table 9 | Evidence domains not pooled with primary observations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METSIM–HumanGEM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of 71 direct recoveries; plus-one empirical P=9.9999×10⁻⁶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 positive-control audit; nominations are knowledge 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CCLE reaction-resolved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FDR-significant state among 284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Candidate-specific model-system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UKB/BBJ summary-statistic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strict replicated row; no novel mutable-context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NSCLC isotope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expression or oncogenotype FDR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external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HumanGEM constraint 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stable and two unstable configured candidates in 1,000 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Model-relative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ST002081 temporal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R²=0.452; reverse R²=0.459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prediction not supported</w:t>
            </w:r>
          </w:p>
        </w:tc>
      </w:tr>
    </w:tbl>
    <w:bookmarkEnd w:id="35"/>
    <w:bookmarkStart w:id="36" w:name="Xc6d3a6347aa63ef2b56c57f5b5058590a679d85"/>
    <w:p>
      <w:pPr>
        <w:pStyle w:val="Heading2"/>
      </w:pPr>
      <w:r>
        <w:t xml:space="preserve">Supplementary Figure 1 | Factorized benchmark summary</w:t>
      </w:r>
    </w:p>
    <w:p>
      <w:pPr>
        <w:pStyle w:val="FirstParagraph"/>
      </w:pPr>
      <w:r>
        <w:t xml:space="preserve">The publication-synthesis figure compares the principal matched-null effects across evidence</w:t>
      </w:r>
      <w:r>
        <w:t xml:space="preserve"> </w:t>
      </w:r>
      <w:r>
        <w:t xml:space="preserve">domains. Effect definitions differ by benchmark and are labeled in the source data; they must not</w:t>
      </w:r>
      <w:r>
        <w:t xml:space="preserve"> </w:t>
      </w:r>
      <w:r>
        <w:t xml:space="preserve">be interpreted as a pooled meta-analytic effect. Source:</w:t>
      </w:r>
      <w:r>
        <w:t xml:space="preserve"> </w:t>
      </w:r>
      <w:r>
        <w:rPr>
          <w:rStyle w:val="VerbatimChar"/>
        </w:rPr>
        <w:t xml:space="preserve">artifacts/factorized-pathway-publication/factorized-pathway-benchmarks.png</w:t>
      </w:r>
      <w:r>
        <w:t xml:space="preserve">.</w:t>
      </w:r>
    </w:p>
    <w:bookmarkEnd w:id="36"/>
    <w:bookmarkStart w:id="37" w:name="supplementary-data-index"/>
    <w:p>
      <w:pPr>
        <w:pStyle w:val="Heading2"/>
      </w:pPr>
      <w:r>
        <w:t xml:space="preserve">Supplementary Data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artifacts/pathway-score-human-sensitivity/sensitivity-grid.csv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18-row human parameter grid with paired intervals and degree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artifacts/pathway-score-human-sensitivity/sensitivity-summary.csv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Cohort-level grid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artifacts/pathway-score-human-graph-mixing/null-distance-audit.csv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200-row graph movement and degree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artifacts/pathway-score-human-graph-mixing/mask-diversity-summary.csv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Per-panel uniqueness and pairwise null Jaccard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artifacts/pathway-score-ccle-sensitivity/setting-summary.csv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ten-setting CCLE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artifacts/pathway-score-ccle-sensitivity/model-metrics-grid.csv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for all six models in every CCLE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artifacts/pathway-score-ccle-null-ensemble/seed-summary.csv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20-seed stochastic-null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artifacts/pathway-score-ccle-null-ensemble/target-null-ensemble.csv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Target-level random and biological RMSE for every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artifacts/pathway-score-ccle-property-matched-null/seed-summary.csv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Degree- and coverage-matched null results and balance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artifacts/pathway-score-ccle-property-matched-null/target-null-ensemble.csv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Hard-null target-level RMSE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artifacts/pathway-score-ccle-reaction-cluster/target-effects-with-subsystem.csv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target-to-subsystem assignments and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artifacts/pathway-score-ccle-reaction-cluster/leave-one-subsystem-out.csv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leave-one-subsystem-out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artifacts/pathway-score-publication-figures/figure-source-index.csv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path and checksum for every main-figure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artifacts/pathway-score-publication-figures/manifest.json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implementation, configuration and output checksums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artifacts/pathway-score-mapping-supplement/human-lipid-feature-map.csv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feature eligibility, descriptors and hidden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artifacts/pathway-score-mapping-supplement/ccle-metabolite-map.csv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and rejected CCLE assay-to-HumanGEM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artifacts/pathway-score-mapping-supplement/ccle-gpr-map.csv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GPR signatures and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artifacts/pathway-score-mapping-supplement/ccle-target-feature-sets.csv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target-level feature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artifacts/pathway-score-mapping-supplement/mapping-qc-summary.csv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artifacts/factorized-pathway-publication/evidence-domain-summary.csv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roles and adjudications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artifacts/factorized-pathway-publication/claim-ledger.csv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claim decisions and 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artifacts/factorized-pathway-publication/manifest.json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 decision, source manifests and output checksums</w:t>
            </w:r>
          </w:p>
        </w:tc>
      </w:tr>
    </w:tbl>
    <w:bookmarkEnd w:id="37"/>
    <w:bookmarkStart w:id="38" w:name="supplementary-boundary-statement"/>
    <w:p>
      <w:pPr>
        <w:pStyle w:val="Heading2"/>
      </w:pPr>
      <w:r>
        <w:t xml:space="preserve">Supplementary boundary statement</w:t>
      </w:r>
    </w:p>
    <w:p>
      <w:pPr>
        <w:pStyle w:val="FirstParagraph"/>
      </w:pPr>
      <w:r>
        <w:t xml:space="preserve">The analyses qualify representations for hidden-measurement reconstruction and candidate</w:t>
      </w:r>
      <w:r>
        <w:t xml:space="preserve"> </w:t>
      </w:r>
      <w:r>
        <w:t xml:space="preserve">prioritization. They do not establish pathway activity, reaction direction, physiological flux,</w:t>
      </w:r>
      <w:r>
        <w:t xml:space="preserve"> </w:t>
      </w:r>
      <w:r>
        <w:t xml:space="preserve">causal genotype effects, diagnosis, treatment response, drug efficacy or same-person genomic</w:t>
      </w:r>
      <w:r>
        <w:t xml:space="preserve"> </w:t>
      </w:r>
      <w:r>
        <w:t xml:space="preserve">personalization.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2026-08-30T20:39:53Z</dcterms:created>
  <dcterms:modified xsi:type="dcterms:W3CDTF">2026-08-30T20:39:53Z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