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0"/>
        </w:rPr>
        <w:t>B6 Entegre Revizyon — Bounded Local U3 Universality Manuscript Patch</w:t>
      </w:r>
    </w:p>
    <w:p>
      <w:pPr>
        <w:jc w:val="center"/>
      </w:pPr>
      <w:r>
        <w:rPr>
          <w:rFonts w:ascii="Times New Roman" w:hAnsi="Times New Roman" w:eastAsia="Times New Roman"/>
          <w:i/>
          <w:sz w:val="20"/>
        </w:rPr>
        <w:t>Revised from: nihai-karar.docx</w:t>
      </w:r>
    </w:p>
    <w:p>
      <w:pPr>
        <w:pStyle w:val="Heading1"/>
      </w:pPr>
      <w:r>
        <w:rPr>
          <w:rFonts w:ascii="Times New Roman" w:hAnsi="Times New Roman" w:eastAsia="Times New Roman"/>
          <w:sz w:val="22"/>
        </w:rPr>
        <w:t>Revision Summary / Revizyon Özeti</w:t>
      </w:r>
    </w:p>
    <w:p>
      <w:pPr>
        <w:pStyle w:val="ListBullet"/>
        <w:spacing w:after="60"/>
      </w:pPr>
      <w:r>
        <w:rPr>
          <w:rFonts w:ascii="Times New Roman" w:hAnsi="Times New Roman" w:eastAsia="Times New Roman"/>
          <w:sz w:val="22"/>
        </w:rPr>
        <w:t>Bu revizyon, önceki yol haritasındaki evrensellik hedefini B6 sonuçlarına göre günceller.</w:t>
      </w:r>
    </w:p>
    <w:p>
      <w:pPr>
        <w:pStyle w:val="ListBullet"/>
        <w:spacing w:after="60"/>
      </w:pPr>
      <w:r>
        <w:rPr>
          <w:rFonts w:ascii="Times New Roman" w:hAnsi="Times New Roman" w:eastAsia="Times New Roman"/>
          <w:sz w:val="22"/>
        </w:rPr>
        <w:t>Global universality ve broad U4 universality iddiaları mevcut veriyle desteklenmediği için makale dilinden çıkarılmıştır.</w:t>
      </w:r>
    </w:p>
    <w:p>
      <w:pPr>
        <w:pStyle w:val="ListBullet"/>
        <w:spacing w:after="60"/>
      </w:pPr>
      <w:r>
        <w:rPr>
          <w:rFonts w:ascii="Times New Roman" w:hAnsi="Times New Roman" w:eastAsia="Times New Roman"/>
          <w:sz w:val="22"/>
        </w:rPr>
        <w:t>Ana iddia: validated tight U3 perturbation envelope içinde bounded local U3 universality.</w:t>
      </w:r>
    </w:p>
    <w:p>
      <w:pPr>
        <w:pStyle w:val="ListBullet"/>
        <w:spacing w:after="60"/>
      </w:pPr>
      <w:r>
        <w:rPr>
          <w:rFonts w:ascii="Times New Roman" w:hAnsi="Times New Roman" w:eastAsia="Times New Roman"/>
          <w:sz w:val="22"/>
        </w:rPr>
        <w:t>B5D ana pozitif kanıt olarak, B5E/B5F ise failure-boundary diagnostics olarak konumlandırılmıştır.</w:t>
      </w:r>
    </w:p>
    <w:p>
      <w:pPr>
        <w:pStyle w:val="ListBullet"/>
        <w:spacing w:after="60"/>
      </w:pPr>
      <w:r>
        <w:rPr>
          <w:rFonts w:ascii="Times New Roman" w:hAnsi="Times New Roman" w:eastAsia="Times New Roman"/>
          <w:sz w:val="22"/>
        </w:rPr>
        <w:t>Orijinal yol haritası, bu revizyonun sonunda arşiv eki olarak korunmuştur.</w:t>
      </w:r>
    </w:p>
    <w:p>
      <w:pPr>
        <w:pStyle w:val="Heading1"/>
      </w:pPr>
      <w:r>
        <w:rPr>
          <w:rFonts w:ascii="Times New Roman" w:hAnsi="Times New Roman" w:eastAsia="Times New Roman"/>
          <w:sz w:val="22"/>
        </w:rPr>
        <w:t>Updated Universality Position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Times New Roman" w:hAnsi="Times New Roman"/>
                <w:b/>
                <w:sz w:val="18"/>
              </w:rPr>
              <w:t>Level</w:t>
            </w:r>
          </w:p>
        </w:tc>
        <w:tc>
          <w:tcPr>
            <w:tcW w:type="dxa" w:w="3408"/>
          </w:tcPr>
          <w:p>
            <w:r>
              <w:rPr>
                <w:rFonts w:ascii="Times New Roman" w:hAnsi="Times New Roman"/>
                <w:b/>
                <w:sz w:val="18"/>
              </w:rPr>
              <w:t>Claim</w:t>
            </w:r>
          </w:p>
        </w:tc>
        <w:tc>
          <w:tcPr>
            <w:tcW w:type="dxa" w:w="3408"/>
          </w:tcPr>
          <w:p>
            <w:r>
              <w:rPr>
                <w:rFonts w:ascii="Times New Roman" w:hAnsi="Times New Roman"/>
                <w:b/>
                <w:sz w:val="18"/>
              </w:rPr>
              <w:t>Updated status after B6</w:t>
            </w:r>
          </w:p>
        </w:tc>
      </w:tr>
      <w:tr>
        <w:tc>
          <w:tcPr>
            <w:tcW w:type="dxa" w:w="3408"/>
          </w:tcPr>
          <w:p>
            <w:r>
              <w:rPr>
                <w:rFonts w:ascii="Times New Roman" w:hAnsi="Times New Roman"/>
                <w:sz w:val="18"/>
              </w:rPr>
              <w:t>U0</w:t>
            </w:r>
          </w:p>
        </w:tc>
        <w:tc>
          <w:tcPr>
            <w:tcW w:type="dxa" w:w="3408"/>
          </w:tcPr>
          <w:p>
            <w:r>
              <w:rPr>
                <w:rFonts w:ascii="Times New Roman" w:hAnsi="Times New Roman"/>
                <w:sz w:val="18"/>
              </w:rPr>
              <w:t>TAEM-event / proximity framework</w:t>
            </w:r>
          </w:p>
        </w:tc>
        <w:tc>
          <w:tcPr>
            <w:tcW w:type="dxa" w:w="3408"/>
          </w:tcPr>
          <w:p>
            <w:r>
              <w:rPr>
                <w:rFonts w:ascii="Times New Roman" w:hAnsi="Times New Roman"/>
                <w:sz w:val="18"/>
              </w:rPr>
              <w:t>Achieved</w:t>
            </w:r>
          </w:p>
        </w:tc>
      </w:tr>
      <w:tr>
        <w:tc>
          <w:tcPr>
            <w:tcW w:type="dxa" w:w="3408"/>
          </w:tcPr>
          <w:p>
            <w:r>
              <w:rPr>
                <w:rFonts w:ascii="Times New Roman" w:hAnsi="Times New Roman"/>
                <w:sz w:val="18"/>
              </w:rPr>
              <w:t>U1</w:t>
            </w:r>
          </w:p>
        </w:tc>
        <w:tc>
          <w:tcPr>
            <w:tcW w:type="dxa" w:w="3408"/>
          </w:tcPr>
          <w:p>
            <w:r>
              <w:rPr>
                <w:rFonts w:ascii="Times New Roman" w:hAnsi="Times New Roman"/>
                <w:sz w:val="18"/>
              </w:rPr>
              <w:t>Single-vehicle clean TAEM success</w:t>
            </w:r>
          </w:p>
        </w:tc>
        <w:tc>
          <w:tcPr>
            <w:tcW w:type="dxa" w:w="3408"/>
          </w:tcPr>
          <w:p>
            <w:r>
              <w:rPr>
                <w:rFonts w:ascii="Times New Roman" w:hAnsi="Times New Roman"/>
                <w:sz w:val="18"/>
              </w:rPr>
              <w:t>Achieved</w:t>
            </w:r>
          </w:p>
        </w:tc>
      </w:tr>
      <w:tr>
        <w:tc>
          <w:tcPr>
            <w:tcW w:type="dxa" w:w="3408"/>
          </w:tcPr>
          <w:p>
            <w:r>
              <w:rPr>
                <w:rFonts w:ascii="Times New Roman" w:hAnsi="Times New Roman"/>
                <w:sz w:val="18"/>
              </w:rPr>
              <w:t>U2</w:t>
            </w:r>
          </w:p>
        </w:tc>
        <w:tc>
          <w:tcPr>
            <w:tcW w:type="dxa" w:w="3408"/>
          </w:tcPr>
          <w:p>
            <w:r>
              <w:rPr>
                <w:rFonts w:ascii="Times New Roman" w:hAnsi="Times New Roman"/>
                <w:sz w:val="18"/>
              </w:rPr>
              <w:t>Same-target role-distinct multi-route success</w:t>
            </w:r>
          </w:p>
        </w:tc>
        <w:tc>
          <w:tcPr>
            <w:tcW w:type="dxa" w:w="3408"/>
          </w:tcPr>
          <w:p>
            <w:r>
              <w:rPr>
                <w:rFonts w:ascii="Times New Roman" w:hAnsi="Times New Roman"/>
                <w:sz w:val="18"/>
              </w:rPr>
              <w:t>Achieved in bounded Phase-2 transfer evidence</w:t>
            </w:r>
          </w:p>
        </w:tc>
      </w:tr>
      <w:tr>
        <w:tc>
          <w:tcPr>
            <w:tcW w:type="dxa" w:w="3408"/>
          </w:tcPr>
          <w:p>
            <w:r>
              <w:rPr>
                <w:rFonts w:ascii="Times New Roman" w:hAnsi="Times New Roman"/>
                <w:sz w:val="18"/>
              </w:rPr>
              <w:t>U3</w:t>
            </w:r>
          </w:p>
        </w:tc>
        <w:tc>
          <w:tcPr>
            <w:tcW w:type="dxa" w:w="3408"/>
          </w:tcPr>
          <w:p>
            <w:r>
              <w:rPr>
                <w:rFonts w:ascii="Times New Roman" w:hAnsi="Times New Roman"/>
                <w:sz w:val="18"/>
              </w:rPr>
              <w:t>Robustness under tight local perturbation envelope</w:t>
            </w:r>
          </w:p>
        </w:tc>
        <w:tc>
          <w:tcPr>
            <w:tcW w:type="dxa" w:w="3408"/>
          </w:tcPr>
          <w:p>
            <w:r>
              <w:rPr>
                <w:rFonts w:ascii="Times New Roman" w:hAnsi="Times New Roman"/>
                <w:sz w:val="18"/>
              </w:rPr>
              <w:t>Supported by B5D: 49/50 cases and 149/150 vehicles</w:t>
            </w:r>
          </w:p>
        </w:tc>
      </w:tr>
      <w:tr>
        <w:tc>
          <w:tcPr>
            <w:tcW w:type="dxa" w:w="3408"/>
          </w:tcPr>
          <w:p>
            <w:r>
              <w:rPr>
                <w:rFonts w:ascii="Times New Roman" w:hAnsi="Times New Roman"/>
                <w:sz w:val="18"/>
              </w:rPr>
              <w:t>U4</w:t>
            </w:r>
          </w:p>
        </w:tc>
        <w:tc>
          <w:tcPr>
            <w:tcW w:type="dxa" w:w="3408"/>
          </w:tcPr>
          <w:p>
            <w:r>
              <w:rPr>
                <w:rFonts w:ascii="Times New Roman" w:hAnsi="Times New Roman"/>
                <w:sz w:val="18"/>
              </w:rPr>
              <w:t>Global / broad universality across vehicles and scenarios</w:t>
            </w:r>
          </w:p>
        </w:tc>
        <w:tc>
          <w:tcPr>
            <w:tcW w:type="dxa" w:w="3408"/>
          </w:tcPr>
          <w:p>
            <w:r>
              <w:rPr>
                <w:rFonts w:ascii="Times New Roman" w:hAnsi="Times New Roman"/>
                <w:sz w:val="18"/>
              </w:rPr>
              <w:t>Not claimed; deferred to future terminal-capture refinement</w:t>
            </w:r>
          </w:p>
        </w:tc>
      </w:tr>
    </w:tbl>
    <w:p>
      <w:pPr>
        <w:pStyle w:val="Heading1"/>
      </w:pPr>
      <w:r>
        <w:rPr>
          <w:rFonts w:ascii="Times New Roman" w:hAnsi="Times New Roman" w:eastAsia="Times New Roman"/>
          <w:sz w:val="22"/>
        </w:rPr>
        <w:t>A) Revised Abstract</w:t>
      </w:r>
    </w:p>
    <w:p>
      <w:pPr>
        <w:spacing w:after="120" w:line="259" w:lineRule="auto"/>
      </w:pPr>
      <w:r>
        <w:rPr>
          <w:rFonts w:ascii="Times New Roman" w:hAnsi="Times New Roman" w:eastAsia="Times New Roman"/>
          <w:sz w:val="22"/>
        </w:rPr>
        <w:t>This study presents a multi-vehicle entry guidance validation framework for terminal area energy management (TAEM) closure under bounded initial perturbations. The objective is not to claim unrestricted global universality, but to establish a reproducible and explicitly bounded local-universality result within a validated U3 perturbation envelope. The proposed framework was assessed through a staged Phase-2 validation campaign involving nominal transfer, role-distinct multi-vehicle transfer, heading-spread sensitivity, tolerance sensitivity, deterministic perturbation grids, and long-propagation failure-boundary diagnostics. The strongest positive evidence was obtained in the B5D tight local-envelope campaign, where the guidance framework achieved 49 successful cases out of 50 and 149 successful vehicle-level TAEM closures out of 150. These results support a bounded local U3 universality claim within the tested perturbation domain. Additional B5E and B5F diagnostic campaigns showed that the mis0-left corner remains outside the currently certified envelope, indicating a terminal-capture or phase-transition limitation rather than a simple path-shaping parameter issue. The study therefore provides both a high-success bounded validation envelope and an explicit failure-boundary characterization, offering a reproducible basis for future refinement toward broader U4 or global universality.</w:t>
      </w:r>
    </w:p>
    <w:p>
      <w:pPr>
        <w:pStyle w:val="Heading1"/>
      </w:pPr>
      <w:r>
        <w:rPr>
          <w:rFonts w:ascii="Times New Roman" w:hAnsi="Times New Roman" w:eastAsia="Times New Roman"/>
          <w:sz w:val="22"/>
        </w:rPr>
        <w:t>B) Revised Contributions</w:t>
      </w:r>
    </w:p>
    <w:p>
      <w:pPr>
        <w:spacing w:after="120" w:line="259" w:lineRule="auto"/>
      </w:pPr>
      <w:r>
        <w:rPr>
          <w:rFonts w:ascii="Times New Roman" w:hAnsi="Times New Roman" w:eastAsia="Times New Roman"/>
          <w:sz w:val="22"/>
        </w:rPr>
        <w:t>1. A staged multi-vehicle TAEM validation framework is developed to evaluate guidance performance under role-distinct vehicle assignments, heading dispersion, tolerance sensitivity, and bounded perturbation envelopes.</w:t>
      </w:r>
    </w:p>
    <w:p>
      <w:pPr>
        <w:spacing w:after="120" w:line="259" w:lineRule="auto"/>
      </w:pPr>
      <w:r>
        <w:rPr>
          <w:rFonts w:ascii="Times New Roman" w:hAnsi="Times New Roman" w:eastAsia="Times New Roman"/>
          <w:sz w:val="22"/>
        </w:rPr>
        <w:t>2. A bounded local U3 universality result is demonstrated within a validated tight perturbation envelope. In the B5D campaign, the proposed framework achieved 49/50 case-level success and 149/150 vehicle-level success.</w:t>
      </w:r>
    </w:p>
    <w:p>
      <w:pPr>
        <w:spacing w:after="120" w:line="259" w:lineRule="auto"/>
      </w:pPr>
      <w:r>
        <w:rPr>
          <w:rFonts w:ascii="Times New Roman" w:hAnsi="Times New Roman" w:eastAsia="Times New Roman"/>
          <w:sz w:val="22"/>
        </w:rPr>
        <w:t>3. A reproducible success-latch and dwell-based TAEM event interpretation is adopted, allowing the guidance outcome to be assessed using consistent terminal closure criteria rather than a single instantaneous threshold.</w:t>
      </w:r>
    </w:p>
    <w:p>
      <w:pPr>
        <w:spacing w:after="120" w:line="259" w:lineRule="auto"/>
      </w:pPr>
      <w:r>
        <w:rPr>
          <w:rFonts w:ascii="Times New Roman" w:hAnsi="Times New Roman" w:eastAsia="Times New Roman"/>
          <w:sz w:val="22"/>
        </w:rPr>
        <w:t>4. Failure-boundary diagnostics are explicitly reported. The B5E and B5F campaigns identify the mis0-left corner as a current unresolved boundary condition, showing that broader U4 or global universality requires additional terminal-capture or phase-transition refinement.</w:t>
      </w:r>
    </w:p>
    <w:p>
      <w:pPr>
        <w:spacing w:after="120" w:line="259" w:lineRule="auto"/>
      </w:pPr>
      <w:r>
        <w:rPr>
          <w:rFonts w:ascii="Times New Roman" w:hAnsi="Times New Roman" w:eastAsia="Times New Roman"/>
          <w:sz w:val="22"/>
        </w:rPr>
        <w:t>5. The study avoids overclaiming universality by separating the certified tight local U3 envelope from the unresolved corner-case regime, thereby providing a transparent and reproducible domain of validity for the proposed guidance framework.</w:t>
      </w:r>
    </w:p>
    <w:p>
      <w:pPr>
        <w:pStyle w:val="Heading1"/>
      </w:pPr>
      <w:r>
        <w:rPr>
          <w:rFonts w:ascii="Times New Roman" w:hAnsi="Times New Roman" w:eastAsia="Times New Roman"/>
          <w:sz w:val="22"/>
        </w:rPr>
        <w:t>C) Results Section — New Subsection</w:t>
      </w:r>
    </w:p>
    <w:p>
      <w:pPr>
        <w:pStyle w:val="Heading2"/>
      </w:pPr>
      <w:r>
        <w:rPr>
          <w:rFonts w:ascii="Times New Roman" w:hAnsi="Times New Roman" w:eastAsia="Times New Roman"/>
          <w:sz w:val="22"/>
        </w:rPr>
        <w:t>Phase-2 bounded local universality and failure-boundary evidence</w:t>
      </w:r>
    </w:p>
    <w:p>
      <w:pPr>
        <w:spacing w:after="120" w:line="259" w:lineRule="auto"/>
      </w:pPr>
      <w:r>
        <w:rPr>
          <w:rFonts w:ascii="Times New Roman" w:hAnsi="Times New Roman" w:eastAsia="Times New Roman"/>
          <w:sz w:val="22"/>
        </w:rPr>
        <w:t>The Phase-2 validation campaign was designed to distinguish between a certified local-universality envelope and broader, uncertified corner-case behavior. The B5D campaign represents the primary positive validation evidence. Within the tight local U3 perturbation envelope, the guidance framework achieved 49 successful cases out of 50, corresponding to a 98.0% case-level success rate. At the vehicle level, 149 successful TAEM closures were obtained out of 150 vehicle trajectories, corresponding to a 99.33% vehicle-level success rate. These results support a bounded local U3 universality claim for the tested perturbation domain.</w:t>
      </w:r>
    </w:p>
    <w:p>
      <w:pPr>
        <w:spacing w:after="120" w:line="259" w:lineRule="auto"/>
      </w:pPr>
      <w:r>
        <w:rPr>
          <w:rFonts w:ascii="Times New Roman" w:hAnsi="Times New Roman" w:eastAsia="Times New Roman"/>
          <w:sz w:val="22"/>
        </w:rPr>
        <w:t>However, the subsequent B5E and B5F diagnostic campaigns did not support extending this claim to a broader U4-style or global universality regime. The B5E campaign, which tested mis0-left corner robustness through bounded path-shaping and fade-window refinements, produced no strict TAEM success over 30 diagnostic cases. The dominant failure mode was FAIL_TAEM_ERROR, indicating that simple psi-bias or fade-window adjustment was insufficient to recover the mis0-left corner. The B5F campaign further examined long-propagation reachability and PathSpec activation for the same corner. It produced no strict TAEM success over four long-propagation/pathspec-audit cases, with a 75% timeout rate and one range-closing diagnostic case that still did not reach a TAEM latch.</w:t>
      </w:r>
    </w:p>
    <w:p>
      <w:pPr>
        <w:spacing w:after="120" w:line="259" w:lineRule="auto"/>
      </w:pPr>
      <w:r>
        <w:rPr>
          <w:rFonts w:ascii="Times New Roman" w:hAnsi="Times New Roman" w:eastAsia="Times New Roman"/>
          <w:sz w:val="22"/>
        </w:rPr>
        <w:t>Therefore, B5E and B5F are interpreted as failure-boundary diagnostics rather than as negative evidence against the validated B5D local envelope. The combined evidence defines a bounded domain of validity: the proposed guidance framework is strongly supported inside the tight U3 envelope, while the mis0-left corner remains outside the currently certified region.</w:t>
      </w:r>
    </w:p>
    <w:p>
      <w:pPr>
        <w:pStyle w:val="Heading1"/>
      </w:pPr>
      <w:r>
        <w:rPr>
          <w:rFonts w:ascii="Times New Roman" w:hAnsi="Times New Roman" w:eastAsia="Times New Roman"/>
          <w:sz w:val="22"/>
        </w:rPr>
        <w:t>D) Results Table</w:t>
      </w:r>
    </w:p>
    <w:p>
      <w:pPr>
        <w:spacing w:after="120" w:line="259" w:lineRule="auto"/>
      </w:pPr>
      <w:r>
        <w:rPr>
          <w:rFonts w:ascii="Times New Roman" w:hAnsi="Times New Roman" w:eastAsia="Times New Roman"/>
          <w:sz w:val="22"/>
        </w:rPr>
        <w:t>Table X. Phase-2 bounded universality and failure-boundary evidence.</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944"/>
          </w:tcPr>
          <w:p>
            <w:pPr>
              <w:spacing w:after="0"/>
            </w:pPr>
            <w:r>
              <w:rPr>
                <w:rFonts w:ascii="Times New Roman" w:hAnsi="Times New Roman"/>
                <w:b/>
                <w:sz w:val="16"/>
              </w:rPr>
              <w:t>Campaign</w:t>
            </w:r>
          </w:p>
        </w:tc>
        <w:tc>
          <w:tcPr>
            <w:tcW w:type="dxa" w:w="2088"/>
          </w:tcPr>
          <w:p>
            <w:pPr>
              <w:spacing w:after="0"/>
            </w:pPr>
            <w:r>
              <w:rPr>
                <w:rFonts w:ascii="Times New Roman" w:hAnsi="Times New Roman"/>
                <w:b/>
                <w:sz w:val="16"/>
              </w:rPr>
              <w:t>Purpose</w:t>
            </w:r>
          </w:p>
        </w:tc>
        <w:tc>
          <w:tcPr>
            <w:tcW w:type="dxa" w:w="1440"/>
          </w:tcPr>
          <w:p>
            <w:pPr>
              <w:spacing w:after="0"/>
            </w:pPr>
            <w:r>
              <w:rPr>
                <w:rFonts w:ascii="Times New Roman" w:hAnsi="Times New Roman"/>
                <w:b/>
                <w:sz w:val="16"/>
              </w:rPr>
              <w:t>Cases / vehicles</w:t>
            </w:r>
          </w:p>
        </w:tc>
        <w:tc>
          <w:tcPr>
            <w:tcW w:type="dxa" w:w="1440"/>
          </w:tcPr>
          <w:p>
            <w:pPr>
              <w:spacing w:after="0"/>
            </w:pPr>
            <w:r>
              <w:rPr>
                <w:rFonts w:ascii="Times New Roman" w:hAnsi="Times New Roman"/>
                <w:b/>
                <w:sz w:val="16"/>
              </w:rPr>
              <w:t>Strict success</w:t>
            </w:r>
          </w:p>
        </w:tc>
        <w:tc>
          <w:tcPr>
            <w:tcW w:type="dxa" w:w="1152"/>
          </w:tcPr>
          <w:p>
            <w:pPr>
              <w:spacing w:after="0"/>
            </w:pPr>
            <w:r>
              <w:rPr>
                <w:rFonts w:ascii="Times New Roman" w:hAnsi="Times New Roman"/>
                <w:b/>
                <w:sz w:val="16"/>
              </w:rPr>
              <w:t>Timeout rate</w:t>
            </w:r>
          </w:p>
        </w:tc>
        <w:tc>
          <w:tcPr>
            <w:tcW w:type="dxa" w:w="1800"/>
          </w:tcPr>
          <w:p>
            <w:pPr>
              <w:spacing w:after="0"/>
            </w:pPr>
            <w:r>
              <w:rPr>
                <w:rFonts w:ascii="Times New Roman" w:hAnsi="Times New Roman"/>
                <w:b/>
                <w:sz w:val="16"/>
              </w:rPr>
              <w:t>Dominant outcome</w:t>
            </w:r>
          </w:p>
        </w:tc>
        <w:tc>
          <w:tcPr>
            <w:tcW w:type="dxa" w:w="2448"/>
          </w:tcPr>
          <w:p>
            <w:pPr>
              <w:spacing w:after="0"/>
            </w:pPr>
            <w:r>
              <w:rPr>
                <w:rFonts w:ascii="Times New Roman" w:hAnsi="Times New Roman"/>
                <w:b/>
                <w:sz w:val="16"/>
              </w:rPr>
              <w:t>Interpretation</w:t>
            </w:r>
          </w:p>
        </w:tc>
      </w:tr>
      <w:tr>
        <w:tc>
          <w:tcPr>
            <w:tcW w:type="dxa" w:w="1944"/>
          </w:tcPr>
          <w:p>
            <w:pPr>
              <w:spacing w:after="0"/>
            </w:pPr>
            <w:r>
              <w:rPr>
                <w:rFonts w:ascii="Times New Roman" w:hAnsi="Times New Roman"/>
                <w:sz w:val="16"/>
              </w:rPr>
              <w:t>B5D tight local U3 envelope</w:t>
            </w:r>
          </w:p>
        </w:tc>
        <w:tc>
          <w:tcPr>
            <w:tcW w:type="dxa" w:w="2088"/>
          </w:tcPr>
          <w:p>
            <w:pPr>
              <w:spacing w:after="0"/>
            </w:pPr>
            <w:r>
              <w:rPr>
                <w:rFonts w:ascii="Times New Roman" w:hAnsi="Times New Roman"/>
                <w:sz w:val="16"/>
              </w:rPr>
              <w:t>Positive bounded-envelope validation</w:t>
            </w:r>
          </w:p>
        </w:tc>
        <w:tc>
          <w:tcPr>
            <w:tcW w:type="dxa" w:w="1440"/>
          </w:tcPr>
          <w:p>
            <w:pPr>
              <w:spacing w:after="0"/>
            </w:pPr>
            <w:r>
              <w:rPr>
                <w:rFonts w:ascii="Times New Roman" w:hAnsi="Times New Roman"/>
                <w:sz w:val="16"/>
              </w:rPr>
              <w:t>50 cases / 150 vehicles</w:t>
            </w:r>
          </w:p>
        </w:tc>
        <w:tc>
          <w:tcPr>
            <w:tcW w:type="dxa" w:w="1440"/>
          </w:tcPr>
          <w:p>
            <w:pPr>
              <w:spacing w:after="0"/>
            </w:pPr>
            <w:r>
              <w:rPr>
                <w:rFonts w:ascii="Times New Roman" w:hAnsi="Times New Roman"/>
                <w:sz w:val="16"/>
              </w:rPr>
              <w:t>49/50 cases; 149/150 vehicles</w:t>
            </w:r>
          </w:p>
        </w:tc>
        <w:tc>
          <w:tcPr>
            <w:tcW w:type="dxa" w:w="1152"/>
          </w:tcPr>
          <w:p>
            <w:pPr>
              <w:spacing w:after="0"/>
            </w:pPr>
            <w:r>
              <w:rPr>
                <w:rFonts w:ascii="Times New Roman" w:hAnsi="Times New Roman"/>
                <w:sz w:val="16"/>
              </w:rPr>
              <w:t>0%</w:t>
            </w:r>
          </w:p>
        </w:tc>
        <w:tc>
          <w:tcPr>
            <w:tcW w:type="dxa" w:w="1800"/>
          </w:tcPr>
          <w:p>
            <w:pPr>
              <w:spacing w:after="0"/>
            </w:pPr>
            <w:r>
              <w:rPr>
                <w:rFonts w:ascii="Times New Roman" w:hAnsi="Times New Roman"/>
                <w:sz w:val="16"/>
              </w:rPr>
              <w:t>Local envelope supported</w:t>
            </w:r>
          </w:p>
        </w:tc>
        <w:tc>
          <w:tcPr>
            <w:tcW w:type="dxa" w:w="2448"/>
          </w:tcPr>
          <w:p>
            <w:pPr>
              <w:spacing w:after="0"/>
            </w:pPr>
            <w:r>
              <w:rPr>
                <w:rFonts w:ascii="Times New Roman" w:hAnsi="Times New Roman"/>
                <w:sz w:val="16"/>
              </w:rPr>
              <w:t>Main evidence for bounded local U3 universality</w:t>
            </w:r>
          </w:p>
        </w:tc>
      </w:tr>
      <w:tr>
        <w:tc>
          <w:tcPr>
            <w:tcW w:type="dxa" w:w="1944"/>
          </w:tcPr>
          <w:p>
            <w:pPr>
              <w:spacing w:after="0"/>
            </w:pPr>
            <w:r>
              <w:rPr>
                <w:rFonts w:ascii="Times New Roman" w:hAnsi="Times New Roman"/>
                <w:sz w:val="16"/>
              </w:rPr>
              <w:t>B5E mis0 corner bounded diagnostic</w:t>
            </w:r>
          </w:p>
        </w:tc>
        <w:tc>
          <w:tcPr>
            <w:tcW w:type="dxa" w:w="2088"/>
          </w:tcPr>
          <w:p>
            <w:pPr>
              <w:spacing w:after="0"/>
            </w:pPr>
            <w:r>
              <w:rPr>
                <w:rFonts w:ascii="Times New Roman" w:hAnsi="Times New Roman"/>
                <w:sz w:val="16"/>
              </w:rPr>
              <w:t>Path-shaping and fade-window refinement test</w:t>
            </w:r>
          </w:p>
        </w:tc>
        <w:tc>
          <w:tcPr>
            <w:tcW w:type="dxa" w:w="1440"/>
          </w:tcPr>
          <w:p>
            <w:pPr>
              <w:spacing w:after="0"/>
            </w:pPr>
            <w:r>
              <w:rPr>
                <w:rFonts w:ascii="Times New Roman" w:hAnsi="Times New Roman"/>
                <w:sz w:val="16"/>
              </w:rPr>
              <w:t>30 cases</w:t>
            </w:r>
          </w:p>
        </w:tc>
        <w:tc>
          <w:tcPr>
            <w:tcW w:type="dxa" w:w="1440"/>
          </w:tcPr>
          <w:p>
            <w:pPr>
              <w:spacing w:after="0"/>
            </w:pPr>
            <w:r>
              <w:rPr>
                <w:rFonts w:ascii="Times New Roman" w:hAnsi="Times New Roman"/>
                <w:sz w:val="16"/>
              </w:rPr>
              <w:t>0/30 strict pass</w:t>
            </w:r>
          </w:p>
        </w:tc>
        <w:tc>
          <w:tcPr>
            <w:tcW w:type="dxa" w:w="1152"/>
          </w:tcPr>
          <w:p>
            <w:pPr>
              <w:spacing w:after="0"/>
            </w:pPr>
            <w:r>
              <w:rPr>
                <w:rFonts w:ascii="Times New Roman" w:hAnsi="Times New Roman"/>
                <w:sz w:val="16"/>
              </w:rPr>
              <w:t>0%</w:t>
            </w:r>
          </w:p>
        </w:tc>
        <w:tc>
          <w:tcPr>
            <w:tcW w:type="dxa" w:w="1800"/>
          </w:tcPr>
          <w:p>
            <w:pPr>
              <w:spacing w:after="0"/>
            </w:pPr>
            <w:r>
              <w:rPr>
                <w:rFonts w:ascii="Times New Roman" w:hAnsi="Times New Roman"/>
                <w:sz w:val="16"/>
              </w:rPr>
              <w:t>FAIL_TAEM_ERROR</w:t>
            </w:r>
          </w:p>
        </w:tc>
        <w:tc>
          <w:tcPr>
            <w:tcW w:type="dxa" w:w="2448"/>
          </w:tcPr>
          <w:p>
            <w:pPr>
              <w:spacing w:after="0"/>
            </w:pPr>
            <w:r>
              <w:rPr>
                <w:rFonts w:ascii="Times New Roman" w:hAnsi="Times New Roman"/>
                <w:sz w:val="16"/>
              </w:rPr>
              <w:t>mis0-left corner not recovered by psi-bias/fade refinement</w:t>
            </w:r>
          </w:p>
        </w:tc>
      </w:tr>
      <w:tr>
        <w:tc>
          <w:tcPr>
            <w:tcW w:type="dxa" w:w="1944"/>
          </w:tcPr>
          <w:p>
            <w:pPr>
              <w:spacing w:after="0"/>
            </w:pPr>
            <w:r>
              <w:rPr>
                <w:rFonts w:ascii="Times New Roman" w:hAnsi="Times New Roman"/>
                <w:sz w:val="16"/>
              </w:rPr>
              <w:t>B5F mis0 long-propagation and PathSpec audit</w:t>
            </w:r>
          </w:p>
        </w:tc>
        <w:tc>
          <w:tcPr>
            <w:tcW w:type="dxa" w:w="2088"/>
          </w:tcPr>
          <w:p>
            <w:pPr>
              <w:spacing w:after="0"/>
            </w:pPr>
            <w:r>
              <w:rPr>
                <w:rFonts w:ascii="Times New Roman" w:hAnsi="Times New Roman"/>
                <w:sz w:val="16"/>
              </w:rPr>
              <w:t>Reachability and PathSpec activation diagnostic</w:t>
            </w:r>
          </w:p>
        </w:tc>
        <w:tc>
          <w:tcPr>
            <w:tcW w:type="dxa" w:w="1440"/>
          </w:tcPr>
          <w:p>
            <w:pPr>
              <w:spacing w:after="0"/>
            </w:pPr>
            <w:r>
              <w:rPr>
                <w:rFonts w:ascii="Times New Roman" w:hAnsi="Times New Roman"/>
                <w:sz w:val="16"/>
              </w:rPr>
              <w:t>4 cases</w:t>
            </w:r>
          </w:p>
        </w:tc>
        <w:tc>
          <w:tcPr>
            <w:tcW w:type="dxa" w:w="1440"/>
          </w:tcPr>
          <w:p>
            <w:pPr>
              <w:spacing w:after="0"/>
            </w:pPr>
            <w:r>
              <w:rPr>
                <w:rFonts w:ascii="Times New Roman" w:hAnsi="Times New Roman"/>
                <w:sz w:val="16"/>
              </w:rPr>
              <w:t>0/4 strict pass</w:t>
            </w:r>
          </w:p>
        </w:tc>
        <w:tc>
          <w:tcPr>
            <w:tcW w:type="dxa" w:w="1152"/>
          </w:tcPr>
          <w:p>
            <w:pPr>
              <w:spacing w:after="0"/>
            </w:pPr>
            <w:r>
              <w:rPr>
                <w:rFonts w:ascii="Times New Roman" w:hAnsi="Times New Roman"/>
                <w:sz w:val="16"/>
              </w:rPr>
              <w:t>75%</w:t>
            </w:r>
          </w:p>
        </w:tc>
        <w:tc>
          <w:tcPr>
            <w:tcW w:type="dxa" w:w="1800"/>
          </w:tcPr>
          <w:p>
            <w:pPr>
              <w:spacing w:after="0"/>
            </w:pPr>
            <w:r>
              <w:rPr>
                <w:rFonts w:ascii="Times New Roman" w:hAnsi="Times New Roman"/>
                <w:sz w:val="16"/>
              </w:rPr>
              <w:t>TIMEOUT_NO_CSV dominant; one range-closing diagnostic case</w:t>
            </w:r>
          </w:p>
        </w:tc>
        <w:tc>
          <w:tcPr>
            <w:tcW w:type="dxa" w:w="2448"/>
          </w:tcPr>
          <w:p>
            <w:pPr>
              <w:spacing w:after="0"/>
            </w:pPr>
            <w:r>
              <w:rPr>
                <w:rFonts w:ascii="Times New Roman" w:hAnsi="Times New Roman"/>
                <w:sz w:val="16"/>
              </w:rPr>
              <w:t>Failure-boundary evidence; terminal-capture/phase-transition refinement required</w:t>
            </w:r>
          </w:p>
        </w:tc>
      </w:tr>
    </w:tbl>
    <w:p>
      <w:pPr>
        <w:spacing w:after="120" w:line="259" w:lineRule="auto"/>
      </w:pPr>
      <w:r>
        <w:rPr>
          <w:rFonts w:ascii="Times New Roman" w:hAnsi="Times New Roman" w:eastAsia="Times New Roman"/>
          <w:sz w:val="22"/>
        </w:rPr>
        <w:t>Note. B5D is used as the positive bounded local-universality evidence. B5E and B5F are retained as boundary diagnostics and are not interpreted as invalidating the B5D tight-envelope result. Strict success denotes a latched TAEM closure satisfying the adopted dwell/event criteria.</w:t>
      </w:r>
    </w:p>
    <w:p>
      <w:pPr>
        <w:pStyle w:val="Heading1"/>
      </w:pPr>
      <w:r>
        <w:rPr>
          <w:rFonts w:ascii="Times New Roman" w:hAnsi="Times New Roman" w:eastAsia="Times New Roman"/>
          <w:sz w:val="22"/>
        </w:rPr>
        <w:t>E) Results Table Follow-Up Paragraph</w:t>
      </w:r>
    </w:p>
    <w:p>
      <w:pPr>
        <w:spacing w:after="120" w:line="259" w:lineRule="auto"/>
      </w:pPr>
      <w:r>
        <w:rPr>
          <w:rFonts w:ascii="Times New Roman" w:hAnsi="Times New Roman" w:eastAsia="Times New Roman"/>
          <w:sz w:val="22"/>
        </w:rPr>
        <w:t>The evidence in Table X shows that the validated universality claim is local and bounded rather than global. The B5D campaign demonstrates that the guidance architecture can consistently achieve TAEM closure within the tight U3 envelope. In contrast, the B5E and B5F diagnostics identify the mis0-left corner as outside the currently certified domain. This distinction prevents overstatement of the method: the present evidence supports bounded local U3 universality, but it does not justify a global or broad U4 universality claim.</w:t>
      </w:r>
    </w:p>
    <w:p>
      <w:pPr>
        <w:pStyle w:val="Heading1"/>
      </w:pPr>
      <w:r>
        <w:rPr>
          <w:rFonts w:ascii="Times New Roman" w:hAnsi="Times New Roman" w:eastAsia="Times New Roman"/>
          <w:sz w:val="22"/>
        </w:rPr>
        <w:t>F) Discussion Section — New Subsection</w:t>
      </w:r>
    </w:p>
    <w:p>
      <w:pPr>
        <w:pStyle w:val="Heading2"/>
      </w:pPr>
      <w:r>
        <w:rPr>
          <w:rFonts w:ascii="Times New Roman" w:hAnsi="Times New Roman" w:eastAsia="Times New Roman"/>
          <w:sz w:val="22"/>
        </w:rPr>
        <w:t>Interpretation of bounded universality and failure-boundary behavior</w:t>
      </w:r>
    </w:p>
    <w:p>
      <w:pPr>
        <w:spacing w:after="120" w:line="259" w:lineRule="auto"/>
      </w:pPr>
      <w:r>
        <w:rPr>
          <w:rFonts w:ascii="Times New Roman" w:hAnsi="Times New Roman" w:eastAsia="Times New Roman"/>
          <w:sz w:val="22"/>
        </w:rPr>
        <w:t>The Phase-2 results should be interpreted as evidence of bounded local universality rather than unrestricted global universality. The distinction is essential. The high success rate obtained in B5D shows that the guidance law is robust within a tight and explicitly defined U3 perturbation envelope. This is a meaningful result because the validation was performed at both the case level and the vehicle level, yielding 49/50 successful cases and 149/150 successful vehicle closures.</w:t>
      </w:r>
    </w:p>
    <w:p>
      <w:pPr>
        <w:spacing w:after="120" w:line="259" w:lineRule="auto"/>
      </w:pPr>
      <w:r>
        <w:rPr>
          <w:rFonts w:ascii="Times New Roman" w:hAnsi="Times New Roman" w:eastAsia="Times New Roman"/>
          <w:sz w:val="22"/>
        </w:rPr>
        <w:t>At the same time, the B5E and B5F outcomes show that the current formulation should not be generalized beyond the validated envelope. The mis0-left corner remained unresolved despite bounded path-shaping refinements and longer propagation diagnostics. In B5E, all 30 diagnostic cases failed to produce a strict TAEM latch, and the dominant outcome was FAIL_TAEM_ERROR. In B5F, no strict TAEM success was obtained across four long-propagation/pathspec-audit cases; although one case showed substantial range closure, it did not transition into a successful TAEM event. These results indicate that the limiting mechanism is not merely a static route-shaping parameter choice. Instead, the unresolved corner points to a terminal-capture or guidance phase-transition boundary.</w:t>
      </w:r>
    </w:p>
    <w:p>
      <w:pPr>
        <w:spacing w:after="120" w:line="259" w:lineRule="auto"/>
      </w:pPr>
      <w:r>
        <w:rPr>
          <w:rFonts w:ascii="Times New Roman" w:hAnsi="Times New Roman" w:eastAsia="Times New Roman"/>
          <w:sz w:val="22"/>
        </w:rPr>
        <w:t>Therefore, the negative B5E/B5F results do not invalidate the B5D envelope result. Rather, they define the boundary of the currently certified guidance domain. This interpretation is preferable to an unrestricted universality claim because it explicitly separates the validated operating envelope from the unresolved corner-case regime. From a design perspective, the next technical extension should focus on a dedicated terminal-capture or phase-transition refinement for the mis0-left corner before attempting to expand the claim toward broader U4 or global universality.</w:t>
      </w:r>
    </w:p>
    <w:p>
      <w:pPr>
        <w:pStyle w:val="Heading1"/>
      </w:pPr>
      <w:r>
        <w:rPr>
          <w:rFonts w:ascii="Times New Roman" w:hAnsi="Times New Roman" w:eastAsia="Times New Roman"/>
          <w:sz w:val="22"/>
        </w:rPr>
        <w:t>G) Limitations Paragraph</w:t>
      </w:r>
    </w:p>
    <w:p>
      <w:pPr>
        <w:spacing w:after="120" w:line="259" w:lineRule="auto"/>
      </w:pPr>
      <w:r>
        <w:rPr>
          <w:rFonts w:ascii="Times New Roman" w:hAnsi="Times New Roman" w:eastAsia="Times New Roman"/>
          <w:sz w:val="22"/>
        </w:rPr>
        <w:t>A limitation of the present validation is that the certified universality envelope remains local and bounded. The B5D campaign supports strong robustness within the tight U3 envelope, but the B5E and B5F diagnostics show that the mis0-left corner is not yet covered by the current guidance formulation. Consequently, the present work does not claim global universality over all dispersions, route-shaping settings, and terminal-corner cases. The unresolved mis0-left corner is instead reported as a reproducible failure-boundary condition and used to motivate future refinement of the terminal-capture and phase-transition logic.</w:t>
      </w:r>
    </w:p>
    <w:p>
      <w:pPr>
        <w:pStyle w:val="Heading1"/>
      </w:pPr>
      <w:r>
        <w:rPr>
          <w:rFonts w:ascii="Times New Roman" w:hAnsi="Times New Roman" w:eastAsia="Times New Roman"/>
          <w:sz w:val="22"/>
        </w:rPr>
        <w:t>H) Conclusion Section — Revised Final Paragraph</w:t>
      </w:r>
    </w:p>
    <w:p>
      <w:pPr>
        <w:spacing w:after="120" w:line="259" w:lineRule="auto"/>
      </w:pPr>
      <w:r>
        <w:rPr>
          <w:rFonts w:ascii="Times New Roman" w:hAnsi="Times New Roman" w:eastAsia="Times New Roman"/>
          <w:sz w:val="22"/>
        </w:rPr>
        <w:t>Overall, the proposed framework demonstrates bounded local U3 universality within the validated tight perturbation envelope. In the B5D campaign, the method achieved 49/50 case-level success and 149/150 vehicle-level success, showing that the guidance architecture can reliably close the TAEM condition inside the certified local envelope. The subsequent B5E and B5F campaigns further clarified the boundary of this claim. The mis0-left corner was not recovered by path-shaping/fade-window refinement or by long-propagation reachability auditing, and it is therefore identified as a current failure-boundary case. Accordingly, this study does not claim unrestricted global universality or broad U4 universality. Instead, it establishes a reproducible bounded local-universality result and identifies the terminal-capture/phase-transition refinement required before broader universality claims can be made.</w:t>
      </w:r>
    </w:p>
    <w:p>
      <w:pPr>
        <w:pStyle w:val="Heading1"/>
      </w:pPr>
      <w:r>
        <w:rPr>
          <w:rFonts w:ascii="Times New Roman" w:hAnsi="Times New Roman" w:eastAsia="Times New Roman"/>
          <w:sz w:val="22"/>
        </w:rPr>
        <w:t>I) Short Conclusion Version</w:t>
      </w:r>
    </w:p>
    <w:p>
      <w:pPr>
        <w:spacing w:after="120" w:line="259" w:lineRule="auto"/>
      </w:pPr>
      <w:r>
        <w:rPr>
          <w:rFonts w:ascii="Times New Roman" w:hAnsi="Times New Roman" w:eastAsia="Times New Roman"/>
          <w:sz w:val="22"/>
        </w:rPr>
        <w:t>The proposed framework demonstrates bounded local U3 universality within the validated tight perturbation envelope, achieving 49/50 case-level success and 149/150 vehicle-level success. The B5E and B5F diagnostics identify the mis0-left corner as the current failure-boundary condition, indicating that broader U4 or global universality requires further terminal-capture and phase-transition refinement. Thus, the present study provides a reproducible bounded-universality result rather than an unrestricted global-universality claim.</w:t>
      </w:r>
    </w:p>
    <w:p>
      <w:pPr>
        <w:pStyle w:val="Heading1"/>
      </w:pPr>
      <w:r>
        <w:rPr>
          <w:rFonts w:ascii="Times New Roman" w:hAnsi="Times New Roman" w:eastAsia="Times New Roman"/>
          <w:sz w:val="22"/>
        </w:rPr>
        <w:t>J) Short Abstract Alternative</w:t>
      </w:r>
    </w:p>
    <w:p>
      <w:pPr>
        <w:spacing w:after="120" w:line="259" w:lineRule="auto"/>
      </w:pPr>
      <w:r>
        <w:rPr>
          <w:rFonts w:ascii="Times New Roman" w:hAnsi="Times New Roman" w:eastAsia="Times New Roman"/>
          <w:sz w:val="22"/>
        </w:rPr>
        <w:t>This study presents a staged validation framework for multi-vehicle entry guidance and TAEM closure under bounded perturbations. Rather than claiming unrestricted global universality, the work establishes a bounded local U3 universality result within a validated tight perturbation envelope. The Phase-2 campaign shows that the B5D tight local-envelope validation achieved 49/50 case-level success and 149/150 vehicle-level success. Additional B5E and B5F diagnostics identify the mis0-left corner as an unresolved failure-boundary condition, indicating that broader U4 or global universality requires future terminal-capture and phase-transition refinement. The results therefore provide both a high-success certified local envelope and a transparent characterization of the current limitation boundary.</w:t>
      </w:r>
    </w:p>
    <w:p>
      <w:pPr>
        <w:pStyle w:val="Heading1"/>
      </w:pPr>
      <w:r>
        <w:rPr>
          <w:rFonts w:ascii="Times New Roman" w:hAnsi="Times New Roman" w:eastAsia="Times New Roman"/>
          <w:sz w:val="22"/>
        </w:rPr>
        <w:t>K) Keywords</w:t>
      </w:r>
    </w:p>
    <w:p>
      <w:pPr>
        <w:spacing w:after="120" w:line="259" w:lineRule="auto"/>
      </w:pPr>
      <w:r>
        <w:rPr>
          <w:rFonts w:ascii="Times New Roman" w:hAnsi="Times New Roman" w:eastAsia="Times New Roman"/>
          <w:sz w:val="22"/>
        </w:rPr>
        <w:t>entry guidance; terminal area energy management; bounded universality; multi-vehicle guidance; robustness validation; failure-boundary diagnostics; hypersonic reentry</w:t>
      </w:r>
    </w:p>
    <w:p>
      <w:pPr>
        <w:pStyle w:val="Heading1"/>
      </w:pPr>
      <w:r>
        <w:rPr>
          <w:rFonts w:ascii="Times New Roman" w:hAnsi="Times New Roman" w:eastAsia="Times New Roman"/>
          <w:sz w:val="22"/>
        </w:rPr>
        <w:t>L) Find/Replace List for Risky Universality Wording</w:t>
      </w:r>
    </w:p>
    <w:tbl>
      <w:tblPr>
        <w:tblStyle w:val="TableGrid"/>
        <w:tblW w:type="auto" w:w="0"/>
        <w:tblLook w:firstColumn="1" w:firstRow="1" w:lastColumn="0" w:lastRow="0" w:noHBand="0" w:noVBand="1" w:val="04A0"/>
      </w:tblPr>
      <w:tblGrid>
        <w:gridCol w:w="5112"/>
        <w:gridCol w:w="5112"/>
      </w:tblGrid>
      <w:tr>
        <w:tc>
          <w:tcPr>
            <w:tcW w:type="dxa" w:w="5112"/>
          </w:tcPr>
          <w:p>
            <w:r>
              <w:rPr>
                <w:rFonts w:ascii="Times New Roman" w:hAnsi="Times New Roman"/>
                <w:b/>
                <w:sz w:val="18"/>
              </w:rPr>
              <w:t>Risky expression</w:t>
            </w:r>
          </w:p>
        </w:tc>
        <w:tc>
          <w:tcPr>
            <w:tcW w:type="dxa" w:w="5112"/>
          </w:tcPr>
          <w:p>
            <w:r>
              <w:rPr>
                <w:rFonts w:ascii="Times New Roman" w:hAnsi="Times New Roman"/>
                <w:b/>
                <w:sz w:val="18"/>
              </w:rPr>
              <w:t>Recommended replacement</w:t>
            </w:r>
          </w:p>
        </w:tc>
      </w:tr>
      <w:tr>
        <w:tc>
          <w:tcPr>
            <w:tcW w:type="dxa" w:w="5112"/>
          </w:tcPr>
          <w:p>
            <w:r>
              <w:rPr>
                <w:rFonts w:ascii="Times New Roman" w:hAnsi="Times New Roman"/>
                <w:sz w:val="18"/>
              </w:rPr>
              <w:t>global universality</w:t>
            </w:r>
          </w:p>
        </w:tc>
        <w:tc>
          <w:tcPr>
            <w:tcW w:type="dxa" w:w="5112"/>
          </w:tcPr>
          <w:p>
            <w:r>
              <w:rPr>
                <w:rFonts w:ascii="Times New Roman" w:hAnsi="Times New Roman"/>
                <w:sz w:val="18"/>
              </w:rPr>
              <w:t>bounded local U3 universality</w:t>
            </w:r>
          </w:p>
        </w:tc>
      </w:tr>
      <w:tr>
        <w:tc>
          <w:tcPr>
            <w:tcW w:type="dxa" w:w="5112"/>
          </w:tcPr>
          <w:p>
            <w:r>
              <w:rPr>
                <w:rFonts w:ascii="Times New Roman" w:hAnsi="Times New Roman"/>
                <w:sz w:val="18"/>
              </w:rPr>
              <w:t>broad U4 universality</w:t>
            </w:r>
          </w:p>
        </w:tc>
        <w:tc>
          <w:tcPr>
            <w:tcW w:type="dxa" w:w="5112"/>
          </w:tcPr>
          <w:p>
            <w:r>
              <w:rPr>
                <w:rFonts w:ascii="Times New Roman" w:hAnsi="Times New Roman"/>
                <w:sz w:val="18"/>
              </w:rPr>
              <w:t>broader U4 universality as future work</w:t>
            </w:r>
          </w:p>
        </w:tc>
      </w:tr>
      <w:tr>
        <w:tc>
          <w:tcPr>
            <w:tcW w:type="dxa" w:w="5112"/>
          </w:tcPr>
          <w:p>
            <w:r>
              <w:rPr>
                <w:rFonts w:ascii="Times New Roman" w:hAnsi="Times New Roman"/>
                <w:sz w:val="18"/>
              </w:rPr>
              <w:t>universal over all dispersions</w:t>
            </w:r>
          </w:p>
        </w:tc>
        <w:tc>
          <w:tcPr>
            <w:tcW w:type="dxa" w:w="5112"/>
          </w:tcPr>
          <w:p>
            <w:r>
              <w:rPr>
                <w:rFonts w:ascii="Times New Roman" w:hAnsi="Times New Roman"/>
                <w:sz w:val="18"/>
              </w:rPr>
              <w:t>validated within a tight perturbation envelope</w:t>
            </w:r>
          </w:p>
        </w:tc>
      </w:tr>
      <w:tr>
        <w:tc>
          <w:tcPr>
            <w:tcW w:type="dxa" w:w="5112"/>
          </w:tcPr>
          <w:p>
            <w:r>
              <w:rPr>
                <w:rFonts w:ascii="Times New Roman" w:hAnsi="Times New Roman"/>
                <w:sz w:val="18"/>
              </w:rPr>
              <w:t>fully universal guidance</w:t>
            </w:r>
          </w:p>
        </w:tc>
        <w:tc>
          <w:tcPr>
            <w:tcW w:type="dxa" w:w="5112"/>
          </w:tcPr>
          <w:p>
            <w:r>
              <w:rPr>
                <w:rFonts w:ascii="Times New Roman" w:hAnsi="Times New Roman"/>
                <w:sz w:val="18"/>
              </w:rPr>
              <w:t>bounded-universality guidance evidence</w:t>
            </w:r>
          </w:p>
        </w:tc>
      </w:tr>
      <w:tr>
        <w:tc>
          <w:tcPr>
            <w:tcW w:type="dxa" w:w="5112"/>
          </w:tcPr>
          <w:p>
            <w:r>
              <w:rPr>
                <w:rFonts w:ascii="Times New Roman" w:hAnsi="Times New Roman"/>
                <w:sz w:val="18"/>
              </w:rPr>
              <w:t>all perturbations are handled</w:t>
            </w:r>
          </w:p>
        </w:tc>
        <w:tc>
          <w:tcPr>
            <w:tcW w:type="dxa" w:w="5112"/>
          </w:tcPr>
          <w:p>
            <w:r>
              <w:rPr>
                <w:rFonts w:ascii="Times New Roman" w:hAnsi="Times New Roman"/>
                <w:sz w:val="18"/>
              </w:rPr>
              <w:t>perturbations inside the validated U3 envelope are handled</w:t>
            </w:r>
          </w:p>
        </w:tc>
      </w:tr>
      <w:tr>
        <w:tc>
          <w:tcPr>
            <w:tcW w:type="dxa" w:w="5112"/>
          </w:tcPr>
          <w:p>
            <w:r>
              <w:rPr>
                <w:rFonts w:ascii="Times New Roman" w:hAnsi="Times New Roman"/>
                <w:sz w:val="18"/>
              </w:rPr>
              <w:t>all corner cases are solved</w:t>
            </w:r>
          </w:p>
        </w:tc>
        <w:tc>
          <w:tcPr>
            <w:tcW w:type="dxa" w:w="5112"/>
          </w:tcPr>
          <w:p>
            <w:r>
              <w:rPr>
                <w:rFonts w:ascii="Times New Roman" w:hAnsi="Times New Roman"/>
                <w:sz w:val="18"/>
              </w:rPr>
              <w:t>the mis0-left corner remains a failure-boundary condition</w:t>
            </w:r>
          </w:p>
        </w:tc>
      </w:tr>
      <w:tr>
        <w:tc>
          <w:tcPr>
            <w:tcW w:type="dxa" w:w="5112"/>
          </w:tcPr>
          <w:p>
            <w:r>
              <w:rPr>
                <w:rFonts w:ascii="Times New Roman" w:hAnsi="Times New Roman"/>
                <w:sz w:val="18"/>
              </w:rPr>
              <w:t>globally robust</w:t>
            </w:r>
          </w:p>
        </w:tc>
        <w:tc>
          <w:tcPr>
            <w:tcW w:type="dxa" w:w="5112"/>
          </w:tcPr>
          <w:p>
            <w:r>
              <w:rPr>
                <w:rFonts w:ascii="Times New Roman" w:hAnsi="Times New Roman"/>
                <w:sz w:val="18"/>
              </w:rPr>
              <w:t>robust within the certified local envelope</w:t>
            </w:r>
          </w:p>
        </w:tc>
      </w:tr>
      <w:tr>
        <w:tc>
          <w:tcPr>
            <w:tcW w:type="dxa" w:w="5112"/>
          </w:tcPr>
          <w:p>
            <w:r>
              <w:rPr>
                <w:rFonts w:ascii="Times New Roman" w:hAnsi="Times New Roman"/>
                <w:sz w:val="18"/>
              </w:rPr>
              <w:t>universal TAEM closure</w:t>
            </w:r>
          </w:p>
        </w:tc>
        <w:tc>
          <w:tcPr>
            <w:tcW w:type="dxa" w:w="5112"/>
          </w:tcPr>
          <w:p>
            <w:r>
              <w:rPr>
                <w:rFonts w:ascii="Times New Roman" w:hAnsi="Times New Roman"/>
                <w:sz w:val="18"/>
              </w:rPr>
              <w:t>bounded TAEM closure within the validated envelope</w:t>
            </w:r>
          </w:p>
        </w:tc>
      </w:tr>
      <w:tr>
        <w:tc>
          <w:tcPr>
            <w:tcW w:type="dxa" w:w="5112"/>
          </w:tcPr>
          <w:p>
            <w:r>
              <w:rPr>
                <w:rFonts w:ascii="Times New Roman" w:hAnsi="Times New Roman"/>
                <w:sz w:val="18"/>
              </w:rPr>
              <w:t>generalizes to all routes</w:t>
            </w:r>
          </w:p>
        </w:tc>
        <w:tc>
          <w:tcPr>
            <w:tcW w:type="dxa" w:w="5112"/>
          </w:tcPr>
          <w:p>
            <w:r>
              <w:rPr>
                <w:rFonts w:ascii="Times New Roman" w:hAnsi="Times New Roman"/>
                <w:sz w:val="18"/>
              </w:rPr>
              <w:t>generalizes within the tested role-distinct local envelope</w:t>
            </w:r>
          </w:p>
        </w:tc>
      </w:tr>
    </w:tbl>
    <w:p>
      <w:pPr>
        <w:pStyle w:val="Heading1"/>
      </w:pPr>
      <w:r>
        <w:rPr>
          <w:rFonts w:ascii="Times New Roman" w:hAnsi="Times New Roman" w:eastAsia="Times New Roman"/>
          <w:sz w:val="22"/>
        </w:rPr>
        <w:t>M) Reviewer-Safe Explanation Paragraph</w:t>
      </w:r>
    </w:p>
    <w:p>
      <w:pPr>
        <w:spacing w:after="120" w:line="259" w:lineRule="auto"/>
      </w:pPr>
      <w:r>
        <w:rPr>
          <w:rFonts w:ascii="Times New Roman" w:hAnsi="Times New Roman" w:eastAsia="Times New Roman"/>
          <w:sz w:val="22"/>
        </w:rPr>
        <w:t>The study deliberately avoids an unrestricted global-universality claim because the diagnostic campaigns reveal a reproducible unresolved corner case. This does not weaken the validated result; instead, it clarifies the domain of validity. The B5D campaign demonstrates strong robustness within the tight U3 envelope, while B5E and B5F delimit the current failure boundary. This separation between certified local behavior and unresolved boundary behavior improves reproducibility and prevents overgeneralization.</w:t>
      </w:r>
    </w:p>
    <w:p>
      <w:pPr>
        <w:pStyle w:val="Heading1"/>
      </w:pPr>
      <w:r>
        <w:rPr>
          <w:rFonts w:ascii="Times New Roman" w:hAnsi="Times New Roman" w:eastAsia="Times New Roman"/>
          <w:sz w:val="22"/>
        </w:rPr>
        <w:t>N) Figure and Table Caption Suggestions</w:t>
      </w:r>
    </w:p>
    <w:p>
      <w:pPr>
        <w:spacing w:after="120" w:line="259" w:lineRule="auto"/>
      </w:pPr>
      <w:r>
        <w:rPr>
          <w:rFonts w:ascii="Times New Roman" w:hAnsi="Times New Roman" w:eastAsia="Times New Roman"/>
          <w:sz w:val="22"/>
        </w:rPr>
        <w:t>Figure X. Phase-2 validation logic separating positive bounded-envelope evidence from failure-boundary diagnostics. B5D provides the main bounded local U3 universality evidence, whereas B5E and B5F identify the unresolved mis0-left corner boundary.</w:t>
      </w:r>
    </w:p>
    <w:p>
      <w:pPr>
        <w:spacing w:after="120" w:line="259" w:lineRule="auto"/>
      </w:pPr>
      <w:r>
        <w:rPr>
          <w:rFonts w:ascii="Times New Roman" w:hAnsi="Times New Roman" w:eastAsia="Times New Roman"/>
          <w:sz w:val="22"/>
        </w:rPr>
        <w:t>Table X. Summary of Phase-2 bounded local universality and failure-boundary diagnostics. The B5D campaign supports the certified tight U3 envelope, while B5E and B5F are retained as boundary evidence for the unresolved mis0-left corner.</w:t>
      </w:r>
    </w:p>
    <w:p>
      <w:pPr>
        <w:pStyle w:val="Heading1"/>
      </w:pPr>
      <w:r>
        <w:rPr>
          <w:rFonts w:ascii="Times New Roman" w:hAnsi="Times New Roman" w:eastAsia="Times New Roman"/>
          <w:sz w:val="22"/>
        </w:rPr>
        <w:t>Final Manuscript Claim</w:t>
      </w:r>
    </w:p>
    <w:p>
      <w:pPr>
        <w:spacing w:after="120" w:line="259" w:lineRule="auto"/>
      </w:pPr>
      <w:r>
        <w:rPr>
          <w:rFonts w:ascii="Times New Roman" w:hAnsi="Times New Roman" w:eastAsia="Times New Roman"/>
          <w:sz w:val="22"/>
        </w:rPr>
        <w:t>The evidence supports bounded local U3 universality within the validated tight envelope, but it does not support an unrestricted global or broad U4 universality claim.</w:t>
      </w:r>
    </w:p>
    <w:p>
      <w:r>
        <w:rPr>
          <w:rFonts w:ascii="Times New Roman" w:hAnsi="Times New Roman" w:eastAsia="Times New Roman"/>
          <w:sz w:val="22"/>
        </w:rPr>
        <w:br/>
      </w:r>
    </w:p>
    <w:p>
      <w:pPr>
        <w:pStyle w:val="Heading1"/>
      </w:pPr>
      <w:r>
        <w:rPr>
          <w:rFonts w:ascii="Times New Roman" w:hAnsi="Times New Roman" w:eastAsia="Times New Roman"/>
          <w:sz w:val="22"/>
        </w:rPr>
        <w:t>Appendix A — Archived Original Roadmap from nihai-karar.docx</w:t>
      </w:r>
    </w:p>
    <w:p>
      <w:pPr>
        <w:spacing w:after="120" w:line="259" w:lineRule="auto"/>
      </w:pPr>
      <w:r>
        <w:rPr>
          <w:rFonts w:ascii="Times New Roman" w:hAnsi="Times New Roman" w:eastAsia="Times New Roman"/>
          <w:sz w:val="22"/>
        </w:rPr>
        <w:t>The following content is preserved from the uploaded Word file as an archive. It should not override the B6-updated manuscript claim above.</w:t>
      </w:r>
    </w:p>
    <w:sectPr w:rsidR="00FC693F" w:rsidRPr="0006063C" w:rsidSect="00034616">
      <w:pgSz w:w="12240" w:h="15840"/>
      <w:pgMar w:top="1080" w:right="1008" w:bottom="1080" w:left="1008" w:header="720" w:footer="720" w:gutter="0"/>
      <w:cols w:space="720"/>
      <w:docGrid w:linePitch="360"/>
    </w:sectPr>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Evet, bu noktadan sonra </w:t>
      </w:r>
      <w:r w:rsidRPr="008E4234">
        <w:rPr>
          <w:rFonts w:ascii="Times New Roman" w:eastAsia="Times New Roman" w:hAnsi="Times New Roman" w:cs="Times New Roman"/>
          <w:b/>
          <w:bCs/>
          <w:sz w:val="24"/>
          <w:szCs w:val="24"/>
        </w:rPr>
        <w:t>yol haritasını iki eksende kurmalıyız</w:t>
      </w:r>
      <w:r w:rsidRPr="008E4234">
        <w:rPr>
          <w:rFonts w:ascii="Times New Roman" w:eastAsia="Times New Roman" w:hAnsi="Times New Roman" w:cs="Times New Roman"/>
          <w:sz w:val="24"/>
          <w:szCs w:val="24"/>
        </w:rPr>
        <w:t>:</w:t>
      </w:r>
    </w:p>
    <w:p w:rsidR="008E4234" w:rsidRPr="008E4234" w:rsidRDefault="008E4234" w:rsidP="008E42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Mühendislik / evrensellik hattı:</w:t>
      </w:r>
      <w:r w:rsidRPr="008E4234">
        <w:rPr>
          <w:rFonts w:ascii="Times New Roman" w:eastAsia="Times New Roman" w:hAnsi="Times New Roman" w:cs="Times New Roman"/>
          <w:sz w:val="24"/>
          <w:szCs w:val="24"/>
        </w:rPr>
        <w:t xml:space="preserve"> V8 ile alınan mis1 TAEM başarısını kontrollü biçimde büyütmek. </w:t>
      </w:r>
    </w:p>
    <w:p w:rsidR="008E4234" w:rsidRPr="008E4234" w:rsidRDefault="008E4234" w:rsidP="008E42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Q1 makale hattı:</w:t>
      </w:r>
      <w:r w:rsidRPr="008E4234">
        <w:rPr>
          <w:rFonts w:ascii="Times New Roman" w:eastAsia="Times New Roman" w:hAnsi="Times New Roman" w:cs="Times New Roman"/>
          <w:sz w:val="24"/>
          <w:szCs w:val="24"/>
        </w:rPr>
        <w:t xml:space="preserve"> sadece “başardı” demek yerine, TAEM event tanımı, proximity metriği, failure-mode ayrıştırması ve doğrulama protokolünü bilimsel katkıya çevirmek.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En önemli güncelleme şu: Ekli notlarda “henüz güvenilir TAEM dwell yok” vurgusu var; bu o an için doğruydu. Ancak son V8/V8.1 koşularıyla </w:t>
      </w:r>
      <w:r w:rsidRPr="008E4234">
        <w:rPr>
          <w:rFonts w:ascii="Times New Roman" w:eastAsia="Times New Roman" w:hAnsi="Times New Roman" w:cs="Times New Roman"/>
          <w:b/>
          <w:bCs/>
          <w:sz w:val="24"/>
          <w:szCs w:val="24"/>
        </w:rPr>
        <w:t>mis1 için gerçek TAEM dwell + clean terminate alındı</w:t>
      </w:r>
      <w:r w:rsidRPr="008E4234">
        <w:rPr>
          <w:rFonts w:ascii="Times New Roman" w:eastAsia="Times New Roman" w:hAnsi="Times New Roman" w:cs="Times New Roman"/>
          <w:sz w:val="24"/>
          <w:szCs w:val="24"/>
        </w:rPr>
        <w:t xml:space="preserve">. Bu, bizi notlardaki “Kademe A — single-vehicle state lock” aşamasına taşır. Fakat </w:t>
      </w:r>
      <w:r w:rsidRPr="008E4234">
        <w:rPr>
          <w:rFonts w:ascii="Times New Roman" w:eastAsia="Times New Roman" w:hAnsi="Times New Roman" w:cs="Times New Roman"/>
          <w:b/>
          <w:bCs/>
          <w:sz w:val="24"/>
          <w:szCs w:val="24"/>
        </w:rPr>
        <w:t>evrensellik</w:t>
      </w:r>
      <w:r w:rsidRPr="008E4234">
        <w:rPr>
          <w:rFonts w:ascii="Times New Roman" w:eastAsia="Times New Roman" w:hAnsi="Times New Roman" w:cs="Times New Roman"/>
          <w:sz w:val="24"/>
          <w:szCs w:val="24"/>
        </w:rPr>
        <w:t xml:space="preserve"> için hâlâ Kademe B/C/D tamamlanmadı. Yani artık “TAEM hiç olmuyor” noktasında değiliz; “tek araç başarısını protokolle genelleştirme” noktasındayız.</w: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1. Ekli belgelerden çıkan ana kararlar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1.1. 23 Nisan yol haritası: patch döngüsünü dondur, protokole geç</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23 Nisan notlarında en kritik karar şu: mevcut v3/v4 gibi denemeler referans olarak arşivlenmeli, fakat bunların üzerine sürekli yeni mikro-yama eklenmemeli; önce audit, reduced-order model, corridor reference, supervisor state machine ve clean termination gibi yapılarla deney protokolü kurulmalı. Ayrıca çoklu araca ancak mis1 tek araçta terminal çekirdek doğrulandıktan sonra dönülmesi gerektiği açıkça belirtilmiş.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karar bugün daha da önemli hale geldi. Çünkü V8 bize şunu gösterdi:</w:t>
      </w:r>
      <w:r w:rsidRPr="008E4234">
        <w:rPr>
          <w:rFonts w:ascii="Times New Roman" w:eastAsia="Times New Roman" w:hAnsi="Times New Roman" w:cs="Times New Roman"/>
          <w:sz w:val="24"/>
          <w:szCs w:val="24"/>
        </w:rPr>
        <w:br/>
      </w:r>
      <w:r w:rsidRPr="008E4234">
        <w:rPr>
          <w:rFonts w:ascii="Times New Roman" w:eastAsia="Times New Roman" w:hAnsi="Times New Roman" w:cs="Times New Roman"/>
          <w:b/>
          <w:bCs/>
          <w:sz w:val="24"/>
          <w:szCs w:val="24"/>
        </w:rPr>
        <w:t>çok karmaşık clean-slate mimariler değil, çalışan V1 davranışı + doğru latch/final-row mantığı ilk gerçek TAEM başarısını verdi.</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Dolayısıyla artık yapılacak şey yeni guidance varyantları üretmek değil; V8’i </w:t>
      </w:r>
      <w:r w:rsidRPr="008E4234">
        <w:rPr>
          <w:rFonts w:ascii="Times New Roman" w:eastAsia="Times New Roman" w:hAnsi="Times New Roman" w:cs="Times New Roman"/>
          <w:b/>
          <w:bCs/>
          <w:sz w:val="24"/>
          <w:szCs w:val="24"/>
        </w:rPr>
        <w:t>baseline success configuration</w:t>
      </w:r>
      <w:r w:rsidRPr="008E4234">
        <w:rPr>
          <w:rFonts w:ascii="Times New Roman" w:eastAsia="Times New Roman" w:hAnsi="Times New Roman" w:cs="Times New Roman"/>
          <w:sz w:val="24"/>
          <w:szCs w:val="24"/>
        </w:rPr>
        <w:t xml:space="preserve"> ilan edip onun etrafında doğrulama protokolü kurmak.</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1.2. 22 Nisan durumu: hedef coğrafi kapanış değil, state closure</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22 Nisan notunda problem çok doğru tanımlanmış: araçlar hedef coğrafyasına yaklaşabiliyor, fakat TAEM dwell üretemiyor; yani problem “oraya gidememek” değil, </w:t>
      </w:r>
      <w:r w:rsidRPr="008E4234">
        <w:rPr>
          <w:rFonts w:ascii="Times New Roman" w:eastAsia="Times New Roman" w:hAnsi="Times New Roman" w:cs="Courier New"/>
          <w:sz w:val="20"/>
          <w:szCs w:val="20"/>
        </w:rPr>
        <w:t>h</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v</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s_go</w:t>
      </w:r>
      <w:r w:rsidRPr="008E4234">
        <w:rPr>
          <w:rFonts w:ascii="Times New Roman" w:eastAsia="Times New Roman" w:hAnsi="Times New Roman" w:cs="Times New Roman"/>
          <w:sz w:val="24"/>
          <w:szCs w:val="24"/>
        </w:rPr>
        <w:t xml:space="preserve"> ve gerekiyorsa </w:t>
      </w:r>
      <w:r w:rsidRPr="008E4234">
        <w:rPr>
          <w:rFonts w:ascii="Times New Roman" w:eastAsia="Times New Roman" w:hAnsi="Times New Roman" w:cs="Courier New"/>
          <w:sz w:val="20"/>
          <w:szCs w:val="20"/>
        </w:rPr>
        <w:t>psi</w:t>
      </w:r>
      <w:r w:rsidRPr="008E4234">
        <w:rPr>
          <w:rFonts w:ascii="Times New Roman" w:eastAsia="Times New Roman" w:hAnsi="Times New Roman" w:cs="Times New Roman"/>
          <w:sz w:val="24"/>
          <w:szCs w:val="24"/>
        </w:rPr>
        <w:t xml:space="preserve"> state’lerini aynı anda kilitleyememek. Ayrıca “patch-modundan protocol-moduna geçilmeli” ve guidance iki katmanlı düşünülmeli: route/geometry layer ve state-lock/terminal layer.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Bu belge ayrıca evrensellik için kademeli başarı mantığını öneriyor: önce tek araç state-lock, sonra aynı hedefe farklı rotalar, sonra dispersiyon/robustness, en son da dağılım üstünde başarı oranı ve güven aralıkları.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lastRenderedPageBreak/>
        <w:t>Bugünkü durumumuzu bu skalaya koyarsak: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1"/>
        <w:gridCol w:w="2556"/>
      </w:tblGrid>
      <w:tr w:rsidR="008E4234" w:rsidRPr="008E4234" w:rsidTr="008E4234">
        <w:trPr>
          <w:tblHeader/>
          <w:tblCellSpacing w:w="15" w:type="dxa"/>
        </w:trPr>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Kademe</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Durum</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Kademe A — Single-vehicle state lock</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mis1 için V8 ile sağlandı</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Kademe B — Same target, multiple routes</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Henüz sağlanmadı</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Kademe C — Dispersions / robustness</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Henüz başlamadı</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Kademe D — Universality claim</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Henüz iddia edilmemeli</w:t>
            </w:r>
          </w:p>
        </w:tc>
      </w:tr>
    </w:tbl>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1.3. Savunma / makale notu: Q1 katkısı sadece guidance başarısı olmamalı</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Savunma notunda Q1 makale hikâyesi çok doğru kurulmuş: terminal başarıyı yalnız touchdown veya final konumla değerlendirmek yetersiz; dwell tabanlı TAEM-event mantığı ve sürekli proximity metriğiyle terminal davranışı daha tekrar üretilebilir ve ayrıştırılabilir analiz edilmeli. Bu yaklaşım metodolojik katkı, deneysel ayrıştırma ve failure-mode analizi sağlıyor.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Aynı notta önerilen katkılar da çok değerli: olay-tabanlı TAEM değerlendirme, sürekli terminal yakınlık metriği, aynı hedef/farklı lateral shaping rejimleri altında davranış haritası, near-success/failure-mode ayrıştırması ve guidance’dan bağımsız analiz katmanı.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Burada kritik güncelleme şu olmalı: Notta “kesin TAEM latch başarıları elde edilmiştir demek yerine near-success rejimleri ayrıştırılmıştır demek daha doğru olur” denmişti. Bu artık kısmen güncellenebilir. Çünkü V8 ile </w:t>
      </w:r>
      <w:r w:rsidRPr="008E4234">
        <w:rPr>
          <w:rFonts w:ascii="Times New Roman" w:eastAsia="Times New Roman" w:hAnsi="Times New Roman" w:cs="Times New Roman"/>
          <w:b/>
          <w:bCs/>
          <w:sz w:val="24"/>
          <w:szCs w:val="24"/>
        </w:rPr>
        <w:t>mis1 single-vehicle latch başarısı var</w:t>
      </w:r>
      <w:r w:rsidRPr="008E4234">
        <w:rPr>
          <w:rFonts w:ascii="Times New Roman" w:eastAsia="Times New Roman" w:hAnsi="Times New Roman" w:cs="Times New Roman"/>
          <w:sz w:val="24"/>
          <w:szCs w:val="24"/>
        </w:rPr>
        <w:t>. Ama multi-vehicle evrensellik henüz yok. Bu yüzden makale tonu şöyle olmalı:</w:t>
      </w:r>
    </w:p>
    <w:p w:rsidR="008E4234" w:rsidRPr="008E4234" w:rsidRDefault="008E4234" w:rsidP="008E4234">
      <w:pPr>
        <w:spacing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Çalışma, dwell tabanlı TAEM-event değerlendirme çerçevesini kurmakta, çoklu araç terminal rejimlerini ayrıştırmakta ve tek araç mis1 üzerinde clean-latched TAEM success göstermektedir. Ancak çoklu araç evrensellik iddiası ayrıca çoklu rota ve dispersiyon protokolüyle doğrulanmalıdır.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hem güçlü hem dürüst olur.</w:t>
      </w:r>
    </w:p>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pict>
          <v:rect id="_x0000_i1025" style="width:0;height:1.5pt" o:hralign="center" o:hrstd="t" o:hr="t" fillcolor="#a0a0a0" stroked="f"/>
        </w:pic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2. Şu anki teknik checkpoint</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Şu anda elimizdeki en güçlü sonuç:</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V8 / V8.1 hattı mis1 için TAEM dwell ve clean terminate üretti.</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Bunu bundan sonra “başarı baseline” olarak alacağız. V7.x ve V6 hattı değerliydi ama artık ana guidance hattı değil; onlar failure-analysis ve tasarım denemeleri olarak arşivlenmeli.</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lastRenderedPageBreak/>
        <w:t>Teknik olarak dondurulacak baseline</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Baseline adı:</w:t>
      </w:r>
    </w:p>
    <w:p w:rsidR="008E4234" w:rsidRPr="008E4234" w:rsidRDefault="008E4234" w:rsidP="008E4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4234">
        <w:rPr>
          <w:rFonts w:ascii="Times New Roman" w:eastAsia="Times New Roman" w:hAnsi="Times New Roman" w:cs="Courier New"/>
          <w:sz w:val="20"/>
          <w:szCs w:val="20"/>
        </w:rPr>
        <w:t>MIS1_TAEM_SUCCESS_BASELINE_V8</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baseline’ın minimum kanıtları:</w:t>
      </w:r>
    </w:p>
    <w:p w:rsidR="008E4234" w:rsidRPr="008E4234" w:rsidRDefault="008E4234" w:rsidP="008E4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4234">
        <w:rPr>
          <w:rFonts w:ascii="Times New Roman" w:eastAsia="Times New Roman" w:hAnsi="Times New Roman" w:cs="Courier New"/>
          <w:sz w:val="20"/>
          <w:szCs w:val="20"/>
        </w:rPr>
        <w:t>taem_in_box = True</w:t>
      </w:r>
      <w:r w:rsidRPr="008E4234">
        <w:rPr>
          <w:rFonts w:ascii="Times New Roman" w:eastAsia="Times New Roman" w:hAnsi="Times New Roman" w:cs="Courier New"/>
          <w:sz w:val="20"/>
          <w:szCs w:val="20"/>
        </w:rPr>
        <w:br/>
        <w:t>taem_reached = True</w:t>
      </w:r>
      <w:r w:rsidRPr="008E4234">
        <w:rPr>
          <w:rFonts w:ascii="Times New Roman" w:eastAsia="Times New Roman" w:hAnsi="Times New Roman" w:cs="Courier New"/>
          <w:sz w:val="20"/>
          <w:szCs w:val="20"/>
        </w:rPr>
        <w:br/>
        <w:t>taem_reached_ever = True</w:t>
      </w:r>
      <w:r w:rsidRPr="008E4234">
        <w:rPr>
          <w:rFonts w:ascii="Times New Roman" w:eastAsia="Times New Roman" w:hAnsi="Times New Roman" w:cs="Courier New"/>
          <w:sz w:val="20"/>
          <w:szCs w:val="20"/>
        </w:rPr>
        <w:br/>
        <w:t>taem_success_latched = True</w:t>
      </w:r>
      <w:r w:rsidRPr="008E4234">
        <w:rPr>
          <w:rFonts w:ascii="Times New Roman" w:eastAsia="Times New Roman" w:hAnsi="Times New Roman" w:cs="Courier New"/>
          <w:sz w:val="20"/>
          <w:szCs w:val="20"/>
        </w:rPr>
        <w:br/>
        <w:t>end_guide = True</w:t>
      </w:r>
      <w:r w:rsidRPr="008E4234">
        <w:rPr>
          <w:rFonts w:ascii="Times New Roman" w:eastAsia="Times New Roman" w:hAnsi="Times New Roman" w:cs="Courier New"/>
          <w:sz w:val="20"/>
          <w:szCs w:val="20"/>
        </w:rPr>
        <w:br/>
        <w:t>end_reason = taem_dwell_reached</w:t>
      </w:r>
      <w:r w:rsidRPr="008E4234">
        <w:rPr>
          <w:rFonts w:ascii="Times New Roman" w:eastAsia="Times New Roman" w:hAnsi="Times New Roman" w:cs="Courier New"/>
          <w:sz w:val="20"/>
          <w:szCs w:val="20"/>
        </w:rPr>
        <w:br/>
        <w:t>close_pass_escape = False</w:t>
      </w:r>
      <w:r w:rsidRPr="008E4234">
        <w:rPr>
          <w:rFonts w:ascii="Times New Roman" w:eastAsia="Times New Roman" w:hAnsi="Times New Roman" w:cs="Courier New"/>
          <w:sz w:val="20"/>
          <w:szCs w:val="20"/>
        </w:rPr>
        <w:br/>
        <w:t>taem_dwell_s ≈ 3.0 s</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Burada küçük bir dikkat noktası var: Evrensellik notlarında dwell için “≥4 step” önerilmişti. V8’de dwell count 3 idi. Bu başarıyı geçersiz kılmaz; ancak Q1 için şu iki seçenekten birini seçmeliyiz:</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Seçenek 1:</w:t>
      </w:r>
      <w:r w:rsidRPr="008E4234">
        <w:rPr>
          <w:rFonts w:ascii="Times New Roman" w:eastAsia="Times New Roman" w:hAnsi="Times New Roman" w:cs="Times New Roman"/>
          <w:sz w:val="24"/>
          <w:szCs w:val="24"/>
        </w:rPr>
        <w:t xml:space="preserve"> Dwell eşiğini resmi olarak 3 step tanımlayıp tüm deneyleri bununla yapmak.</w:t>
      </w:r>
      <w:r w:rsidRPr="008E4234">
        <w:rPr>
          <w:rFonts w:ascii="Times New Roman" w:eastAsia="Times New Roman" w:hAnsi="Times New Roman" w:cs="Times New Roman"/>
          <w:sz w:val="24"/>
          <w:szCs w:val="24"/>
        </w:rPr>
        <w:br/>
      </w:r>
      <w:r w:rsidRPr="008E4234">
        <w:rPr>
          <w:rFonts w:ascii="Times New Roman" w:eastAsia="Times New Roman" w:hAnsi="Times New Roman" w:cs="Times New Roman"/>
          <w:b/>
          <w:bCs/>
          <w:sz w:val="24"/>
          <w:szCs w:val="24"/>
        </w:rPr>
        <w:t>Seçenek 2:</w:t>
      </w:r>
      <w:r w:rsidRPr="008E4234">
        <w:rPr>
          <w:rFonts w:ascii="Times New Roman" w:eastAsia="Times New Roman" w:hAnsi="Times New Roman" w:cs="Times New Roman"/>
          <w:sz w:val="24"/>
          <w:szCs w:val="24"/>
        </w:rPr>
        <w:t xml:space="preserve"> V8’i “first TAEM latch” kabul edip, Q1 protokolünde dwell sensitivity yapmak: N=3, N=4, N=5.</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Benim önerim: </w:t>
      </w:r>
      <w:r w:rsidRPr="008E4234">
        <w:rPr>
          <w:rFonts w:ascii="Times New Roman" w:eastAsia="Times New Roman" w:hAnsi="Times New Roman" w:cs="Times New Roman"/>
          <w:b/>
          <w:bCs/>
          <w:sz w:val="24"/>
          <w:szCs w:val="24"/>
        </w:rPr>
        <w:t>N=3 ana protokol, N=4/5 sensitivity tablosu.</w:t>
      </w:r>
      <w:r w:rsidRPr="008E4234">
        <w:rPr>
          <w:rFonts w:ascii="Times New Roman" w:eastAsia="Times New Roman" w:hAnsi="Times New Roman" w:cs="Times New Roman"/>
          <w:sz w:val="24"/>
          <w:szCs w:val="24"/>
        </w:rPr>
        <w:t xml:space="preserve"> Böylece elimizdeki başarı korunur, ama hakem “dwell eşiği keyfi mi?” dediğinde savunmamız olur.</w:t>
      </w:r>
    </w:p>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pict>
          <v:rect id="_x0000_i1026" style="width:0;height:1.5pt" o:hralign="center" o:hrstd="t" o:hr="t" fillcolor="#a0a0a0" stroked="f"/>
        </w:pic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3. Evrensellik için adım adım yol haritası</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Faz 0 — Baseline ve artefact dondurma</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fazda yeni guidance yazılmayacak.</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Dondurulacak dosyalar:</w:t>
      </w:r>
    </w:p>
    <w:p w:rsidR="008E4234" w:rsidRPr="008E4234" w:rsidRDefault="008E4234" w:rsidP="008E4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multiMissileGuideInstance_mis1_state_first_v8_2_final_success_flags.py</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single_mis1_main_v8_2_final_success_flags.py</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V8/V8.1/V8.2 CSV çıktıları </w:t>
      </w:r>
    </w:p>
    <w:p w:rsidR="008E4234" w:rsidRPr="008E4234" w:rsidRDefault="008E4234" w:rsidP="008E4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plot_csv_report.py</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taem_compare_runs_LOGCOMPARE_CLEAN.py</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toleranslar ve dwell tanımı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Çıkarılacak artefact seti:</w:t>
      </w:r>
    </w:p>
    <w:p w:rsidR="008E4234" w:rsidRPr="008E4234" w:rsidRDefault="008E4234" w:rsidP="008E4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lastRenderedPageBreak/>
        <w:t>mis1_state_first_v8_2_final_success_flags.csv</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summary_by_vehicle.csv</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taem_compare_by_vehicle.csv</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taem_compare_by_run.csv</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timeseries_plots.pdf</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ground_track_lonlat.png</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 diagnostics</w:t>
      </w:r>
      <w:r w:rsidRPr="008E4234">
        <w:rPr>
          <w:rFonts w:ascii="Times New Roman" w:eastAsia="Times New Roman" w:hAnsi="Times New Roman" w:cs="Times New Roman"/>
          <w:sz w:val="24"/>
          <w:szCs w:val="24"/>
        </w:rPr>
        <w:t xml:space="preserve"> sayfası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fazın amacı, “V8 başarı tesadüf mü?” sorusunu kapatmaktır.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Kabul kriteri:</w:t>
      </w:r>
    </w:p>
    <w:p w:rsidR="008E4234" w:rsidRPr="008E4234" w:rsidRDefault="008E4234" w:rsidP="008E42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Aynı dosyalarla aynı sonuç tekrar üretilebilmeli. </w:t>
      </w:r>
    </w:p>
    <w:p w:rsidR="008E4234" w:rsidRPr="008E4234" w:rsidRDefault="008E4234" w:rsidP="008E42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Son satırda </w:t>
      </w:r>
      <w:r w:rsidRPr="008E4234">
        <w:rPr>
          <w:rFonts w:ascii="Times New Roman" w:eastAsia="Times New Roman" w:hAnsi="Times New Roman" w:cs="Courier New"/>
          <w:sz w:val="20"/>
          <w:szCs w:val="20"/>
        </w:rPr>
        <w:t>end_reason='taem_dwell_reached'</w:t>
      </w:r>
      <w:r w:rsidRPr="008E4234">
        <w:rPr>
          <w:rFonts w:ascii="Times New Roman" w:eastAsia="Times New Roman" w:hAnsi="Times New Roman" w:cs="Times New Roman"/>
          <w:sz w:val="24"/>
          <w:szCs w:val="24"/>
        </w:rPr>
        <w:t xml:space="preserve"> görünmeli. </w:t>
      </w:r>
    </w:p>
    <w:p w:rsidR="008E4234" w:rsidRPr="008E4234" w:rsidRDefault="008E4234" w:rsidP="008E42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Plot ve compare çıktıları aynı başarıyı raporlamalı.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Faz 1 — Single-vehicle robustness: mis1 içinde doğrulama</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fazda hâlâ yalnız mis1 çalışacak.</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Amaç:</w:t>
      </w:r>
      <w:r w:rsidRPr="008E4234">
        <w:rPr>
          <w:rFonts w:ascii="Times New Roman" w:eastAsia="Times New Roman" w:hAnsi="Times New Roman" w:cs="Times New Roman"/>
          <w:sz w:val="24"/>
          <w:szCs w:val="24"/>
        </w:rPr>
        <w:br/>
        <w:t>V8 başarısının tek bir rastlantısal koşu olmadığını göstermek.</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Çalışılacak testler:</w:t>
      </w:r>
    </w:p>
    <w:p w:rsidR="008E4234" w:rsidRPr="008E4234" w:rsidRDefault="008E4234" w:rsidP="008E42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Aynı koşu tekrar çalıştırma </w:t>
      </w:r>
    </w:p>
    <w:p w:rsidR="008E4234" w:rsidRPr="008E4234" w:rsidRDefault="008E4234" w:rsidP="008E42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Dwell sensitivity: N=3, N=4, N=5 </w:t>
      </w:r>
    </w:p>
    <w:p w:rsidR="008E4234" w:rsidRPr="008E4234" w:rsidRDefault="008E4234" w:rsidP="008E42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Tolerans sensitivity: </w:t>
      </w:r>
    </w:p>
    <w:p w:rsidR="008E4234" w:rsidRPr="008E4234" w:rsidRDefault="008E4234" w:rsidP="008E423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h_tol</w:t>
      </w:r>
      <w:r w:rsidRPr="008E4234">
        <w:rPr>
          <w:rFonts w:ascii="Times New Roman" w:eastAsia="Times New Roman" w:hAnsi="Times New Roman" w:cs="Times New Roman"/>
          <w:sz w:val="24"/>
          <w:szCs w:val="24"/>
        </w:rPr>
        <w:t xml:space="preserve">: 2000 / 2500 / 3000 m </w:t>
      </w:r>
    </w:p>
    <w:p w:rsidR="008E4234" w:rsidRPr="008E4234" w:rsidRDefault="008E4234" w:rsidP="008E423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v_tol</w:t>
      </w:r>
      <w:r w:rsidRPr="008E4234">
        <w:rPr>
          <w:rFonts w:ascii="Times New Roman" w:eastAsia="Times New Roman" w:hAnsi="Times New Roman" w:cs="Times New Roman"/>
          <w:sz w:val="24"/>
          <w:szCs w:val="24"/>
        </w:rPr>
        <w:t xml:space="preserve">: 100 / 130 / 150 m/s </w:t>
      </w:r>
    </w:p>
    <w:p w:rsidR="008E4234" w:rsidRPr="008E4234" w:rsidRDefault="008E4234" w:rsidP="008E423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sgo_tol</w:t>
      </w:r>
      <w:r w:rsidRPr="008E4234">
        <w:rPr>
          <w:rFonts w:ascii="Times New Roman" w:eastAsia="Times New Roman" w:hAnsi="Times New Roman" w:cs="Times New Roman"/>
          <w:sz w:val="24"/>
          <w:szCs w:val="24"/>
        </w:rPr>
        <w:t xml:space="preserve">: 20 / 25 / 30 km </w:t>
      </w:r>
    </w:p>
    <w:p w:rsidR="008E4234" w:rsidRPr="008E4234" w:rsidRDefault="008E4234" w:rsidP="008E42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Küçük başlangıç sapmaları: </w:t>
      </w:r>
    </w:p>
    <w:p w:rsidR="008E4234" w:rsidRPr="008E4234" w:rsidRDefault="008E4234" w:rsidP="008E423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heading ±1°, ±2° </w:t>
      </w:r>
    </w:p>
    <w:p w:rsidR="008E4234" w:rsidRPr="008E4234" w:rsidRDefault="008E4234" w:rsidP="008E423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velocity ±50 m/s </w:t>
      </w:r>
    </w:p>
    <w:p w:rsidR="008E4234" w:rsidRPr="008E4234" w:rsidRDefault="008E4234" w:rsidP="008E423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height ±250 m, ±500 m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Çıktı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
        <w:gridCol w:w="546"/>
        <w:gridCol w:w="533"/>
        <w:gridCol w:w="732"/>
        <w:gridCol w:w="1006"/>
        <w:gridCol w:w="820"/>
        <w:gridCol w:w="770"/>
        <w:gridCol w:w="1056"/>
        <w:gridCol w:w="1044"/>
        <w:gridCol w:w="1242"/>
        <w:gridCol w:w="1171"/>
      </w:tblGrid>
      <w:tr w:rsidR="008E4234" w:rsidRPr="008E4234" w:rsidTr="008E4234">
        <w:trPr>
          <w:tblHeader/>
          <w:tblCellSpacing w:w="15" w:type="dxa"/>
        </w:trPr>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Run</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h_tol</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v_tol</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sgo_tol</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dwell_req</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reached</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dwell_s</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h_err_end</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v_err_end</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sgo_err_end</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end_reason</w:t>
            </w:r>
          </w:p>
        </w:tc>
      </w:tr>
    </w:tbl>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fazın kabul kriteri:</w:t>
      </w:r>
    </w:p>
    <w:p w:rsidR="008E4234" w:rsidRPr="008E4234" w:rsidRDefault="008E4234" w:rsidP="008E42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En az nominal V8 koşusu başarıyı korumalı. </w:t>
      </w:r>
    </w:p>
    <w:p w:rsidR="008E4234" w:rsidRPr="008E4234" w:rsidRDefault="008E4234" w:rsidP="008E42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Küçük sapmalarda tamamen çöküyorsa evrensellik iddiası ertelenir. </w:t>
      </w:r>
    </w:p>
    <w:p w:rsidR="008E4234" w:rsidRPr="008E4234" w:rsidRDefault="008E4234" w:rsidP="008E42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Bazı sapmalarda başarı korunuyorsa “local robustness” iddiası başlar.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lastRenderedPageBreak/>
        <w:t>Faz 2 — Same-target multiple-routes deneyi</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evrensellik için ilk gerçek çoklu araç adımıdır.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22 Nisan notunda önerilen Kademe B burada devreye giriyor: aynı hedef, farklı rota shaping ve mümkünse 3 araçta TAEM dwell.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Kurulum:</w:t>
      </w:r>
    </w:p>
    <w:p w:rsidR="008E4234" w:rsidRPr="008E4234" w:rsidRDefault="008E4234" w:rsidP="008E42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Aynı hedef korunacak. </w:t>
      </w:r>
    </w:p>
    <w:p w:rsidR="008E4234" w:rsidRPr="008E4234" w:rsidRDefault="008E4234" w:rsidP="008E42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3 araç olacak: mis0, mis1, mis2. </w:t>
      </w:r>
    </w:p>
    <w:p w:rsidR="008E4234" w:rsidRPr="008E4234" w:rsidRDefault="008E4234" w:rsidP="008E42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Route layer farklı olacak. </w:t>
      </w:r>
    </w:p>
    <w:p w:rsidR="008E4234" w:rsidRPr="008E4234" w:rsidRDefault="008E4234" w:rsidP="008E42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Terminal event/latch katmanı değişmeyecek. </w:t>
      </w:r>
    </w:p>
    <w:p w:rsidR="008E4234" w:rsidRPr="008E4234" w:rsidRDefault="008E4234" w:rsidP="008E42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V8 başarı mantığı terminal event için korunacak.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Kademeli yapılacak:</w:t>
      </w:r>
    </w:p>
    <w:p w:rsidR="008E4234" w:rsidRPr="008E4234" w:rsidRDefault="008E4234" w:rsidP="008E42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B1:</w:t>
      </w:r>
      <w:r w:rsidRPr="008E4234">
        <w:rPr>
          <w:rFonts w:ascii="Times New Roman" w:eastAsia="Times New Roman" w:hAnsi="Times New Roman" w:cs="Times New Roman"/>
          <w:sz w:val="24"/>
          <w:szCs w:val="24"/>
        </w:rPr>
        <w:t xml:space="preserve"> Multi-run içinde sadece mis1’in V8 başarısını koruyor mu? </w:t>
      </w:r>
    </w:p>
    <w:p w:rsidR="008E4234" w:rsidRPr="008E4234" w:rsidRDefault="008E4234" w:rsidP="008E42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B2:</w:t>
      </w:r>
      <w:r w:rsidRPr="008E4234">
        <w:rPr>
          <w:rFonts w:ascii="Times New Roman" w:eastAsia="Times New Roman" w:hAnsi="Times New Roman" w:cs="Times New Roman"/>
          <w:sz w:val="24"/>
          <w:szCs w:val="24"/>
        </w:rPr>
        <w:t xml:space="preserve"> mis0 ve mis2 için V8 terminal latch mantığı çalışıyor mu? </w:t>
      </w:r>
    </w:p>
    <w:p w:rsidR="008E4234" w:rsidRPr="008E4234" w:rsidRDefault="008E4234" w:rsidP="008E42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B3:</w:t>
      </w:r>
      <w:r w:rsidRPr="008E4234">
        <w:rPr>
          <w:rFonts w:ascii="Times New Roman" w:eastAsia="Times New Roman" w:hAnsi="Times New Roman" w:cs="Times New Roman"/>
          <w:sz w:val="24"/>
          <w:szCs w:val="24"/>
        </w:rPr>
        <w:t xml:space="preserve"> 3/3 araçta dwell var mı? Yoksa 1/3, 2/3 net raporlanacak. </w:t>
      </w:r>
    </w:p>
    <w:p w:rsidR="008E4234" w:rsidRPr="008E4234" w:rsidRDefault="008E4234" w:rsidP="008E42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B4:</w:t>
      </w:r>
      <w:r w:rsidRPr="008E4234">
        <w:rPr>
          <w:rFonts w:ascii="Times New Roman" w:eastAsia="Times New Roman" w:hAnsi="Times New Roman" w:cs="Times New Roman"/>
          <w:sz w:val="24"/>
          <w:szCs w:val="24"/>
        </w:rPr>
        <w:t xml:space="preserve"> route shaping değiştirilmeden sadece initial heading/target set etkisi incelenecek.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Kabul kriteri:</w:t>
      </w:r>
    </w:p>
    <w:p w:rsidR="008E4234" w:rsidRPr="008E4234" w:rsidRDefault="008E4234" w:rsidP="008E42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Minimum: mis1 multi ortamda da </w:t>
      </w:r>
      <w:r w:rsidRPr="008E4234">
        <w:rPr>
          <w:rFonts w:ascii="Times New Roman" w:eastAsia="Times New Roman" w:hAnsi="Times New Roman" w:cs="Courier New"/>
          <w:sz w:val="20"/>
          <w:szCs w:val="20"/>
        </w:rPr>
        <w:t>taem_reached=True</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Orta seviye: 2/3 araçta TAEM dwell. </w:t>
      </w:r>
    </w:p>
    <w:p w:rsidR="008E4234" w:rsidRPr="008E4234" w:rsidRDefault="008E4234" w:rsidP="008E42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Güçlü seviye: 3/3 araçta clean TAEM dwell.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Evrensellik için burada dikkat:</w:t>
      </w:r>
      <w:r w:rsidRPr="008E4234">
        <w:rPr>
          <w:rFonts w:ascii="Times New Roman" w:eastAsia="Times New Roman" w:hAnsi="Times New Roman" w:cs="Times New Roman"/>
          <w:sz w:val="24"/>
          <w:szCs w:val="24"/>
        </w:rPr>
        <w:br/>
      </w:r>
      <w:r w:rsidRPr="008E4234">
        <w:rPr>
          <w:rFonts w:ascii="Times New Roman" w:eastAsia="Times New Roman" w:hAnsi="Times New Roman" w:cs="Times New Roman"/>
          <w:b/>
          <w:bCs/>
          <w:sz w:val="24"/>
          <w:szCs w:val="24"/>
        </w:rPr>
        <w:t>3/3 tek koşu bile evrensellik değildir.</w:t>
      </w:r>
      <w:r w:rsidRPr="008E4234">
        <w:rPr>
          <w:rFonts w:ascii="Times New Roman" w:eastAsia="Times New Roman" w:hAnsi="Times New Roman" w:cs="Times New Roman"/>
          <w:sz w:val="24"/>
          <w:szCs w:val="24"/>
        </w:rPr>
        <w:br/>
        <w:t>Bu yalnız “same-target multi-route feasibility demonstration” olur.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Faz 3 — Failure-mode taxonomy ve near-success haritası</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Q1 makale için bu faz çok önemli.</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Savunma notunda önerilen failure-mode ayrıştırması doğrudan burada kullanılmalı: kutuya çok yaklaşan ama dwell üretemeyen rejim, range rebound, geç terminal kapanış, final coğrafi kapanışı iyi ama TAEM-event üretmeyen rejim gibi kiplerin nicel ayrımı önerilmiş.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Her koşu şu sınıflardan birine atanmalı: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4800"/>
      </w:tblGrid>
      <w:tr w:rsidR="008E4234" w:rsidRPr="008E4234" w:rsidTr="008E4234">
        <w:trPr>
          <w:tblHeader/>
          <w:tblCellSpacing w:w="15" w:type="dxa"/>
        </w:trPr>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Etiket</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Tanım</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Clean TAEM success</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dwell + latch + end_reason=taem_dwell_reached</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Near-success / no dwell</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box’a giriyor veya çok yaklaşıyor ama dwell yok</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lastRenderedPageBreak/>
              <w:t>Close pass + escape</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s_go düşüyor sonra rebound</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Late closure</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h/v iyi ama s_go/psi geç kalıyor</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Geometry failure</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delta_psi büyüyor, box kaçıyor</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Energy failure</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v/h birlikte korunamıyor</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Touchdown-good / TAEM-bad</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final coğrafya iyi ama TAEM event yok</w:t>
            </w:r>
          </w:p>
        </w:tc>
      </w:tr>
    </w:tbl>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tablo Q1 için çok güçlü olur; çünkü makaleyi “başardı/başaramadı” basitliğinden çıkarır.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Faz 4 — Dispersiyon ve Monte Carlo kampanyası</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Ancak Faz 1–3 tamamlandıktan sonra yapılmalı.</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Parametreler:</w:t>
      </w:r>
    </w:p>
    <w:p w:rsidR="008E4234" w:rsidRPr="008E4234" w:rsidRDefault="008E4234" w:rsidP="008E42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initial heading dispersion </w:t>
      </w:r>
    </w:p>
    <w:p w:rsidR="008E4234" w:rsidRPr="008E4234" w:rsidRDefault="008E4234" w:rsidP="008E42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initial velocity dispersion </w:t>
      </w:r>
    </w:p>
    <w:p w:rsidR="008E4234" w:rsidRPr="008E4234" w:rsidRDefault="008E4234" w:rsidP="008E42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initial altitude dispersion </w:t>
      </w:r>
    </w:p>
    <w:p w:rsidR="008E4234" w:rsidRPr="008E4234" w:rsidRDefault="008E4234" w:rsidP="008E42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küçük atmosfer yoğunluğu çarpanı </w:t>
      </w:r>
    </w:p>
    <w:p w:rsidR="008E4234" w:rsidRPr="008E4234" w:rsidRDefault="008E4234" w:rsidP="008E42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küçük aerodinamik CL/CD çarpanı </w:t>
      </w:r>
    </w:p>
    <w:p w:rsidR="008E4234" w:rsidRPr="008E4234" w:rsidRDefault="008E4234" w:rsidP="008E42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target/landing-zone küçük perturbation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Önerilen kampanya:</w:t>
      </w:r>
    </w:p>
    <w:p w:rsidR="008E4234" w:rsidRPr="008E4234" w:rsidRDefault="008E4234" w:rsidP="008E42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Önce deterministik grid: 3×3×3 </w:t>
      </w:r>
    </w:p>
    <w:p w:rsidR="008E4234" w:rsidRPr="008E4234" w:rsidRDefault="008E4234" w:rsidP="008E42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Sonra Monte Carlo: N=50 </w:t>
      </w:r>
    </w:p>
    <w:p w:rsidR="008E4234" w:rsidRPr="008E4234" w:rsidRDefault="008E4234" w:rsidP="008E42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Eğer sonuç umut verirse N=100 veya N=200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Temel metrikler:</w:t>
      </w:r>
    </w:p>
    <w:p w:rsidR="008E4234" w:rsidRPr="008E4234" w:rsidRDefault="008E4234" w:rsidP="008E4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reached_rate </w:t>
      </w:r>
    </w:p>
    <w:p w:rsidR="008E4234" w:rsidRPr="008E4234" w:rsidRDefault="008E4234" w:rsidP="008E4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avg_dwell_s </w:t>
      </w:r>
    </w:p>
    <w:p w:rsidR="008E4234" w:rsidRPr="008E4234" w:rsidRDefault="008E4234" w:rsidP="008E4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dwell_max_s </w:t>
      </w:r>
    </w:p>
    <w:p w:rsidR="008E4234" w:rsidRPr="008E4234" w:rsidRDefault="008E4234" w:rsidP="008E4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terminal error mean/std </w:t>
      </w:r>
    </w:p>
    <w:p w:rsidR="008E4234" w:rsidRPr="008E4234" w:rsidRDefault="008E4234" w:rsidP="008E4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95% CI </w:t>
      </w:r>
    </w:p>
    <w:p w:rsidR="008E4234" w:rsidRPr="008E4234" w:rsidRDefault="008E4234" w:rsidP="008E4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failure-mode distribution </w:t>
      </w:r>
    </w:p>
    <w:p w:rsidR="008E4234" w:rsidRPr="008E4234" w:rsidRDefault="008E4234" w:rsidP="008E4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constraint metrics: q_max, load factor, heat-rate proxy, sigma saturation ratio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Evrensellik iddiası için önerilen eşikler:</w:t>
      </w:r>
    </w:p>
    <w:p w:rsidR="008E4234" w:rsidRPr="008E4234" w:rsidRDefault="008E4234" w:rsidP="008E42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Zayıf evrensellik: reached_rate ≥ 0.60 </w:t>
      </w:r>
    </w:p>
    <w:p w:rsidR="008E4234" w:rsidRPr="008E4234" w:rsidRDefault="008E4234" w:rsidP="008E42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Orta evrensellik: reached_rate ≥ 0.80 </w:t>
      </w:r>
    </w:p>
    <w:p w:rsidR="008E4234" w:rsidRPr="008E4234" w:rsidRDefault="008E4234" w:rsidP="008E42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Güçlü evrensellik: reached_rate ≥ 0.90 ve failure-mode dağılımı açıklanabilir </w:t>
      </w:r>
    </w:p>
    <w:p w:rsidR="008E4234" w:rsidRPr="008E4234" w:rsidRDefault="008E4234" w:rsidP="008E42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Q1 düzeyi güçlü iddia: 3 araç + dispersiyon + istatistiksel başarı oranı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lastRenderedPageBreak/>
        <w:t>Faz 5 — Genelleme iddiasını sınıflandırma</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Makaledeki iddia dört seviyeli olmalı: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3713"/>
        <w:gridCol w:w="2381"/>
      </w:tblGrid>
      <w:tr w:rsidR="008E4234" w:rsidRPr="008E4234" w:rsidTr="008E4234">
        <w:trPr>
          <w:tblHeader/>
          <w:tblCellSpacing w:w="15" w:type="dxa"/>
        </w:trPr>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Seviye</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İddia</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Şu anki durum</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U0</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TAEM-event/proximity framework</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Sağlandı</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U1</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Single-vehicle clean TAEM success</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mis1 V8 ile sağlandı</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U2</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Same-target multi-route success</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Henüz yapılmadı</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U3</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Robustness under dispersions</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Henüz yapılmadı</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U4</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Universality across vehicles/scenarios</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Henüz iddia edilmemeli</w:t>
            </w:r>
          </w:p>
        </w:tc>
      </w:tr>
    </w:tbl>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yapı hakem karşısında çok güvenli olur. Çünkü neyi ispatladığımızı, neyi henüz ispatlamadığımızı açıkça ayırır.</w:t>
      </w:r>
    </w:p>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pict>
          <v:rect id="_x0000_i1027" style="width:0;height:1.5pt" o:hralign="center" o:hrstd="t" o:hr="t" fillcolor="#a0a0a0" stroked="f"/>
        </w:pic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4. Q1 makale stratejisi</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4.1. Ana hikâye</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Makale şu hikâyeyi taşımalı:</w:t>
      </w:r>
    </w:p>
    <w:p w:rsidR="008E4234" w:rsidRPr="008E4234" w:rsidRDefault="008E4234" w:rsidP="008E4234">
      <w:pPr>
        <w:spacing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Hipersonik/entry tipi çoklu araç terminal yönlendirmesinde başarıyı yalnız touchdown veya final konumla değerlendirmek yetersizdir. Bu çalışma, dwell tabanlı TAEM-event tanımı ve sürekli proximity metriği ile terminal davranışı ayrıştıran, failure-mode analizine izin veren ve tek araçta clean-latched TAEM success gösteren bir değerlendirme ve doğrulama çerçevesi sunar.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Bu hikâye, savunma notundaki öneriyle uyumlu: Q1 için güçlü olan nokta sadece guidance değil; metodolojik katkı, deneysel ayrıştırma ve başarısızlık kiplerinin nicel analizidir.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4.2. Özgün katkılar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Katkıları şöyle yazalım:</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Katkı 1 — Dwell-based TAEM event definition</w:t>
      </w:r>
      <w:r w:rsidRPr="008E4234">
        <w:rPr>
          <w:rFonts w:ascii="Times New Roman" w:eastAsia="Times New Roman" w:hAnsi="Times New Roman" w:cs="Times New Roman"/>
          <w:sz w:val="24"/>
          <w:szCs w:val="24"/>
        </w:rPr>
        <w:br/>
        <w:t xml:space="preserve">TAEM sadece </w:t>
      </w:r>
      <w:r w:rsidRPr="008E4234">
        <w:rPr>
          <w:rFonts w:ascii="Times New Roman" w:eastAsia="Times New Roman" w:hAnsi="Times New Roman" w:cs="Courier New"/>
          <w:sz w:val="20"/>
          <w:szCs w:val="20"/>
        </w:rPr>
        <w:t>s_go</w:t>
      </w:r>
      <w:r w:rsidRPr="008E4234">
        <w:rPr>
          <w:rFonts w:ascii="Times New Roman" w:eastAsia="Times New Roman" w:hAnsi="Times New Roman" w:cs="Times New Roman"/>
          <w:sz w:val="24"/>
          <w:szCs w:val="24"/>
        </w:rPr>
        <w:t xml:space="preserve"> eşiği olarak değil; </w:t>
      </w:r>
      <w:r w:rsidRPr="008E4234">
        <w:rPr>
          <w:rFonts w:ascii="Times New Roman" w:eastAsia="Times New Roman" w:hAnsi="Times New Roman" w:cs="Courier New"/>
          <w:sz w:val="20"/>
          <w:szCs w:val="20"/>
        </w:rPr>
        <w:t>h</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v</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s_go</w:t>
      </w:r>
      <w:r w:rsidRPr="008E4234">
        <w:rPr>
          <w:rFonts w:ascii="Times New Roman" w:eastAsia="Times New Roman" w:hAnsi="Times New Roman" w:cs="Times New Roman"/>
          <w:sz w:val="24"/>
          <w:szCs w:val="24"/>
        </w:rPr>
        <w:t xml:space="preserve">, gerekirse </w:t>
      </w:r>
      <w:r w:rsidRPr="008E4234">
        <w:rPr>
          <w:rFonts w:ascii="Times New Roman" w:eastAsia="Times New Roman" w:hAnsi="Times New Roman" w:cs="Courier New"/>
          <w:sz w:val="20"/>
          <w:szCs w:val="20"/>
        </w:rPr>
        <w:t>psi</w:t>
      </w:r>
      <w:r w:rsidRPr="008E4234">
        <w:rPr>
          <w:rFonts w:ascii="Times New Roman" w:eastAsia="Times New Roman" w:hAnsi="Times New Roman" w:cs="Times New Roman"/>
          <w:sz w:val="24"/>
          <w:szCs w:val="24"/>
        </w:rPr>
        <w:t xml:space="preserve"> toleransları ve dwell şartıyla tanımlanır. Böylece “yaklaştı” ile “gerçekten ulaştı” ayrılır.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Katkı 2 — Continuous terminal proximity metric</w:t>
      </w:r>
      <w:r w:rsidRPr="008E4234">
        <w:rPr>
          <w:rFonts w:ascii="Times New Roman" w:eastAsia="Times New Roman" w:hAnsi="Times New Roman" w:cs="Times New Roman"/>
          <w:sz w:val="24"/>
          <w:szCs w:val="24"/>
        </w:rPr>
        <w:br/>
        <w:t xml:space="preserve">İkili başarı/başarısızlık yerine </w:t>
      </w:r>
      <w:r w:rsidRPr="008E4234">
        <w:rPr>
          <w:rFonts w:ascii="Times New Roman" w:eastAsia="Times New Roman" w:hAnsi="Times New Roman" w:cs="Courier New"/>
          <w:sz w:val="20"/>
          <w:szCs w:val="20"/>
        </w:rPr>
        <w:t>box_score</w:t>
      </w:r>
      <w:r w:rsidRPr="008E4234">
        <w:rPr>
          <w:rFonts w:ascii="Times New Roman" w:eastAsia="Times New Roman" w:hAnsi="Times New Roman" w:cs="Times New Roman"/>
          <w:sz w:val="24"/>
          <w:szCs w:val="24"/>
        </w:rPr>
        <w:t xml:space="preserve"> veya </w:t>
      </w:r>
      <w:r w:rsidRPr="008E4234">
        <w:rPr>
          <w:rFonts w:ascii="Times New Roman" w:eastAsia="Times New Roman" w:hAnsi="Times New Roman" w:cs="Courier New"/>
          <w:sz w:val="20"/>
          <w:szCs w:val="20"/>
        </w:rPr>
        <w:t>taem_close_score</w:t>
      </w:r>
      <w:r w:rsidRPr="008E4234">
        <w:rPr>
          <w:rFonts w:ascii="Times New Roman" w:eastAsia="Times New Roman" w:hAnsi="Times New Roman" w:cs="Times New Roman"/>
          <w:sz w:val="24"/>
          <w:szCs w:val="24"/>
        </w:rPr>
        <w:t xml:space="preserve"> ile terminale yaklaşma sürekli izlenir.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lastRenderedPageBreak/>
        <w:t>Katkı 3 — Event/logging/compare pipeline</w:t>
      </w:r>
      <w:r w:rsidRPr="008E4234">
        <w:rPr>
          <w:rFonts w:ascii="Times New Roman" w:eastAsia="Times New Roman" w:hAnsi="Times New Roman" w:cs="Times New Roman"/>
          <w:sz w:val="24"/>
          <w:szCs w:val="24"/>
        </w:rPr>
        <w:br/>
        <w:t>TAEM event ve proximity analizi guidance’dan ayrılmıştır. Böylece aynı analiz katmanı farklı guidance yasalarına uygulanabilir.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Katkı 4 — Failure-mode taxonomy</w:t>
      </w:r>
      <w:r w:rsidRPr="008E4234">
        <w:rPr>
          <w:rFonts w:ascii="Times New Roman" w:eastAsia="Times New Roman" w:hAnsi="Times New Roman" w:cs="Times New Roman"/>
          <w:sz w:val="24"/>
          <w:szCs w:val="24"/>
        </w:rPr>
        <w:br/>
        <w:t>Near-success, close pass + escape, range rebound, geometry failure, energy failure ve touchdown-good/TAEM-bad rejimleri nicel olarak ayrıştırılır.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Katkı 5 — Clean-latched single-vehicle TAEM demonstration</w:t>
      </w:r>
      <w:r w:rsidRPr="008E4234">
        <w:rPr>
          <w:rFonts w:ascii="Times New Roman" w:eastAsia="Times New Roman" w:hAnsi="Times New Roman" w:cs="Times New Roman"/>
          <w:sz w:val="24"/>
          <w:szCs w:val="24"/>
        </w:rPr>
        <w:br/>
        <w:t>Mis1 için V8 hattında gerçek dwell + clean terminate gösterilir.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Katkı 6 — Universality protocol</w:t>
      </w:r>
      <w:r w:rsidRPr="008E4234">
        <w:rPr>
          <w:rFonts w:ascii="Times New Roman" w:eastAsia="Times New Roman" w:hAnsi="Times New Roman" w:cs="Times New Roman"/>
          <w:sz w:val="24"/>
          <w:szCs w:val="24"/>
        </w:rPr>
        <w:br/>
        <w:t>Çalışma, tek başarı koşusu yerine multi-route ve dispersiyon kampanyasına uzanan kademeli bir evrensellik protokolü önerir.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Burada çok önemli:</w:t>
      </w:r>
      <w:r w:rsidRPr="008E4234">
        <w:rPr>
          <w:rFonts w:ascii="Times New Roman" w:eastAsia="Times New Roman" w:hAnsi="Times New Roman" w:cs="Times New Roman"/>
          <w:sz w:val="24"/>
          <w:szCs w:val="24"/>
        </w:rPr>
        <w:br/>
        <w:t>“Universal guidance achieved” demeyeceğiz.</w:t>
      </w:r>
      <w:r w:rsidRPr="008E4234">
        <w:rPr>
          <w:rFonts w:ascii="Times New Roman" w:eastAsia="Times New Roman" w:hAnsi="Times New Roman" w:cs="Times New Roman"/>
          <w:sz w:val="24"/>
          <w:szCs w:val="24"/>
        </w:rPr>
        <w:br/>
        <w:t>“Universality-oriented validation protocol is established” diyeceğiz. Eğer Faz 2–4 başarılı olursa iddia güçlendirilir.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4.3. Makale bölüm omurgası</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Savunma notundaki bölüm yapısı korunmalı. </w:t>
      </w:r>
    </w:p>
    <w:p w:rsidR="008E4234" w:rsidRPr="008E4234" w:rsidRDefault="008E4234" w:rsidP="008E4234">
      <w:pPr>
        <w:spacing w:before="100" w:beforeAutospacing="1" w:after="100" w:afterAutospacing="1" w:line="240" w:lineRule="auto"/>
        <w:outlineLvl w:val="2"/>
        <w:rPr>
          <w:rFonts w:ascii="Times New Roman" w:eastAsia="Times New Roman" w:hAnsi="Times New Roman" w:cs="Times New Roman"/>
          <w:b/>
          <w:bCs/>
          <w:sz w:val="27"/>
          <w:szCs w:val="27"/>
        </w:rPr>
      </w:pPr>
      <w:r w:rsidRPr="008E4234">
        <w:rPr>
          <w:rFonts w:ascii="Times New Roman" w:eastAsia="Times New Roman" w:hAnsi="Times New Roman" w:cs="Times New Roman"/>
          <w:b/>
          <w:bCs/>
          <w:sz w:val="27"/>
          <w:szCs w:val="27"/>
        </w:rPr>
        <w:t>1. Introduction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Üç parçalı giriş:</w:t>
      </w:r>
    </w:p>
    <w:p w:rsidR="008E4234" w:rsidRPr="008E4234" w:rsidRDefault="008E4234" w:rsidP="008E42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Terminal başarıyı yalnız final konumla ölçmenin yetersizliği </w:t>
      </w:r>
    </w:p>
    <w:p w:rsidR="008E4234" w:rsidRPr="008E4234" w:rsidRDefault="008E4234" w:rsidP="008E42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TAEM-event tanımının çoğu çalışmada tek eşik veya belirsiz olması </w:t>
      </w:r>
    </w:p>
    <w:p w:rsidR="008E4234" w:rsidRPr="008E4234" w:rsidRDefault="008E4234" w:rsidP="008E42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Bu çalışmanın dwell-based event + continuous proximity + failure-mode framework katkısı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Sonunda katkı maddeleri.</w:t>
      </w:r>
    </w:p>
    <w:p w:rsidR="008E4234" w:rsidRPr="008E4234" w:rsidRDefault="008E4234" w:rsidP="008E4234">
      <w:pPr>
        <w:spacing w:before="100" w:beforeAutospacing="1" w:after="100" w:afterAutospacing="1" w:line="240" w:lineRule="auto"/>
        <w:outlineLvl w:val="2"/>
        <w:rPr>
          <w:rFonts w:ascii="Times New Roman" w:eastAsia="Times New Roman" w:hAnsi="Times New Roman" w:cs="Times New Roman"/>
          <w:b/>
          <w:bCs/>
          <w:sz w:val="27"/>
          <w:szCs w:val="27"/>
        </w:rPr>
      </w:pPr>
      <w:r w:rsidRPr="008E4234">
        <w:rPr>
          <w:rFonts w:ascii="Times New Roman" w:eastAsia="Times New Roman" w:hAnsi="Times New Roman" w:cs="Times New Roman"/>
          <w:b/>
          <w:bCs/>
          <w:sz w:val="27"/>
          <w:szCs w:val="27"/>
        </w:rPr>
        <w:t>2. Problem Definition and Terminal Success Formulation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Alt başlıklar:</w:t>
      </w:r>
    </w:p>
    <w:p w:rsidR="008E4234" w:rsidRPr="008E4234" w:rsidRDefault="008E4234" w:rsidP="008E42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2.1 Same-target multi-vehicle entry scenario </w:t>
      </w:r>
    </w:p>
    <w:p w:rsidR="008E4234" w:rsidRPr="008E4234" w:rsidRDefault="008E4234" w:rsidP="008E42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2.2 TAEM target state and tolerance box </w:t>
      </w:r>
    </w:p>
    <w:p w:rsidR="008E4234" w:rsidRPr="008E4234" w:rsidRDefault="008E4234" w:rsidP="008E42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2.3 Dwell-based TAEM event </w:t>
      </w:r>
    </w:p>
    <w:p w:rsidR="008E4234" w:rsidRPr="008E4234" w:rsidRDefault="008E4234" w:rsidP="008E42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2.4 Continuous proximity metric </w:t>
      </w:r>
    </w:p>
    <w:p w:rsidR="008E4234" w:rsidRPr="008E4234" w:rsidRDefault="008E4234" w:rsidP="008E42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2.5 Clean termination and post-processing protocol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lastRenderedPageBreak/>
        <w:t>Buradaki ana cümle:</w:t>
      </w:r>
      <w:r w:rsidRPr="008E4234">
        <w:rPr>
          <w:rFonts w:ascii="Times New Roman" w:eastAsia="Times New Roman" w:hAnsi="Times New Roman" w:cs="Times New Roman"/>
          <w:sz w:val="24"/>
          <w:szCs w:val="24"/>
        </w:rPr>
        <w:br/>
      </w:r>
      <w:r w:rsidRPr="008E4234">
        <w:rPr>
          <w:rFonts w:ascii="Times New Roman" w:eastAsia="Times New Roman" w:hAnsi="Times New Roman" w:cs="Times New Roman"/>
          <w:b/>
          <w:bCs/>
          <w:sz w:val="24"/>
          <w:szCs w:val="24"/>
        </w:rPr>
        <w:t>Touchdown proximity is not equivalent to TAEM event success.</w:t>
      </w:r>
    </w:p>
    <w:p w:rsidR="008E4234" w:rsidRPr="008E4234" w:rsidRDefault="008E4234" w:rsidP="008E4234">
      <w:pPr>
        <w:spacing w:before="100" w:beforeAutospacing="1" w:after="100" w:afterAutospacing="1" w:line="240" w:lineRule="auto"/>
        <w:outlineLvl w:val="2"/>
        <w:rPr>
          <w:rFonts w:ascii="Times New Roman" w:eastAsia="Times New Roman" w:hAnsi="Times New Roman" w:cs="Times New Roman"/>
          <w:b/>
          <w:bCs/>
          <w:sz w:val="27"/>
          <w:szCs w:val="27"/>
        </w:rPr>
      </w:pPr>
      <w:r w:rsidRPr="008E4234">
        <w:rPr>
          <w:rFonts w:ascii="Times New Roman" w:eastAsia="Times New Roman" w:hAnsi="Times New Roman" w:cs="Times New Roman"/>
          <w:b/>
          <w:bCs/>
          <w:sz w:val="27"/>
          <w:szCs w:val="27"/>
        </w:rPr>
        <w:t>3. Methodology</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Alt başlıklar:</w:t>
      </w:r>
    </w:p>
    <w:p w:rsidR="008E4234" w:rsidRPr="008E4234" w:rsidRDefault="008E4234" w:rsidP="008E42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3.1 Simulation and guidance architecture </w:t>
      </w:r>
    </w:p>
    <w:p w:rsidR="008E4234" w:rsidRPr="008E4234" w:rsidRDefault="008E4234" w:rsidP="008E42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3.2 Event/logging/evaluation layer </w:t>
      </w:r>
    </w:p>
    <w:p w:rsidR="008E4234" w:rsidRPr="008E4234" w:rsidRDefault="008E4234" w:rsidP="008E42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3.3 TAEM compare pipeline </w:t>
      </w:r>
    </w:p>
    <w:p w:rsidR="008E4234" w:rsidRPr="008E4234" w:rsidRDefault="008E4234" w:rsidP="008E42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3.4 Experimental protocol </w:t>
      </w:r>
    </w:p>
    <w:p w:rsidR="008E4234" w:rsidRPr="008E4234" w:rsidRDefault="008E4234" w:rsidP="008E42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3.5 Single-vehicle success baseline and extension protocol </w:t>
      </w:r>
    </w:p>
    <w:p w:rsidR="008E4234" w:rsidRPr="008E4234" w:rsidRDefault="008E4234" w:rsidP="008E4234">
      <w:pPr>
        <w:spacing w:before="100" w:beforeAutospacing="1" w:after="100" w:afterAutospacing="1" w:line="240" w:lineRule="auto"/>
        <w:outlineLvl w:val="2"/>
        <w:rPr>
          <w:rFonts w:ascii="Times New Roman" w:eastAsia="Times New Roman" w:hAnsi="Times New Roman" w:cs="Times New Roman"/>
          <w:b/>
          <w:bCs/>
          <w:sz w:val="27"/>
          <w:szCs w:val="27"/>
        </w:rPr>
      </w:pPr>
      <w:r w:rsidRPr="008E4234">
        <w:rPr>
          <w:rFonts w:ascii="Times New Roman" w:eastAsia="Times New Roman" w:hAnsi="Times New Roman" w:cs="Times New Roman"/>
          <w:b/>
          <w:bCs/>
          <w:sz w:val="27"/>
          <w:szCs w:val="27"/>
        </w:rPr>
        <w:t>4. Results and Discussion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Alt başlıklar:</w:t>
      </w:r>
    </w:p>
    <w:p w:rsidR="008E4234" w:rsidRPr="008E4234" w:rsidRDefault="008E4234" w:rsidP="008E4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4.1 Baseline multi-vehicle terminal behavior </w:t>
      </w:r>
    </w:p>
    <w:p w:rsidR="008E4234" w:rsidRPr="008E4234" w:rsidRDefault="008E4234" w:rsidP="008E4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4.2 Mis1 clean TAEM success case </w:t>
      </w:r>
    </w:p>
    <w:p w:rsidR="008E4234" w:rsidRPr="008E4234" w:rsidRDefault="008E4234" w:rsidP="008E4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4.3 Event-based TAEM proximity analysis </w:t>
      </w:r>
    </w:p>
    <w:p w:rsidR="008E4234" w:rsidRPr="008E4234" w:rsidRDefault="008E4234" w:rsidP="008E4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4.4 Failure-mode classification </w:t>
      </w:r>
    </w:p>
    <w:p w:rsidR="008E4234" w:rsidRPr="008E4234" w:rsidRDefault="008E4234" w:rsidP="008E4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4.5 Patch progression and design lessons </w:t>
      </w:r>
    </w:p>
    <w:p w:rsidR="008E4234" w:rsidRPr="008E4234" w:rsidRDefault="008E4234" w:rsidP="008E4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4.6 Universality protocol and limitations </w:t>
      </w:r>
    </w:p>
    <w:p w:rsidR="008E4234" w:rsidRPr="008E4234" w:rsidRDefault="008E4234" w:rsidP="008E4234">
      <w:pPr>
        <w:spacing w:before="100" w:beforeAutospacing="1" w:after="100" w:afterAutospacing="1" w:line="240" w:lineRule="auto"/>
        <w:outlineLvl w:val="2"/>
        <w:rPr>
          <w:rFonts w:ascii="Times New Roman" w:eastAsia="Times New Roman" w:hAnsi="Times New Roman" w:cs="Times New Roman"/>
          <w:b/>
          <w:bCs/>
          <w:sz w:val="27"/>
          <w:szCs w:val="27"/>
        </w:rPr>
      </w:pPr>
      <w:r w:rsidRPr="008E4234">
        <w:rPr>
          <w:rFonts w:ascii="Times New Roman" w:eastAsia="Times New Roman" w:hAnsi="Times New Roman" w:cs="Times New Roman"/>
          <w:b/>
          <w:bCs/>
          <w:sz w:val="27"/>
          <w:szCs w:val="27"/>
        </w:rPr>
        <w:t>5. Conclusion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Sonuç tonu:</w:t>
      </w:r>
    </w:p>
    <w:p w:rsidR="008E4234" w:rsidRPr="008E4234" w:rsidRDefault="008E4234" w:rsidP="008E42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Event framework kurulmuştur. </w:t>
      </w:r>
    </w:p>
    <w:p w:rsidR="008E4234" w:rsidRPr="008E4234" w:rsidRDefault="008E4234" w:rsidP="008E42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Clean-latched single-vehicle TAEM success gösterilmiştir. </w:t>
      </w:r>
    </w:p>
    <w:p w:rsidR="008E4234" w:rsidRPr="008E4234" w:rsidRDefault="008E4234" w:rsidP="008E42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Multi-vehicle universality için protokol tanımlanmıştır. </w:t>
      </w:r>
    </w:p>
    <w:p w:rsidR="008E4234" w:rsidRPr="008E4234" w:rsidRDefault="008E4234" w:rsidP="008E42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Geniş dispersiyon testleri gelecekte değil, eğer yaparsak ana sonuç olarak verilecektir. </w:t>
      </w:r>
    </w:p>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pict>
          <v:rect id="_x0000_i1028" style="width:0;height:1.5pt" o:hralign="center" o:hrstd="t" o:hr="t" fillcolor="#a0a0a0" stroked="f"/>
        </w:pic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5. Q1 için gerekli tablolar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Table 1 — Scenario and evaluation setup</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İçerik:</w:t>
      </w:r>
    </w:p>
    <w:p w:rsidR="008E4234" w:rsidRPr="008E4234" w:rsidRDefault="008E4234" w:rsidP="008E4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araç sayısı </w:t>
      </w:r>
    </w:p>
    <w:p w:rsidR="008E4234" w:rsidRPr="008E4234" w:rsidRDefault="008E4234" w:rsidP="008E4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hedef </w:t>
      </w:r>
    </w:p>
    <w:p w:rsidR="008E4234" w:rsidRPr="008E4234" w:rsidRDefault="008E4234" w:rsidP="008E4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TAEM target state </w:t>
      </w:r>
    </w:p>
    <w:p w:rsidR="008E4234" w:rsidRPr="008E4234" w:rsidRDefault="008E4234" w:rsidP="008E4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toleranslar </w:t>
      </w:r>
    </w:p>
    <w:p w:rsidR="008E4234" w:rsidRPr="008E4234" w:rsidRDefault="008E4234" w:rsidP="008E4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lastRenderedPageBreak/>
        <w:t xml:space="preserve">dwell requirement </w:t>
      </w:r>
    </w:p>
    <w:p w:rsidR="008E4234" w:rsidRPr="008E4234" w:rsidRDefault="008E4234" w:rsidP="008E4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output artefacts </w:t>
      </w:r>
    </w:p>
    <w:p w:rsidR="008E4234" w:rsidRPr="008E4234" w:rsidRDefault="008E4234" w:rsidP="008E4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logging columns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Table 2 — Single-vehicle V8 success summary</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İçerik:</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h_end</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v_end</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s_go_end</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delta_psi_end</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taem_h_err</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taem_v_err</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taem_s_go_err</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taem_dwell_s</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end_reason</w:t>
      </w:r>
      <w:r w:rsidRPr="008E4234">
        <w:rPr>
          <w:rFonts w:ascii="Times New Roman" w:eastAsia="Times New Roman" w:hAnsi="Times New Roman" w:cs="Times New Roman"/>
          <w:sz w:val="24"/>
          <w:szCs w:val="24"/>
        </w:rPr>
        <w:t xml:space="preserve">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Table 3 — Vehicle-wise terminal event and proximity metrics</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İçerik:</w:t>
      </w:r>
    </w:p>
    <w:p w:rsidR="008E4234" w:rsidRPr="008E4234" w:rsidRDefault="008E4234" w:rsidP="008E4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min </w:t>
      </w:r>
      <w:r w:rsidRPr="008E4234">
        <w:rPr>
          <w:rFonts w:ascii="Times New Roman" w:eastAsia="Times New Roman" w:hAnsi="Times New Roman" w:cs="Courier New"/>
          <w:sz w:val="20"/>
          <w:szCs w:val="20"/>
        </w:rPr>
        <w:t>|h_err|</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min </w:t>
      </w:r>
      <w:r w:rsidRPr="008E4234">
        <w:rPr>
          <w:rFonts w:ascii="Times New Roman" w:eastAsia="Times New Roman" w:hAnsi="Times New Roman" w:cs="Courier New"/>
          <w:sz w:val="20"/>
          <w:szCs w:val="20"/>
        </w:rPr>
        <w:t>|v_err|</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min </w:t>
      </w:r>
      <w:r w:rsidRPr="008E4234">
        <w:rPr>
          <w:rFonts w:ascii="Times New Roman" w:eastAsia="Times New Roman" w:hAnsi="Times New Roman" w:cs="Courier New"/>
          <w:sz w:val="20"/>
          <w:szCs w:val="20"/>
        </w:rPr>
        <w:t>|s_go_err|</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min </w:t>
      </w:r>
      <w:r w:rsidRPr="008E4234">
        <w:rPr>
          <w:rFonts w:ascii="Times New Roman" w:eastAsia="Times New Roman" w:hAnsi="Times New Roman" w:cs="Courier New"/>
          <w:sz w:val="20"/>
          <w:szCs w:val="20"/>
        </w:rPr>
        <w:t>|psi_err|</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best </w:t>
      </w:r>
      <w:r w:rsidRPr="008E4234">
        <w:rPr>
          <w:rFonts w:ascii="Times New Roman" w:eastAsia="Times New Roman" w:hAnsi="Times New Roman" w:cs="Courier New"/>
          <w:sz w:val="20"/>
          <w:szCs w:val="20"/>
        </w:rPr>
        <w:t>box_score</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taem_reached</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end_reason</w:t>
      </w:r>
      <w:r w:rsidRPr="008E4234">
        <w:rPr>
          <w:rFonts w:ascii="Times New Roman" w:eastAsia="Times New Roman" w:hAnsi="Times New Roman" w:cs="Times New Roman"/>
          <w:sz w:val="24"/>
          <w:szCs w:val="24"/>
        </w:rPr>
        <w:t xml:space="preserve">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Table 4 — Failure-mode classification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İçerik:</w:t>
      </w:r>
    </w:p>
    <w:p w:rsidR="008E4234" w:rsidRPr="008E4234" w:rsidRDefault="008E4234" w:rsidP="008E42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araç </w:t>
      </w:r>
    </w:p>
    <w:p w:rsidR="008E4234" w:rsidRPr="008E4234" w:rsidRDefault="008E4234" w:rsidP="008E42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koşu </w:t>
      </w:r>
    </w:p>
    <w:p w:rsidR="008E4234" w:rsidRPr="008E4234" w:rsidRDefault="008E4234" w:rsidP="008E42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failure label </w:t>
      </w:r>
    </w:p>
    <w:p w:rsidR="008E4234" w:rsidRPr="008E4234" w:rsidRDefault="008E4234" w:rsidP="008E42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evidence </w:t>
      </w:r>
    </w:p>
    <w:p w:rsidR="008E4234" w:rsidRPr="008E4234" w:rsidRDefault="008E4234" w:rsidP="008E42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yorum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Table 5 — Patch / branch progression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İçerik:</w:t>
      </w:r>
    </w:p>
    <w:p w:rsidR="008E4234" w:rsidRPr="008E4234" w:rsidRDefault="008E4234" w:rsidP="008E42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lastRenderedPageBreak/>
        <w:t xml:space="preserve">V1 near-success </w:t>
      </w:r>
    </w:p>
    <w:p w:rsidR="008E4234" w:rsidRPr="008E4234" w:rsidRDefault="008E4234" w:rsidP="008E42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V6/V7 clean fail-latch lessons </w:t>
      </w:r>
    </w:p>
    <w:p w:rsidR="008E4234" w:rsidRPr="008E4234" w:rsidRDefault="008E4234" w:rsidP="008E42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V8 success latch </w:t>
      </w:r>
    </w:p>
    <w:p w:rsidR="008E4234" w:rsidRPr="008E4234" w:rsidRDefault="008E4234" w:rsidP="008E42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V8.2 final flag cleanup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Burada dikkat: V6/V7 başarısızlıklarını saklamayalım; bunları “failure analysis and design filtering” olarak sunalım. Q1 için bu olgunluk gösterir.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Table 6 — Universality campaign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tablo Faz 2–4 tamamlanırsa eklenecek:</w:t>
      </w:r>
    </w:p>
    <w:p w:rsidR="008E4234" w:rsidRPr="008E4234" w:rsidRDefault="008E4234" w:rsidP="008E4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route set </w:t>
      </w:r>
    </w:p>
    <w:p w:rsidR="008E4234" w:rsidRPr="008E4234" w:rsidRDefault="008E4234" w:rsidP="008E4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dispersion level </w:t>
      </w:r>
    </w:p>
    <w:p w:rsidR="008E4234" w:rsidRPr="008E4234" w:rsidRDefault="008E4234" w:rsidP="008E4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N </w:t>
      </w:r>
    </w:p>
    <w:p w:rsidR="008E4234" w:rsidRPr="008E4234" w:rsidRDefault="008E4234" w:rsidP="008E4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reached_rate </w:t>
      </w:r>
    </w:p>
    <w:p w:rsidR="008E4234" w:rsidRPr="008E4234" w:rsidRDefault="008E4234" w:rsidP="008E4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mean dwell </w:t>
      </w:r>
    </w:p>
    <w:p w:rsidR="008E4234" w:rsidRPr="008E4234" w:rsidRDefault="008E4234" w:rsidP="008E4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failure distribution </w:t>
      </w:r>
    </w:p>
    <w:p w:rsidR="008E4234" w:rsidRPr="008E4234" w:rsidRDefault="008E4234" w:rsidP="008E4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constraint metrics </w:t>
      </w:r>
    </w:p>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pict>
          <v:rect id="_x0000_i1029" style="width:0;height:1.5pt" o:hralign="center" o:hrstd="t" o:hr="t" fillcolor="#a0a0a0" stroked="f"/>
        </w:pic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6. Şekil paketi</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Savunma notunda önerilen şekil paketi sade ve doğru.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Ben güncellenmiş haliyle şöyle öneriyorum:</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Figure 1 — Overall framework</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Simülasyon → guidance → TAEM logging → compare → event/proximity/failure-mode output.</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Figure 2 — TAEM event definition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Tolerance box + dwell logic diagram.</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Figure 3 — Mis1 V8 success time histories</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height</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velocity</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s_go</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delta_psi</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taem_in_box</w:t>
      </w:r>
      <w:r w:rsidRPr="008E4234">
        <w:rPr>
          <w:rFonts w:ascii="Times New Roman" w:eastAsia="Times New Roman" w:hAnsi="Times New Roman" w:cs="Times New Roman"/>
          <w:sz w:val="24"/>
          <w:szCs w:val="24"/>
        </w:rPr>
        <w:t>.</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Figure 4 — TAEM diagnostics</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box_score</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taem_h_err</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taem_v_err</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taem_s_go_err</w:t>
      </w:r>
      <w:r w:rsidRPr="008E4234">
        <w:rPr>
          <w:rFonts w:ascii="Times New Roman" w:eastAsia="Times New Roman" w:hAnsi="Times New Roman" w:cs="Times New Roman"/>
          <w:sz w:val="24"/>
          <w:szCs w:val="24"/>
        </w:rPr>
        <w:t>, dwell counter.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lastRenderedPageBreak/>
        <w:t>Figure 5 — Failure-mode examples</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V7.4 veya V6 gibi bir clean fail-latch örneği: neden başarısız olduğunu gösteren tanı figürü.</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Figure 6 — Universality protocol diagram</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Kademe A → B → C → D.</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Eğer makale sayfa sınırı dar ise Figure 5 ve Figure 6’dan biri supplementary’ye alınabilir.</w:t>
      </w:r>
    </w:p>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pict>
          <v:rect id="_x0000_i1030" style="width:0;height:1.5pt" o:hralign="center" o:hrstd="t" o:hr="t" fillcolor="#a0a0a0" stroked="f"/>
        </w:pic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7. Bundan sonra çalıştırılacak somut deney sırası</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Deney 1 — V8.2 baseline confirmation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Amaç: V8 başarısını nihai doğrulamak.</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Çıktılar:</w:t>
      </w:r>
    </w:p>
    <w:p w:rsidR="008E4234" w:rsidRPr="008E4234" w:rsidRDefault="008E4234" w:rsidP="008E42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CSV </w:t>
      </w:r>
    </w:p>
    <w:p w:rsidR="008E4234" w:rsidRPr="008E4234" w:rsidRDefault="008E4234" w:rsidP="008E42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PDF </w:t>
      </w:r>
    </w:p>
    <w:p w:rsidR="008E4234" w:rsidRPr="008E4234" w:rsidRDefault="008E4234" w:rsidP="008E42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compare files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Karar:</w:t>
      </w:r>
    </w:p>
    <w:p w:rsidR="008E4234" w:rsidRPr="008E4234" w:rsidRDefault="008E4234" w:rsidP="008E423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Başarı tekrar ederse Faz 1 tamam. </w:t>
      </w:r>
    </w:p>
    <w:p w:rsidR="008E4234" w:rsidRPr="008E4234" w:rsidRDefault="008E4234" w:rsidP="008E423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Başarı tekrar etmezse dosya/seed/yerleşim farkı aranır.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Deney 2 — Dwell sensitivity</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Aynı V8 mantığıyla:</w:t>
      </w:r>
    </w:p>
    <w:p w:rsidR="008E4234" w:rsidRPr="008E4234" w:rsidRDefault="008E4234" w:rsidP="008E42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dwell=3 </w:t>
      </w:r>
    </w:p>
    <w:p w:rsidR="008E4234" w:rsidRPr="008E4234" w:rsidRDefault="008E4234" w:rsidP="008E42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dwell=4 </w:t>
      </w:r>
    </w:p>
    <w:p w:rsidR="008E4234" w:rsidRPr="008E4234" w:rsidRDefault="008E4234" w:rsidP="008E42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dwell=5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Karar:</w:t>
      </w:r>
    </w:p>
    <w:p w:rsidR="008E4234" w:rsidRPr="008E4234" w:rsidRDefault="008E4234" w:rsidP="008E42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dwell=3 başarı, dwell=4 başarısız ise makalede dwell=3 kullanılabilir ama sensitivity açıkça verilmeli. </w:t>
      </w:r>
    </w:p>
    <w:p w:rsidR="008E4234" w:rsidRPr="008E4234" w:rsidRDefault="008E4234" w:rsidP="008E42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lastRenderedPageBreak/>
        <w:t xml:space="preserve">dwell=4 de başarı verirse Q1 için çok güçlenir.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Deney 3 — mis1 perturbation mini-grid</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Küçük sapmalar:</w:t>
      </w:r>
    </w:p>
    <w:p w:rsidR="008E4234" w:rsidRPr="008E4234" w:rsidRDefault="008E4234" w:rsidP="008E42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heading ±1°, ±2° </w:t>
      </w:r>
    </w:p>
    <w:p w:rsidR="008E4234" w:rsidRPr="008E4234" w:rsidRDefault="008E4234" w:rsidP="008E42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height ±250/500 m </w:t>
      </w:r>
    </w:p>
    <w:p w:rsidR="008E4234" w:rsidRPr="008E4234" w:rsidRDefault="008E4234" w:rsidP="008E42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velocity ±50/100 m/s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Karar:</w:t>
      </w:r>
    </w:p>
    <w:p w:rsidR="008E4234" w:rsidRPr="008E4234" w:rsidRDefault="008E4234" w:rsidP="008E423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Başarı oranı varsa “local robustness” yazılır. </w:t>
      </w:r>
    </w:p>
    <w:p w:rsidR="008E4234" w:rsidRPr="008E4234" w:rsidRDefault="008E4234" w:rsidP="008E423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Yoksa “nominal clean success demonstration” olarak kalır.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Deney 4 — Same-target multi-vehicle transfer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V8 terminal latch mantığı multi hatta taşınır.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Ölçü:</w:t>
      </w:r>
    </w:p>
    <w:p w:rsidR="008E4234" w:rsidRPr="008E4234" w:rsidRDefault="008E4234" w:rsidP="008E423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1/3 mü, 2/3 mü, 3/3 mü?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Deney 5 — Multi-route + dispersion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Faz 4’teki robustness.</w:t>
      </w:r>
    </w:p>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pict>
          <v:rect id="_x0000_i1031" style="width:0;height:1.5pt" o:hralign="center" o:hrstd="t" o:hr="t" fillcolor="#a0a0a0" stroked="f"/>
        </w:pic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8. Makalede kullanılacak dürüst iddia cümleleri</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Şu anda güvenle söylenebilecek</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çalışma, TAEM terminal başarısını dwell tabanlı bir olay olarak tanımlayan ve terminal yakınlığı sürekli bir metrikle izleyen bir değerlendirme çerçevesi sunmaktadır.”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“Önerilen logging ve compare hattı, near-success, close-pass escape, geometry failure ve clean success gibi terminal rejimlerini ayrıştırmaktadır.”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“Mis1 tek araç koşusunda clean-latched TAEM success elde edilmiştir.”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lastRenderedPageBreak/>
        <w:t>Henüz söylenmemesi gereken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“Guidance evrensel olarak tüm araçlarda çalışmaktadır.”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“Çoklu araç TAEM capture garanti edilmiştir.”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“Robustness under dispersions gösterilmiştir.”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Faz 2–4 başarılı olursa söylenebilecek</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“Çerçeve, aynı hedefe yönelen çoklu araç senaryosunda farklı route-shaping rejimleri altında genelleştirilebilir TAEM-event doğrulaması sağlamıştır.”</w:t>
      </w:r>
    </w:p>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pict>
          <v:rect id="_x0000_i1032" style="width:0;height:1.5pt" o:hralign="center" o:hrstd="t" o:hr="t" fillcolor="#a0a0a0" stroked="f"/>
        </w:pic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9. En doğru kısa strateji</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Bundan sonra aynı anda hem makale hem mühendislik şöyle ilerlemeli:</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Mühendislik tarafı</w:t>
      </w:r>
    </w:p>
    <w:p w:rsidR="008E4234" w:rsidRPr="008E4234" w:rsidRDefault="008E4234" w:rsidP="008E42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V8.2 baseline freeze </w:t>
      </w:r>
    </w:p>
    <w:p w:rsidR="008E4234" w:rsidRPr="008E4234" w:rsidRDefault="008E4234" w:rsidP="008E42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Dwell/tolerance sensitivity </w:t>
      </w:r>
    </w:p>
    <w:p w:rsidR="008E4234" w:rsidRPr="008E4234" w:rsidRDefault="008E4234" w:rsidP="008E42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Mis1 perturbation </w:t>
      </w:r>
    </w:p>
    <w:p w:rsidR="008E4234" w:rsidRPr="008E4234" w:rsidRDefault="008E4234" w:rsidP="008E42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Multi transfer </w:t>
      </w:r>
    </w:p>
    <w:p w:rsidR="008E4234" w:rsidRPr="008E4234" w:rsidRDefault="008E4234" w:rsidP="008E42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Monte Carlo / dispersion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Makale tarafı</w:t>
      </w:r>
    </w:p>
    <w:p w:rsidR="008E4234" w:rsidRPr="008E4234" w:rsidRDefault="008E4234" w:rsidP="008E42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Introduction + contribution yazımı </w:t>
      </w:r>
    </w:p>
    <w:p w:rsidR="008E4234" w:rsidRPr="008E4234" w:rsidRDefault="008E4234" w:rsidP="008E42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TAEM event formulation </w:t>
      </w:r>
    </w:p>
    <w:p w:rsidR="008E4234" w:rsidRPr="008E4234" w:rsidRDefault="008E4234" w:rsidP="008E42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Logging/compare methodology </w:t>
      </w:r>
    </w:p>
    <w:p w:rsidR="008E4234" w:rsidRPr="008E4234" w:rsidRDefault="008E4234" w:rsidP="008E42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V8 success result </w:t>
      </w:r>
    </w:p>
    <w:p w:rsidR="008E4234" w:rsidRPr="008E4234" w:rsidRDefault="008E4234" w:rsidP="008E42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Failure-mode taxonomy </w:t>
      </w:r>
    </w:p>
    <w:p w:rsidR="008E4234" w:rsidRPr="008E4234" w:rsidRDefault="008E4234" w:rsidP="008E42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Universality protocol / robustness sonuçları geldikçe Results’a ekleme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şekilde çalışırsak Q1 için hikâye dağılmaz. Başarıyı abartmadan ama güçlü biçimde konumlandırırız.</w: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10. Son karar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Bugünkü nihai yol şu:</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lastRenderedPageBreak/>
        <w:t>V8/V8.2 artık başarı baseline’dır.</w:t>
      </w:r>
      <w:r w:rsidRPr="008E4234">
        <w:rPr>
          <w:rFonts w:ascii="Times New Roman" w:eastAsia="Times New Roman" w:hAnsi="Times New Roman" w:cs="Times New Roman"/>
          <w:sz w:val="24"/>
          <w:szCs w:val="24"/>
        </w:rPr>
        <w:br/>
      </w:r>
      <w:r w:rsidRPr="008E4234">
        <w:rPr>
          <w:rFonts w:ascii="Times New Roman" w:eastAsia="Times New Roman" w:hAnsi="Times New Roman" w:cs="Times New Roman"/>
          <w:b/>
          <w:bCs/>
          <w:sz w:val="24"/>
          <w:szCs w:val="24"/>
        </w:rPr>
        <w:t>V6/V7 serisi failure-analysis arşividir.</w:t>
      </w:r>
      <w:r w:rsidRPr="008E4234">
        <w:rPr>
          <w:rFonts w:ascii="Times New Roman" w:eastAsia="Times New Roman" w:hAnsi="Times New Roman" w:cs="Times New Roman"/>
          <w:sz w:val="24"/>
          <w:szCs w:val="24"/>
        </w:rPr>
        <w:br/>
      </w:r>
      <w:r w:rsidRPr="008E4234">
        <w:rPr>
          <w:rFonts w:ascii="Times New Roman" w:eastAsia="Times New Roman" w:hAnsi="Times New Roman" w:cs="Times New Roman"/>
          <w:b/>
          <w:bCs/>
          <w:sz w:val="24"/>
          <w:szCs w:val="24"/>
        </w:rPr>
        <w:t>Evrensellik iddiası için artık yeni guidance yaması değil, protokollü doğrulama kampanyası gerekir.</w:t>
      </w:r>
      <w:r w:rsidRPr="008E4234">
        <w:rPr>
          <w:rFonts w:ascii="Times New Roman" w:eastAsia="Times New Roman" w:hAnsi="Times New Roman" w:cs="Times New Roman"/>
          <w:sz w:val="24"/>
          <w:szCs w:val="24"/>
        </w:rPr>
        <w:br/>
      </w:r>
      <w:r w:rsidRPr="008E4234">
        <w:rPr>
          <w:rFonts w:ascii="Times New Roman" w:eastAsia="Times New Roman" w:hAnsi="Times New Roman" w:cs="Times New Roman"/>
          <w:b/>
          <w:bCs/>
          <w:sz w:val="24"/>
          <w:szCs w:val="24"/>
        </w:rPr>
        <w:t>Q1 makale ana katkısı ise dwell-based TAEM event framework + continuous proximity metric + failure-mode taxonomy + clean-latched mis1 success + staged universality protocol olmalıdır.</w:t>
      </w:r>
    </w:p>
    <w:p w:rsidR="00B73EE2" w:rsidRDefault="008E4234">
      <w:bookmarkStart w:id="0" w:name="_GoBack"/>
      <w:bookmarkEnd w:id="0"/>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