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harts/chart1.xml" ContentType="application/vnd.openxmlformats-officedocument.drawingml.chart+xml"/>
  <Override PartName="/word/embeddings/veri1.xlsx" ContentType="application/vnd.openxmlformats-officedocument.spreadsheetml.sheet"/>
  <Override PartName="/word/charts/chart3.xml" ContentType="application/vnd.openxmlformats-officedocument.drawingml.chart+xml"/>
  <Override PartName="/word/embeddings/veri3.xlsx" ContentType="application/vnd.openxmlformats-officedocument.spreadsheetml.sheet"/>
  <Override PartName="/word/charts/chart4.xml" ContentType="application/vnd.openxmlformats-officedocument.drawingml.chart+xml"/>
  <Override PartName="/word/embeddings/veri4.xlsx" ContentType="application/vnd.openxmlformats-officedocument.spreadsheetml.shee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line="276" w:lineRule="auto"/>
        <w:jc w:val="center"/>
      </w:pPr>
      <w:r>
        <w:rPr>
          <w:rFonts w:ascii="Times New Roman" w:hAnsi="Times New Roman" w:eastAsia="Times New Roman"/>
          <w:b/>
          <w:i w:val="0"/>
          <w:sz w:val="32"/>
        </w:rPr>
        <w:t>Ev Tipi ve Endüstriyel Fırınlarda Fan ve Hava Kanalı Geometrisinin Hesaplamalı Akışkanlar Dinamiği ile Optimizasyonu: Kapsamlı Bir Derleme</w:t>
      </w:r>
    </w:p>
    <w:p>
      <w:pPr>
        <w:spacing w:after="200" w:before="0" w:line="276" w:lineRule="auto"/>
      </w:pPr>
      <w:r>
        <w:rPr>
          <w:rFonts w:ascii="Times New Roman" w:hAnsi="Times New Roman" w:eastAsia="Times New Roman"/>
          <w:b w:val="0"/>
          <w:i/>
          <w:sz w:val="18"/>
        </w:rPr>
        <w:t xml:space="preserve">Sürüm notu. Bu dosya, </w:t>
      </w:r>
      <w:r>
        <w:rPr>
          <w:rFonts w:ascii="Times New Roman" w:hAnsi="Times New Roman" w:eastAsia="Times New Roman"/>
          <w:b w:val="0"/>
          <w:i/>
          <w:sz w:val="18"/>
        </w:rPr>
        <w:t>derleme-firin-had-optimizasyonu.md</w:t>
      </w:r>
      <w:r>
        <w:rPr>
          <w:rFonts w:ascii="Times New Roman" w:hAnsi="Times New Roman" w:eastAsia="Times New Roman"/>
          <w:b w:val="0"/>
          <w:i/>
          <w:sz w:val="18"/>
        </w:rPr>
        <w:t xml:space="preserve"> dosyasının dil bakımından elden geçirilmiş kopyasıdır. Teknik içerik, sayısal değerler, atıf numaraları, tablo verisi ve kaynakça aynen korunmuştur; değişiklikler yalnızca anlatım düzeyindedir. Kaynakça ile Ek A ve Ek B, orijinal dosyadaki hâliyle bırakılmıştır.</w:t>
      </w:r>
    </w:p>
    <w:p>
      <w:pPr>
        <w:pStyle w:val="Heading1"/>
        <w:spacing w:before="280" w:after="120"/>
      </w:pPr>
      <w:r>
        <w:rPr>
          <w:rFonts w:ascii="Times New Roman" w:hAnsi="Times New Roman" w:eastAsia="Times New Roman"/>
          <w:b/>
          <w:color w:val="1A1A1A"/>
          <w:sz w:val="28"/>
        </w:rPr>
        <w:t>ÖZET</w:t>
      </w:r>
    </w:p>
    <w:p>
      <w:pPr>
        <w:spacing w:after="120" w:before="0" w:line="276" w:lineRule="auto"/>
        <w:jc w:val="both"/>
      </w:pPr>
      <w:r>
        <w:rPr>
          <w:rFonts w:ascii="Times New Roman" w:hAnsi="Times New Roman" w:eastAsia="Times New Roman"/>
          <w:b w:val="0"/>
          <w:i w:val="0"/>
          <w:sz w:val="22"/>
        </w:rPr>
        <w:t>Konveksiyonlu fırınlarda kavite içi sıcaklık homojenliğini sağlamak, hem gıda kalitesi hem enerji verimliliği açısından çözülmesi gereken bir tasarım problemidir. Bu derleme, ev tipi ve endüstriyel fırınlarda fan ile hava kanalı geometrisinin Hesaplamalı Akışkanlar Dinamiği (HAD) yoluyla optimizasyonuna yönelik literatürü incelemektedir. 1974-2026 döneminden 44 kaynaklık bir havuz tarandı. Havuzun 36'sı doğrudan fırın uygulamalarına ilişkin özgün araştırma, derleme veya tez; 5'i türbülans modellemesi ve sayısal belirsizlik alanının temel metodolojik referansı; 3'ü ise düzenleyici metin ve standarttır. İnceleme ısı transferi mekanizmaları, HAD modelleme yaklaşımları, fan tasarım parametreleri, fan koruma sacı (FKS) ve hava kanalı geometrisi, enerji verimliliği standartları, sıcaklık homojenliği metrikleri ve deneysel doğrulama yöntemleri başlıkları altında yürütüldü.</w:t>
      </w:r>
    </w:p>
    <w:p>
      <w:pPr>
        <w:spacing w:after="120" w:before="0" w:line="276" w:lineRule="auto"/>
        <w:jc w:val="both"/>
      </w:pPr>
      <w:r>
        <w:rPr>
          <w:rFonts w:ascii="Times New Roman" w:hAnsi="Times New Roman" w:eastAsia="Times New Roman"/>
          <w:b w:val="0"/>
          <w:i w:val="0"/>
          <w:sz w:val="22"/>
        </w:rPr>
        <w:t>Bulgular, sıcaklık homojenliğinin bir akış tasarımı problemi olduğunu göstermektedir. FKS delik konfigürasyonu ile hava kanalı geometrisi, sıcaklık dağılımı üzerinde fanın kendisi kadar etkilidir ve bu üç bileşen birbirinden bağımsız optimize edilemez. Modelleme tercihlerinde son yıllarda k-ω SST türbülans modeli öne çıkmıştır. Işınım 200 °C üzeri çalışma sıcaklıklarında ihmal edilemez; elektrikli fırınlarda yüzeyler arası (S2S) yaklaşım yeterli olurken, yanma ürünlerinin ortama katıldığı gazlı fırınlarda hacimsel çözüm yapan Ayrık Ordinatlar (DO) modeli gerekmektedir. Fan modellemesinde yaygın tercih Hareketli Referans Çerçevesi (MRF) yaklaşımıdır. Buna karşılık ağ yakınsama belirsizliğinin nicel raporlanması, çok amaçlı optimizasyon ve pişirme tabanlı performans ölçütlerinin kullanımı hâlâ istisnaidir. Makalenin sonunda mevcut araştırma boşlukları tartışılmakta ve gelecek çalışmalar için öneriler sunulmaktadır.</w:t>
      </w:r>
    </w:p>
    <w:p>
      <w:pPr>
        <w:spacing w:after="120" w:before="0" w:line="276" w:lineRule="auto"/>
        <w:jc w:val="both"/>
      </w:pPr>
      <w:r>
        <w:rPr>
          <w:rFonts w:ascii="Times New Roman" w:hAnsi="Times New Roman" w:eastAsia="Times New Roman"/>
          <w:b w:val="0"/>
          <w:i w:val="0"/>
          <w:sz w:val="22"/>
        </w:rPr>
        <w:t>Anahtar Kelimeler: Fırın, hesaplamalı akışkanlar dinamiği, sıcaklık homojenliği, fan optimizasyonu, hava kanalı, fan koruma sacı, zorlanmış konveksiyon, enerji verimliliği, derleme</w:t>
      </w:r>
    </w:p>
    <w:p>
      <w:pPr>
        <w:pStyle w:val="Heading1"/>
        <w:spacing w:before="280" w:after="120"/>
      </w:pPr>
      <w:r>
        <w:rPr>
          <w:rFonts w:ascii="Times New Roman" w:hAnsi="Times New Roman" w:eastAsia="Times New Roman"/>
          <w:b/>
          <w:color w:val="1A1A1A"/>
          <w:sz w:val="28"/>
        </w:rPr>
        <w:t>ABSTRACT</w:t>
      </w:r>
    </w:p>
    <w:p>
      <w:pPr>
        <w:spacing w:after="120" w:before="0" w:line="276" w:lineRule="auto"/>
        <w:jc w:val="both"/>
      </w:pPr>
      <w:r>
        <w:rPr>
          <w:rFonts w:ascii="Times New Roman" w:hAnsi="Times New Roman" w:eastAsia="Times New Roman"/>
          <w:b w:val="0"/>
          <w:i w:val="0"/>
          <w:sz w:val="22"/>
        </w:rPr>
        <w:t>Achieving temperature uniformity inside the cavity of convection ovens is a design problem that bears on both food quality and energy efficiency. This review examines the literature on optimizing fan and air-duct geometry in domestic and industrial ovens by means of Computational Fluid Dynamics (CFD). A pool of 44 sources published between 1974 and 2026 was screened. Of these, 36 are original studies, reviews or theses that address oven applications directly, 5 are foundational methodological references on turbulence modelling and numerical uncertainty, and 3 are regulatory texts and standards. The review is organized under heat transfer mechanisms, CFD modelling approaches, fan design parameters, fan-baffle (FKS) and air-duct geometry, energy efficiency standards, temperature uniformity metrics, and experimental validation methods.</w:t>
      </w:r>
    </w:p>
    <w:p>
      <w:pPr>
        <w:spacing w:after="120" w:before="0" w:line="276" w:lineRule="auto"/>
        <w:jc w:val="both"/>
      </w:pPr>
      <w:r>
        <w:rPr>
          <w:rFonts w:ascii="Times New Roman" w:hAnsi="Times New Roman" w:eastAsia="Times New Roman"/>
          <w:b w:val="0"/>
          <w:i w:val="0"/>
          <w:sz w:val="22"/>
        </w:rPr>
        <w:t>The findings show that temperature uniformity is a flow-design problem. The hole configuration of the fan baffle and the air-duct geometry matter as much as the fan itself, and the three components cannot be optimized independently. Among modelling choices, the k-ω SST turbulence model has become prominent in recent work. Radiation cannot be neglected above 200 °C: the surface-to-surface (S2S) approach is adequate for electric ovens, whereas gas ovens, in which combustion products participate in radiation, require a volumetric solver such as Discrete Ordinates (DO). The Moving Reference Frame (MRF) approach dominates fan modelling. Quantitative reporting of grid-convergence uncertainty, multi-objective optimization and baking-based performance metrics all remain exceptional. Research gaps are discussed and directions for future work are proposed.</w:t>
      </w:r>
    </w:p>
    <w:p>
      <w:pPr>
        <w:spacing w:after="120" w:before="0" w:line="276" w:lineRule="auto"/>
        <w:jc w:val="both"/>
      </w:pPr>
      <w:r>
        <w:rPr>
          <w:rFonts w:ascii="Times New Roman" w:hAnsi="Times New Roman" w:eastAsia="Times New Roman"/>
          <w:b w:val="0"/>
          <w:i w:val="0"/>
          <w:sz w:val="22"/>
        </w:rPr>
        <w:t>Keywords: Oven, computational fluid dynamics, temperature uniformity, fan optimization, air duct, fan baffle, forced convection, energy efficiency, review</w:t>
      </w:r>
    </w:p>
    <w:p>
      <w:pPr>
        <w:pStyle w:val="Heading1"/>
        <w:spacing w:before="280" w:after="120"/>
      </w:pPr>
      <w:r>
        <w:rPr>
          <w:rFonts w:ascii="Times New Roman" w:hAnsi="Times New Roman" w:eastAsia="Times New Roman"/>
          <w:b/>
          <w:color w:val="1A1A1A"/>
          <w:sz w:val="28"/>
        </w:rPr>
        <w:t>1. GİRİŞ</w:t>
      </w:r>
    </w:p>
    <w:p>
      <w:pPr>
        <w:spacing w:after="120" w:before="0" w:line="276" w:lineRule="auto"/>
        <w:jc w:val="both"/>
      </w:pPr>
      <w:r>
        <w:rPr>
          <w:rFonts w:ascii="Times New Roman" w:hAnsi="Times New Roman" w:eastAsia="Times New Roman"/>
          <w:b w:val="0"/>
          <w:i w:val="0"/>
          <w:sz w:val="22"/>
        </w:rPr>
        <w:t>Konveksiyonlu fırınlar hem ev mutfaklarında hem endüstriyel gıda hazırlama tesislerinde en yaygın pişirme cihazlarından biridir. Hanelerdeki elektrik tüketimi dağılımına bakıldığında fırınların payı yaklaşık %10'dur; bu değer buzdolabı (%30) ve aydınlatmanın (%28) ardından üçüncü sıradadır [1]. Fırınların enerji verimliliği bu nedenle yalnızca bireysel elektrik faturasını değil, ulusal enerji politikalarını da ilgilendirir. Küresel enerji talebi hızla artıyor, bu artış büyük ölçüde fosil yakıtlarla karşılanıyor ve iklim değişikliğine ilişkin sorunlar derinleşiyor. Gün [2]'ün aktardığı Uluslararası Enerji Ajansı verilerine göre dünya birincil enerji talebi 14 milyar ton eşdeğer petrol (TEP) düzeyindedir ve mevcut eğilimler sürerse yaklaşık %45 artarak 20,3 milyar TEP'e ulaşacaktır.</w:t>
      </w:r>
    </w:p>
    <w:p>
      <w:pPr>
        <w:spacing w:after="120" w:before="0" w:line="276" w:lineRule="auto"/>
        <w:jc w:val="both"/>
      </w:pPr>
      <w:r>
        <w:rPr>
          <w:rFonts w:ascii="Times New Roman" w:hAnsi="Times New Roman" w:eastAsia="Times New Roman"/>
          <w:b w:val="0"/>
          <w:i w:val="0"/>
          <w:sz w:val="22"/>
        </w:rPr>
        <w:t>Avrupa Birliği bu alanda bağlayıcı bir mevzuat çerçevesi kurmuştur. 2009/125/EC sayılı Ekotasarım Direktifi'ni uygulayan Komisyon Tüzüğü (AB) No 66/2014 ev tipi fırınlar, ocaklar ve davlumbazlar için ekotasarım gerekliliklerini belirler; Komisyon Delege Tüzüğü (AB) No 65/2014 ise bu ürünlerin enerji etiketlemesini düzenler [3], [4]. 66/2014 sayılı Tüzük 20 Şubat 2014'te yürürlüğe girdi ve tüketim limitlerini kademeli olarak sıkılaştırdı. Yürürlüğe girişten beş yıl sonra, yani 2019 itibarıyla, elektrikli ev tipi fırınların AB pazarında satılabilmesi için Enerji Verimlilik İndeksi'nin (EEI) 96'nın altında kalması şartı getirildi [3]. EEI hesabının dayandığı ölçüm yöntemleri EN IEC 60350-1 standardında tanımlıdır [5]. Bu düzenlemeler beyaz eşya üreticileri için verimlilik çalışmalarını bir rekabet zorunluluğuna çevirdi ve ısıl verimlilik artırma [6] ile fırın kapağı tasarımı [7] gibi başlıklarda yoğun bir uygulamalı araştırma faaliyeti doğurdu.</w:t>
      </w:r>
    </w:p>
    <w:p>
      <w:pPr>
        <w:spacing w:after="120" w:before="0" w:line="276" w:lineRule="auto"/>
        <w:jc w:val="both"/>
      </w:pPr>
      <w:r>
        <w:rPr>
          <w:rFonts w:ascii="Times New Roman" w:hAnsi="Times New Roman" w:eastAsia="Times New Roman"/>
          <w:b w:val="0"/>
          <w:i w:val="0"/>
          <w:sz w:val="22"/>
        </w:rPr>
        <w:t>Enerji verimliliğinin yanında ikinci bir performans ölçütü daha vardır: pişirme kavitesindeki sıcaklık dağılımının homojenliği. Homojen olmayan bir dağılım, "soğuk noktalar" ve "sıcak noktalar" denen düşük ve yüksek sıcaklık bölgeleri yaratır. Bu bölgesel farklar gıdanın eşit olmayan biçimde pişmesine, düzensiz kızarma profiline ve tutarsız nem kaybına yol açar [8], [9]. Yang ve ark. [8] 13 noktalı bir termokupl dizisiyle yaptıkları ölçümlerde noktalar arası sıcaklık farkının 10 °C'yi aşabildiğini raporlamıştır. Pala ve ark. [10] çok raflı endüstriyel fırınlarda tepsiler arasındaki farkı, kaynakta bağıl sıcaklık sapması olarak bildirilen biçimiyle %12,76 düzeyinde bulmuştur. Kavite içinde homojen bir sıcaklık alanı sağlamak, bu nedenle hem tüketici memnuniyeti hem gıda güvenliği açısından temel bir tasarım hedefidir.</w:t>
      </w:r>
    </w:p>
    <w:p>
      <w:pPr>
        <w:spacing w:after="120" w:before="0" w:line="276" w:lineRule="auto"/>
        <w:jc w:val="both"/>
      </w:pPr>
      <w:r>
        <w:rPr>
          <w:rFonts w:ascii="Times New Roman" w:hAnsi="Times New Roman" w:eastAsia="Times New Roman"/>
          <w:b w:val="0"/>
          <w:i w:val="0"/>
          <w:sz w:val="22"/>
        </w:rPr>
        <w:t>Kavitedeki ısı transferi iletim, taşınım ve ışınım mekanizmalarının eş zamanlı ve birbirine bağlı etkileşimiyle gerçekleşir. Isıtma elemanları ile fırın duvarlarının sıcak yüzeylerinden yayılan termal ışınım, kavitedeki ısı kaynaklarından biridir. Hassan ve ark. [11] ev tipi pişirme fırınlarında doğal ve zorlanmış konveksiyon modları altındaki ışınım dağılımını ağ (network) temsili yöntemiyle incelemiş ve ışınımın zorlanmış konveksiyon modunda da azımsanmayacak bir paya sahip olduğunu göstermiştir. Hincapié ve García [12] ev tipi bir gaz fırınında doğal konveksiyonun baskın mekanizma olduğunu, ışınımın ise taban plakasının ısıtılmasına sınırlı katkı yaptığını belirlemiştir. Zorlanmış konveksiyonlu elektrikli fırınlarda ise baskın mekanizma sirkülasyon fanının oluşturduğu türbülanslı hava akışıdır ve kavitedeki sıcaklık dağılımını bu akış belirler [8], [13]. Mekanizmaların göreceli ağırlığı çalışma moduna (statik veya fanlı), yakıt tipine, çalışma sıcaklığına ve iç geometriye göre değişir.</w:t>
      </w:r>
    </w:p>
    <w:p>
      <w:pPr>
        <w:spacing w:after="120" w:before="0" w:line="276" w:lineRule="auto"/>
        <w:jc w:val="both"/>
      </w:pPr>
      <w:r>
        <w:rPr>
          <w:rFonts w:ascii="Times New Roman" w:hAnsi="Times New Roman" w:eastAsia="Times New Roman"/>
          <w:b w:val="0"/>
          <w:i w:val="0"/>
          <w:sz w:val="22"/>
        </w:rPr>
        <w:t>Sıcaklık dağılımını etkileyen tasarım parametreleri arasında fan özellikleri ve hava kanalı geometrisi öne çıkar. Fan tipi (radyal veya tanjansiyel), devir sayısı, dönüş yönü, kanat açısı ve kanat geometrisi, kavitedeki hava sirkülasyonunun debisini ve desenini belirler [13], [14], [15]. Fan koruma sacı (FKS) tasarımı, yani üzerindeki deliklerin konumu, boyutu, şekli ve dağılımı, fanın ürettiği akışın kaviteye nasıl yönlendirildiğini tayin eder [2], [16], [17]. Hava perdesi tasarımı, menfez konumu ve boyutu ile hava basma-emme ağzı geometrisi de sıcaklık homojenliği üzerinde etkilidir [10], [18]. Bu parametrelerin karmaşık etkileşimi, deneme-yanılma yöntemleriyle taranamayacak kadar çok boyutlu bir tasarım uzayı yaratır.</w:t>
      </w:r>
    </w:p>
    <w:p>
      <w:pPr>
        <w:spacing w:after="120" w:before="0" w:line="276" w:lineRule="auto"/>
        <w:jc w:val="both"/>
      </w:pPr>
      <w:r>
        <w:rPr>
          <w:rFonts w:ascii="Times New Roman" w:hAnsi="Times New Roman" w:eastAsia="Times New Roman"/>
          <w:b w:val="0"/>
          <w:i w:val="0"/>
          <w:sz w:val="22"/>
        </w:rPr>
        <w:t>Hesaplamalı Akışkanlar Dinamiği (HAD) burada devreye girer ve fiziksel prototip üretmeden çok sayıda tasarım alternatifinin değerlendirilmesini sağlar [19], [20]. Verboven ve ark. [21], [22] 2000 yılında zorlanmış konveksiyonlu bir fırında k-ε türbülans modeli kullanarak HAD modelini deneysel verilerle doğrulamış ve alanın öncü çalışmalarından birini yapmıştır. O tarihten bu yana türbülans modellerinde (Launder ve Spalding'in standart k-ε modelinden [23] Realizable k-ε [24] ve k-ω SST [25] formülasyonlarına), ışınım modellerinde (Ayrık Ordinatlar [26], yüzeyden yüzeye ve görüş faktörü tabanlı yaklaşımlar [27], [28]) ve fan modelleme tekniklerinde (Hareketli Referans Çerçevesi [15], Kayan Ağ) ilerleme kaydedilmiştir. ANSYS Fluent, ANSYS CFX, SolidWorks Flow Simulation ve FloEFD gibi ticari platformların fırın tasarımındaki uygulanabilirliği çeşitli çalışmalarda gösterilmiştir [6], [8], [13], [16], [18].</w:t>
      </w:r>
    </w:p>
    <w:p>
      <w:pPr>
        <w:spacing w:after="120" w:before="0" w:line="276" w:lineRule="auto"/>
        <w:jc w:val="both"/>
      </w:pPr>
      <w:r>
        <w:rPr>
          <w:rFonts w:ascii="Times New Roman" w:hAnsi="Times New Roman" w:eastAsia="Times New Roman"/>
          <w:b w:val="0"/>
          <w:i w:val="0"/>
          <w:sz w:val="22"/>
        </w:rPr>
        <w:t>Son yıllarda HAD analizleri optimizasyon yöntemleriyle birleştirilmeye başlandı. Taguchi deney tasarımı [29], genetik algoritma [30] ve Pareto tabanlı çok amaçlı optimizasyon çerçeveleri [31], [32], sistematik parametre taramasına ve birbiriyle çelişen hedeflerin (sıcaklık homojenliği ile enerji tüketimi) eş zamanlı ele alınmasına olanak verir.</w:t>
      </w:r>
    </w:p>
    <w:p>
      <w:pPr>
        <w:spacing w:after="120" w:before="0" w:line="276" w:lineRule="auto"/>
        <w:jc w:val="both"/>
      </w:pPr>
      <w:r>
        <w:rPr>
          <w:rFonts w:ascii="Times New Roman" w:hAnsi="Times New Roman" w:eastAsia="Times New Roman"/>
          <w:b w:val="0"/>
          <w:i w:val="0"/>
          <w:sz w:val="22"/>
        </w:rPr>
        <w:t>Fırın-HAD literatürünün ikinci bir damarı gıda mühendisliğinden gelir. Chhanwal ve ark. [33] elektrikli bir pişirme fırınını, Boulet ve ark. [34] pilot ölçekli bir fırın kavitesini, Therdthai ve ark. [35] ile Wong ve ark. [36] sürekli endüstriyel tünel fırınlarını, Ploteau ve ark. [37] ise kesikli bir ekmek fırınını modellemiş ve deneysel olarak karakterize etmiştir. Bu damar, kavitedeki akış alanının yalnızca sıcaklık dağılımını değil nihai ürün kalitesini, özellikle esmerleşme davranışını [38], nasıl belirlediğine dair kavramsal çerçeveyi sağlar. Buna paralel olarak enerji tüketimini HAD yerine düşük mertebeli dinamik modellerle inceleyen bir literatür de gelişmiştir [39]. Bu yaklaşım kavite içi alan bilgisi vermez, ancak çevrim düzeyinde enerji analizinde HAD'a tamamlayıcı bir araçtır.</w:t>
      </w:r>
    </w:p>
    <w:p>
      <w:pPr>
        <w:spacing w:after="120" w:before="0" w:line="276" w:lineRule="auto"/>
        <w:jc w:val="both"/>
      </w:pPr>
      <w:r>
        <w:rPr>
          <w:rFonts w:ascii="Times New Roman" w:hAnsi="Times New Roman" w:eastAsia="Times New Roman"/>
          <w:b w:val="0"/>
          <w:i w:val="0"/>
          <w:sz w:val="22"/>
        </w:rPr>
        <w:t>Sayısal sonuçların güvenilirliği ağ yakınsamasının nicel raporlanmasına bağlıdır. Roache [40] tarafından önerilen ve Celik ve ark. [41] tarafından ASME için standartlaştırılan Ağ Yakınsama İndeksi (Grid Convergence Index, GCI), Richardson ekstrapolasyonuna dayanarak ayrıklaştırma belirsizliğini tahmin eder.</w:t>
      </w:r>
    </w:p>
    <w:p>
      <w:pPr>
        <w:spacing w:after="120" w:before="0" w:line="276" w:lineRule="auto"/>
        <w:jc w:val="both"/>
      </w:pPr>
      <w:r>
        <w:rPr>
          <w:rFonts w:ascii="Times New Roman" w:hAnsi="Times New Roman" w:eastAsia="Times New Roman"/>
          <w:b w:val="0"/>
          <w:i w:val="0"/>
          <w:sz w:val="22"/>
        </w:rPr>
        <w:t>Mevcut literatürde bu yaklaşımları bir arada ele alan, farklı HAD modelleme stratejilerini karşılaştıran ve araştırma boşluklarını tanımlayan kapsamlı bir derleme bulunmamaktadır. Bu makale söz konusu boşluğu doldurmayı hedefler. İzleyen bölümlerde sırasıyla literatür tarama yöntemi (2), fırınlardaki ısı transferi ve termo-akışkan dinamiği (3), HAD modelleme yaklaşımları (4), fan tasarım parametreleri (5), hava kanalı ve FKS geometrisi (6), enerji verimliliği standartları (7), sıcaklık homojenliği metrikleri (8), deneysel doğrulama yöntemleri (9), araştırma boşlukları (10) ve sonuçlar (11) ele alınmaktadır.</w:t>
      </w:r>
    </w:p>
    <w:p>
      <w:pPr>
        <w:pStyle w:val="Heading1"/>
        <w:spacing w:before="280" w:after="120"/>
      </w:pPr>
      <w:r>
        <w:rPr>
          <w:rFonts w:ascii="Times New Roman" w:hAnsi="Times New Roman" w:eastAsia="Times New Roman"/>
          <w:b/>
          <w:color w:val="1A1A1A"/>
          <w:sz w:val="28"/>
        </w:rPr>
        <w:t>2. YÖNTEM</w:t>
      </w:r>
    </w:p>
    <w:p>
      <w:pPr>
        <w:spacing w:after="120" w:before="0" w:line="276" w:lineRule="auto"/>
        <w:jc w:val="both"/>
      </w:pPr>
      <w:r>
        <w:rPr>
          <w:rFonts w:ascii="Times New Roman" w:hAnsi="Times New Roman" w:eastAsia="Times New Roman"/>
          <w:b w:val="0"/>
          <w:i w:val="0"/>
          <w:sz w:val="22"/>
        </w:rPr>
        <w:t>Bu derleme dar ve iyi tanımlanmış bir teknik soruya odaklandığı için nicel bir meta-analiz değil, yapılandırılmış bir nitel sentez olarak kurgulandı.</w:t>
      </w:r>
    </w:p>
    <w:p>
      <w:pPr>
        <w:pStyle w:val="Heading2"/>
        <w:spacing w:before="200" w:after="120"/>
      </w:pPr>
      <w:r>
        <w:rPr>
          <w:rFonts w:ascii="Times New Roman" w:hAnsi="Times New Roman" w:eastAsia="Times New Roman"/>
          <w:b/>
          <w:color w:val="1A1A1A"/>
          <w:sz w:val="24"/>
        </w:rPr>
        <w:t>2.1. Veri tabanları ve arama dizeleri</w:t>
      </w:r>
    </w:p>
    <w:p>
      <w:pPr>
        <w:spacing w:after="120" w:before="0" w:line="276" w:lineRule="auto"/>
        <w:jc w:val="both"/>
      </w:pPr>
      <w:r>
        <w:rPr>
          <w:rFonts w:ascii="Times New Roman" w:hAnsi="Times New Roman" w:eastAsia="Times New Roman"/>
          <w:b w:val="0"/>
          <w:i w:val="0"/>
          <w:sz w:val="22"/>
        </w:rPr>
        <w:t xml:space="preserve">Tarama; Scopus, Web of Science, ScienceDirect, SpringerLink ve Google Scholar üzerinde İngilizce, DergiPark ve YÖK Ulusal Tez Merkezi üzerinde Türkçe olarak yapıldı. İngilizce arama dizeleri </w:t>
      </w:r>
      <w:r>
        <w:rPr>
          <w:rFonts w:ascii="Times New Roman" w:hAnsi="Times New Roman" w:eastAsia="Times New Roman"/>
          <w:b w:val="0"/>
          <w:i w:val="0"/>
          <w:sz w:val="22"/>
        </w:rPr>
        <w:t>("oven" OR "baking oven" OR "domestic oven") AND ("CFD" OR "computational fluid dynamics") AND ("temperature uniformity" OR "fan" OR "air duct" OR "baffle")</w:t>
      </w:r>
      <w:r>
        <w:rPr>
          <w:rFonts w:ascii="Times New Roman" w:hAnsi="Times New Roman" w:eastAsia="Times New Roman"/>
          <w:b w:val="0"/>
          <w:i w:val="0"/>
          <w:sz w:val="22"/>
        </w:rPr>
        <w:t xml:space="preserve"> çekirdeği üzerine kuruldu. Türkçe aramalarda </w:t>
      </w:r>
      <w:r>
        <w:rPr>
          <w:rFonts w:ascii="Times New Roman" w:hAnsi="Times New Roman" w:eastAsia="Times New Roman"/>
          <w:b w:val="0"/>
          <w:i w:val="0"/>
          <w:sz w:val="22"/>
        </w:rPr>
        <w:t>fırın</w:t>
      </w:r>
      <w:r>
        <w:rPr>
          <w:rFonts w:ascii="Times New Roman" w:hAnsi="Times New Roman" w:eastAsia="Times New Roman"/>
          <w:b w:val="0"/>
          <w:i w:val="0"/>
          <w:sz w:val="22"/>
        </w:rPr>
        <w:t xml:space="preserve">, </w:t>
      </w:r>
      <w:r>
        <w:rPr>
          <w:rFonts w:ascii="Times New Roman" w:hAnsi="Times New Roman" w:eastAsia="Times New Roman"/>
          <w:b w:val="0"/>
          <w:i w:val="0"/>
          <w:sz w:val="22"/>
        </w:rPr>
        <w:t>hesaplamalı akışkanlar dinamiği</w:t>
      </w:r>
      <w:r>
        <w:rPr>
          <w:rFonts w:ascii="Times New Roman" w:hAnsi="Times New Roman" w:eastAsia="Times New Roman"/>
          <w:b w:val="0"/>
          <w:i w:val="0"/>
          <w:sz w:val="22"/>
        </w:rPr>
        <w:t xml:space="preserve">, </w:t>
      </w:r>
      <w:r>
        <w:rPr>
          <w:rFonts w:ascii="Times New Roman" w:hAnsi="Times New Roman" w:eastAsia="Times New Roman"/>
          <w:b w:val="0"/>
          <w:i w:val="0"/>
          <w:sz w:val="22"/>
        </w:rPr>
        <w:t>sıcaklık dağılımı</w:t>
      </w:r>
      <w:r>
        <w:rPr>
          <w:rFonts w:ascii="Times New Roman" w:hAnsi="Times New Roman" w:eastAsia="Times New Roman"/>
          <w:b w:val="0"/>
          <w:i w:val="0"/>
          <w:sz w:val="22"/>
        </w:rPr>
        <w:t xml:space="preserve">, </w:t>
      </w:r>
      <w:r>
        <w:rPr>
          <w:rFonts w:ascii="Times New Roman" w:hAnsi="Times New Roman" w:eastAsia="Times New Roman"/>
          <w:b w:val="0"/>
          <w:i w:val="0"/>
          <w:sz w:val="22"/>
        </w:rPr>
        <w:t>fan koruma sacı</w:t>
      </w:r>
      <w:r>
        <w:rPr>
          <w:rFonts w:ascii="Times New Roman" w:hAnsi="Times New Roman" w:eastAsia="Times New Roman"/>
          <w:b w:val="0"/>
          <w:i w:val="0"/>
          <w:sz w:val="22"/>
        </w:rPr>
        <w:t xml:space="preserve">, </w:t>
      </w:r>
      <w:r>
        <w:rPr>
          <w:rFonts w:ascii="Times New Roman" w:hAnsi="Times New Roman" w:eastAsia="Times New Roman"/>
          <w:b w:val="0"/>
          <w:i w:val="0"/>
          <w:sz w:val="22"/>
        </w:rPr>
        <w:t>hava perdesi</w:t>
      </w:r>
      <w:r>
        <w:rPr>
          <w:rFonts w:ascii="Times New Roman" w:hAnsi="Times New Roman" w:eastAsia="Times New Roman"/>
          <w:b w:val="0"/>
          <w:i w:val="0"/>
          <w:sz w:val="22"/>
        </w:rPr>
        <w:t xml:space="preserve"> ve </w:t>
      </w:r>
      <w:r>
        <w:rPr>
          <w:rFonts w:ascii="Times New Roman" w:hAnsi="Times New Roman" w:eastAsia="Times New Roman"/>
          <w:b w:val="0"/>
          <w:i w:val="0"/>
          <w:sz w:val="22"/>
        </w:rPr>
        <w:t>enerji verimliliği</w:t>
      </w:r>
      <w:r>
        <w:rPr>
          <w:rFonts w:ascii="Times New Roman" w:hAnsi="Times New Roman" w:eastAsia="Times New Roman"/>
          <w:b w:val="0"/>
          <w:i w:val="0"/>
          <w:sz w:val="22"/>
        </w:rPr>
        <w:t xml:space="preserve"> anahtar kelimeleri kullanıldı.</w:t>
      </w:r>
    </w:p>
    <w:p>
      <w:pPr>
        <w:pStyle w:val="Heading2"/>
        <w:spacing w:before="200" w:after="120"/>
      </w:pPr>
      <w:r>
        <w:rPr>
          <w:rFonts w:ascii="Times New Roman" w:hAnsi="Times New Roman" w:eastAsia="Times New Roman"/>
          <w:b/>
          <w:color w:val="1A1A1A"/>
          <w:sz w:val="24"/>
        </w:rPr>
        <w:t>2.2. Dâhil etme ve dışlama ölçütleri</w:t>
      </w:r>
    </w:p>
    <w:p>
      <w:pPr>
        <w:spacing w:after="120" w:before="0" w:line="276" w:lineRule="auto"/>
        <w:jc w:val="both"/>
      </w:pPr>
      <w:r>
        <w:rPr>
          <w:rFonts w:ascii="Times New Roman" w:hAnsi="Times New Roman" w:eastAsia="Times New Roman"/>
          <w:b w:val="0"/>
          <w:i w:val="0"/>
          <w:sz w:val="22"/>
        </w:rPr>
        <w:t>Havuza alınan çalışmalar şu üç koşulu birlikte sağlar: ev tipi veya endüstriyel bir pişirme ya da ısıtma fırınının kavite içi akışını veya ısı transferini konu edinmek; sayısal veya deneysel özgün veri sunmak; hakemli dergi, hakemli konferans bildirisi veya lisansüstü tez formatında olmak. Bunlara ek olarak, metodolojik tartışmayı temellendirmek üzere türbülans modellerinin ve sayısal belirsizlik prosedürlerinin birincil kaynakları ile yürürlükteki düzenleyici metin ve standartlar kapsama alındı. Mikrodalga ve endüksiyonlu pişirme, kurutma fırınları, ısıl işlem ve metalurji fırınları ile yalnızca gıda içi ısı-kütle transferini modelleyip kavite akışını ele almayan çalışmalar dışarıda bırakıldı.</w:t>
      </w:r>
    </w:p>
    <w:p>
      <w:pPr>
        <w:pStyle w:val="Heading2"/>
        <w:spacing w:before="200" w:after="120"/>
      </w:pPr>
      <w:r>
        <w:rPr>
          <w:rFonts w:ascii="Times New Roman" w:hAnsi="Times New Roman" w:eastAsia="Times New Roman"/>
          <w:b/>
          <w:color w:val="1A1A1A"/>
          <w:sz w:val="24"/>
        </w:rPr>
        <w:t>2.3. Zaman aralığı ve havuzun bileşimi</w:t>
      </w:r>
    </w:p>
    <w:p>
      <w:pPr>
        <w:spacing w:after="120" w:before="0" w:line="276" w:lineRule="auto"/>
        <w:jc w:val="both"/>
      </w:pPr>
      <w:r>
        <w:rPr>
          <w:rFonts w:ascii="Times New Roman" w:hAnsi="Times New Roman" w:eastAsia="Times New Roman"/>
          <w:b w:val="0"/>
          <w:i w:val="0"/>
          <w:sz w:val="22"/>
        </w:rPr>
        <w:t>Uygulama çalışmaları için 2000-2026 aralığı esas alındı; metodolojik birincil kaynaklar bakımından bu sınır uygulanmadı ve en eski kaynak 1974 tarihlidir. Nihai havuz 44 kaynaktan oluşmaktadır (Tablo 1):</w:t>
      </w:r>
    </w:p>
    <w:p>
      <w:pPr>
        <w:spacing w:after="60" w:before="160" w:line="276" w:lineRule="auto"/>
      </w:pPr>
      <w:r>
        <w:rPr>
          <w:rFonts w:ascii="Times New Roman" w:hAnsi="Times New Roman" w:eastAsia="Times New Roman"/>
          <w:b/>
          <w:i w:val="0"/>
          <w:sz w:val="18"/>
        </w:rPr>
        <w:t>Tablo 1. Kaynak havuzunun kategorilere göre bileşimi.</w:t>
      </w:r>
    </w:p>
    <w:tbl>
      <w:tblPr>
        <w:tblW w:type="auto" w:w="0"/>
        <w:jc w:val="center"/>
        <w:tblLayout w:type="fixed"/>
        <w:tblLook w:firstColumn="1" w:firstRow="1" w:lastColumn="0" w:lastRow="0" w:noHBand="0" w:noVBand="1" w:val="04A0"/>
      </w:tblPr>
      <w:tblGrid>
        <w:gridCol w:w="6237"/>
        <w:gridCol w:w="2835"/>
      </w:tblGrid>
      <w:tr>
        <w:tc>
          <w:tcPr>
            <w:tcW w:type="dxa" w:w="6236"/>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Kategori</w:t>
            </w:r>
          </w:p>
        </w:tc>
        <w:tc>
          <w:tcPr>
            <w:tcW w:type="dxa" w:w="2835"/>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Adet</w:t>
            </w:r>
          </w:p>
        </w:tc>
      </w:tr>
      <w:tr>
        <w:tc>
          <w:tcPr>
            <w:tcW w:type="dxa" w:w="6236"/>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Hakemli dergi makalesi (fırın uygulaması)</w:t>
            </w:r>
          </w:p>
        </w:tc>
        <w:tc>
          <w:tcPr>
            <w:tcW w:type="dxa" w:w="283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30</w:t>
            </w:r>
          </w:p>
        </w:tc>
      </w:tr>
      <w:tr>
        <w:tc>
          <w:tcPr>
            <w:tcW w:type="dxa" w:w="6236"/>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Hakemli konferans bildirisi</w:t>
            </w:r>
          </w:p>
        </w:tc>
        <w:tc>
          <w:tcPr>
            <w:tcW w:type="dxa" w:w="283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w:t>
            </w:r>
          </w:p>
        </w:tc>
      </w:tr>
      <w:tr>
        <w:tc>
          <w:tcPr>
            <w:tcW w:type="dxa" w:w="6236"/>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Lisansüstü tez</w:t>
            </w:r>
          </w:p>
        </w:tc>
        <w:tc>
          <w:tcPr>
            <w:tcW w:type="dxa" w:w="283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w:t>
            </w:r>
          </w:p>
        </w:tc>
      </w:tr>
      <w:tr>
        <w:tc>
          <w:tcPr>
            <w:tcW w:type="dxa" w:w="6236"/>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Derleme makalesi</w:t>
            </w:r>
          </w:p>
        </w:tc>
        <w:tc>
          <w:tcPr>
            <w:tcW w:type="dxa" w:w="283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w:t>
            </w:r>
          </w:p>
        </w:tc>
      </w:tr>
      <w:tr>
        <w:tc>
          <w:tcPr>
            <w:tcW w:type="dxa" w:w="6236"/>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Metodolojik birincil kaynak (türbülans, sayısal belirsizlik)</w:t>
            </w:r>
          </w:p>
        </w:tc>
        <w:tc>
          <w:tcPr>
            <w:tcW w:type="dxa" w:w="283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5</w:t>
            </w:r>
          </w:p>
        </w:tc>
      </w:tr>
      <w:tr>
        <w:tc>
          <w:tcPr>
            <w:tcW w:type="dxa" w:w="6236"/>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Düzenleyici metin ve standart</w:t>
            </w:r>
          </w:p>
        </w:tc>
        <w:tc>
          <w:tcPr>
            <w:tcW w:type="dxa" w:w="283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w:t>
            </w:r>
          </w:p>
        </w:tc>
      </w:tr>
      <w:tr>
        <w:tc>
          <w:tcPr>
            <w:tcW w:type="dxa" w:w="6236"/>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Toplam</w:t>
            </w:r>
          </w:p>
        </w:tc>
        <w:tc>
          <w:tcPr>
            <w:tcW w:type="dxa" w:w="283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44</w:t>
            </w:r>
          </w:p>
        </w:tc>
      </w:tr>
    </w:tbl>
    <w:p>
      <w:pPr>
        <w:spacing w:after="160" w:before="0" w:line="276" w:lineRule="auto"/>
      </w:pPr>
    </w:p>
    <w:p>
      <w:pPr>
        <w:spacing w:after="120" w:before="0" w:line="276" w:lineRule="auto"/>
        <w:jc w:val="both"/>
      </w:pPr>
      <w:r>
        <w:rPr>
          <w:rFonts w:ascii="Times New Roman" w:hAnsi="Times New Roman" w:eastAsia="Times New Roman"/>
          <w:b w:val="0"/>
          <w:i w:val="0"/>
          <w:sz w:val="22"/>
        </w:rPr>
        <w:t>Dil dağılımı 35 İngilizce ve 9 Türkçedir. Yayın yılına göre dağılım şöyledir: 1974-1999 arası 4, 2000-2009 arası 8, 2010-2019 arası 19, 2020-2026 arası 13 kaynak. Havuzun %73'ü 2010 ve sonrasına, %36'sı son yedi yıla aittir.</w:t>
      </w:r>
    </w:p>
    <w:p>
      <w:pPr>
        <w:spacing w:after="120" w:before="0" w:line="276" w:lineRule="auto"/>
        <w:jc w:val="both"/>
      </w:pPr>
      <w:r>
        <w:rPr>
          <w:rFonts w:ascii="Times New Roman" w:hAnsi="Times New Roman" w:eastAsia="Times New Roman"/>
          <w:b w:val="0"/>
          <w:i w:val="0"/>
          <w:sz w:val="22"/>
        </w:rPr>
        <w:t>Havuzun yayın yılına göre dağılımı Şekil 1'de görülmektedir.</w:t>
      </w:r>
    </w:p>
    <w:p>
      <w:pPr>
        <w:jc w:val="center"/>
        <w:spacing w:before="80" w:after="60"/>
      </w:pPr>
      <w:r>
        <w:drawing>
          <wp:inline xmlns:wp="http://schemas.openxmlformats.org/drawingml/2006/wordprocessingDrawing" distT="0" distB="0" distL="0" distR="0">
            <wp:extent cx="5760000" cy="2520000"/>
            <wp:effectExtent l="0" t="0" r="0" b="0"/>
            <wp:docPr id="3001" name="Şekil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01"/>
              </a:graphicData>
            </a:graphic>
          </wp:inline>
        </w:drawing>
      </w:r>
    </w:p>
    <w:p>
      <w:pPr>
        <w:spacing w:after="200" w:before="0" w:line="276" w:lineRule="auto"/>
        <w:jc w:val="center"/>
      </w:pPr>
      <w:r>
        <w:rPr>
          <w:rFonts w:ascii="Times New Roman" w:hAnsi="Times New Roman" w:eastAsia="Times New Roman"/>
          <w:b w:val="0"/>
          <w:i/>
          <w:sz w:val="18"/>
        </w:rPr>
        <w:t>Şekil 1. Kaynak havuzunun yayın yılına göre dağılımı (44 kaynak). Sayılar Tablo 1'deki havuzdan sayılarak elde edilmiştir; 1974-1999 aralığındaki dört kayıt, uygulama çalışmaları için konan 2000 sınırının dışında tutulan metodolojik birincil kaynaklardır.</w:t>
      </w:r>
    </w:p>
    <w:p>
      <w:pPr>
        <w:spacing w:after="120" w:before="0" w:line="276" w:lineRule="auto"/>
        <w:jc w:val="both"/>
      </w:pPr>
      <w:r>
        <w:rPr>
          <w:rFonts w:ascii="Times New Roman" w:hAnsi="Times New Roman" w:eastAsia="Times New Roman"/>
          <w:b w:val="0"/>
          <w:i w:val="0"/>
          <w:sz w:val="22"/>
        </w:rPr>
        <w:t>Havuza yalnızca künyesi birincil kaynağından (dergi sayfası, DOI kaydı veya kurumsal arşiv) doğrulanabilen çalışmalar alındı. Bu ölçüt gereği, konusu ilgili olmakla birlikte yayın yeri veya künye bilgisi doğrulanamayan iki kayıt havuz dışında bırakıldı (bkz. Ek A, A.6).</w:t>
      </w:r>
    </w:p>
    <w:p>
      <w:pPr>
        <w:pStyle w:val="Heading2"/>
        <w:spacing w:before="200" w:after="120"/>
      </w:pPr>
      <w:r>
        <w:rPr>
          <w:rFonts w:ascii="Times New Roman" w:hAnsi="Times New Roman" w:eastAsia="Times New Roman"/>
          <w:b/>
          <w:color w:val="1A1A1A"/>
          <w:sz w:val="24"/>
        </w:rPr>
        <w:t>2.4. Sınırlılıklar</w:t>
      </w:r>
    </w:p>
    <w:p>
      <w:pPr>
        <w:spacing w:after="120" w:before="0" w:line="276" w:lineRule="auto"/>
        <w:jc w:val="both"/>
      </w:pPr>
      <w:r>
        <w:rPr>
          <w:rFonts w:ascii="Times New Roman" w:hAnsi="Times New Roman" w:eastAsia="Times New Roman"/>
          <w:b w:val="0"/>
          <w:i w:val="0"/>
          <w:sz w:val="22"/>
        </w:rPr>
        <w:t>Tarama yalnızca İngilizce ve Türkçe yayınları kapsamaktadır; Çince, Korece ve Japonca literatürdeki beyaz eşya Ar-Ge çalışmaları kapsam dışıdır. Ticari gizlilik nedeniyle üretici firmaların iç raporlarına da erişilemedi. Bu ikinci kısıt özellikle FKS ve hava kanalı geometrisi gibi doğrudan ürün rekabetine konu olan başlıklarda önemlidir: açık literatür, alandaki gerçek bilgi birikimini eksik yansıtıyor olabilir.</w:t>
      </w:r>
    </w:p>
    <w:p>
      <w:pPr>
        <w:pStyle w:val="Heading1"/>
        <w:spacing w:before="280" w:after="120"/>
      </w:pPr>
      <w:r>
        <w:rPr>
          <w:rFonts w:ascii="Times New Roman" w:hAnsi="Times New Roman" w:eastAsia="Times New Roman"/>
          <w:b/>
          <w:color w:val="1A1A1A"/>
          <w:sz w:val="28"/>
        </w:rPr>
        <w:t>3. FIRINLARDA ISI TRANSFERİ VE TERMO-AKIŞKAN DİNAMİĞİ</w:t>
      </w:r>
    </w:p>
    <w:p>
      <w:pPr>
        <w:spacing w:after="120" w:before="0" w:line="276" w:lineRule="auto"/>
        <w:jc w:val="both"/>
      </w:pPr>
      <w:r>
        <w:rPr>
          <w:rFonts w:ascii="Times New Roman" w:hAnsi="Times New Roman" w:eastAsia="Times New Roman"/>
          <w:b w:val="0"/>
          <w:i w:val="0"/>
          <w:sz w:val="22"/>
        </w:rPr>
        <w:t>Aşağıdaki alt bölümlerde ele alınan akış olgularının kavite içindeki yerleşimi Şekil 2'de bir arada gösterilmiştir.</w:t>
      </w:r>
    </w:p>
    <w:p>
      <w:pPr>
        <w:jc w:val="center"/>
        <w:spacing w:before="80" w:after="60"/>
      </w:pPr>
      <w:r>
        <w:drawing>
          <wp:inline xmlns:wp="http://schemas.openxmlformats.org/drawingml/2006/wordprocessingDrawing" distT="0" distB="0" distL="0" distR="0">
            <wp:extent cx="5760000" cy="3272727"/>
            <wp:effectExtent l="0" t="0" r="0" b="0"/>
            <wp:docPr id="2101" name="Şekil 2"/>
            <wp:cNvGraphicFramePr/>
            <a:graphic xmlns:a="http://schemas.openxmlformats.org/drawingml/2006/main">
              <a:graphicData uri="http://schemas.microsoft.com/office/word/2010/wordprocessingGroup">
                <wpg:wgp xmlns:wpg="http://schemas.microsoft.com/office/word/2010/wordprocessingGroup" xmlns:wps="http://schemas.microsoft.com/office/word/2010/wordprocessingShape">
                  <wpg:cNvGrpSpPr/>
                  <wpg:grpSpPr>
                    <a:xfrm>
                      <a:off x="0" y="0"/>
                      <a:ext cx="5760000" cy="3272727"/>
                      <a:chOff x="0" y="0"/>
                      <a:chExt cx="880" cy="500"/>
                    </a:xfrm>
                  </wpg:grpSpPr>
                  <wps:wsp>
                    <wps:cNvPr id="2001" name="Sekil-2002"/>
                    <wps:cNvSpPr/>
                    <wps:spPr>
                      <a:xfrm>
                        <a:off x="44" y="32"/>
                        <a:ext cx="588" cy="340"/>
                      </a:xfrm>
                      <a:prstGeom prst="rect">
                        <a:avLst/>
                      </a:prstGeom>
                      <a:noFill/>
                      <a:ln w="58000" cap="rnd">
                        <a:solidFill>
                          <a:srgbClr val="C9C8C2"/>
                        </a:solidFill>
                      </a:ln>
                    </wps:spPr>
                    <wps:bodyPr rot="0" anchor="ctr" lIns="9000" tIns="0" rIns="9000" bIns="0" wrap="square">
                      <a:noAutofit/>
                    </wps:bodyPr>
                  </wps:wsp>
                  <wps:wsp>
                    <wps:cNvPr id="2003" name="Sekil-2004"/>
                    <wps:cNvSpPr/>
                    <wps:spPr>
                      <a:xfrm>
                        <a:off x="58" y="46"/>
                        <a:ext cx="560" cy="312"/>
                      </a:xfrm>
                      <a:prstGeom prst="rect">
                        <a:avLst/>
                      </a:prstGeom>
                      <a:solidFill>
                        <a:srgbClr val="FFFFFF"/>
                      </a:solidFill>
                      <a:ln w="13000" cap="rnd">
                        <a:solidFill>
                          <a:srgbClr val="52514E"/>
                        </a:solidFill>
                      </a:ln>
                    </wps:spPr>
                    <wps:bodyPr rot="0" anchor="ctr" lIns="9000" tIns="0" rIns="9000" bIns="0" wrap="square">
                      <a:noAutofit/>
                    </wps:bodyPr>
                  </wps:wsp>
                  <wps:wsp>
                    <wps:cNvPr id="2005" name="Sekil-2006"/>
                    <wps:cNvSpPr/>
                    <wps:spPr>
                      <a:xfrm>
                        <a:off x="60" y="48"/>
                        <a:ext cx="86" cy="86"/>
                      </a:xfrm>
                      <a:prstGeom prst="rect">
                        <a:avLst/>
                      </a:prstGeom>
                      <a:pattFill prst="ltUpDiag">
                        <a:fgClr>
                          <a:srgbClr val="B9B8B2"/>
                        </a:fgClr>
                        <a:bgClr>
                          <a:srgbClr val="FFFFFF"/>
                        </a:bgClr>
                      </a:pattFill>
                      <a:ln>
                        <a:noFill/>
                      </a:ln>
                    </wps:spPr>
                    <wps:bodyPr rot="0" anchor="ctr" lIns="9000" tIns="0" rIns="9000" bIns="0" wrap="square">
                      <a:noAutofit/>
                    </wps:bodyPr>
                  </wps:wsp>
                  <wps:wsp>
                    <wps:cNvPr id="2007" name="Sekil-2008"/>
                    <wps:cNvSpPr/>
                    <wps:spPr>
                      <a:xfrm>
                        <a:off x="60" y="270"/>
                        <a:ext cx="86" cy="86"/>
                      </a:xfrm>
                      <a:prstGeom prst="rect">
                        <a:avLst/>
                      </a:prstGeom>
                      <a:pattFill prst="ltUpDiag">
                        <a:fgClr>
                          <a:srgbClr val="B9B8B2"/>
                        </a:fgClr>
                        <a:bgClr>
                          <a:srgbClr val="FFFFFF"/>
                        </a:bgClr>
                      </a:pattFill>
                      <a:ln>
                        <a:noFill/>
                      </a:ln>
                    </wps:spPr>
                    <wps:bodyPr rot="0" anchor="ctr" lIns="9000" tIns="0" rIns="9000" bIns="0" wrap="square">
                      <a:noAutofit/>
                    </wps:bodyPr>
                  </wps:wsp>
                  <wps:wsp>
                    <wps:cNvPr id="2009" name="Sekil-2010"/>
                    <wps:cNvSpPr/>
                    <wps:spPr>
                      <a:xfrm>
                        <a:off x="96" y="58"/>
                        <a:ext cx="300" cy="12"/>
                      </a:xfrm>
                      <a:prstGeom prst="roundRect">
                        <a:avLst/>
                      </a:prstGeom>
                      <a:noFill/>
                      <a:ln w="15000" cap="rnd">
                        <a:solidFill>
                          <a:srgbClr val="EB6834"/>
                        </a:solidFill>
                      </a:ln>
                    </wps:spPr>
                    <wps:bodyPr rot="0" anchor="ctr" lIns="9000" tIns="0" rIns="9000" bIns="0" wrap="square">
                      <a:noAutofit/>
                    </wps:bodyPr>
                  </wps:wsp>
                  <wps:wsp>
                    <wps:cNvPr id="2011" name="Sekil-2012"/>
                    <wps:cNvSpPr/>
                    <wps:spPr>
                      <a:xfrm>
                        <a:off x="96" y="334"/>
                        <a:ext cx="300" cy="12"/>
                      </a:xfrm>
                      <a:prstGeom prst="roundRect">
                        <a:avLst/>
                      </a:prstGeom>
                      <a:noFill/>
                      <a:ln w="15000" cap="rnd">
                        <a:solidFill>
                          <a:srgbClr val="EB6834"/>
                        </a:solidFill>
                      </a:ln>
                    </wps:spPr>
                    <wps:bodyPr rot="0" anchor="ctr" lIns="9000" tIns="0" rIns="9000" bIns="0" wrap="square">
                      <a:noAutofit/>
                    </wps:bodyPr>
                  </wps:wsp>
                  <wps:wsp>
                    <wps:cNvPr id="2013" name="Sekil-2014"/>
                    <wps:cNvSpPr/>
                    <wps:spPr>
                      <a:xfrm>
                        <a:off x="104" y="150"/>
                        <a:ext cx="404" cy="9"/>
                      </a:xfrm>
                      <a:prstGeom prst="rect">
                        <a:avLst/>
                      </a:prstGeom>
                      <a:solidFill>
                        <a:srgbClr val="52514E"/>
                      </a:solidFill>
                      <a:ln>
                        <a:noFill/>
                      </a:ln>
                    </wps:spPr>
                    <wps:bodyPr rot="0" anchor="ctr" lIns="9000" tIns="0" rIns="9000" bIns="0" wrap="square">
                      <a:noAutofit/>
                    </wps:bodyPr>
                  </wps:wsp>
                  <wps:wsp>
                    <wps:cNvPr id="2015" name="Sekil-2016"/>
                    <wps:cNvSpPr/>
                    <wps:spPr>
                      <a:xfrm>
                        <a:off x="104" y="250"/>
                        <a:ext cx="404" cy="9"/>
                      </a:xfrm>
                      <a:prstGeom prst="rect">
                        <a:avLst/>
                      </a:prstGeom>
                      <a:solidFill>
                        <a:srgbClr val="52514E"/>
                      </a:solidFill>
                      <a:ln>
                        <a:noFill/>
                      </a:ln>
                    </wps:spPr>
                    <wps:bodyPr rot="0" anchor="ctr" lIns="9000" tIns="0" rIns="9000" bIns="0" wrap="square">
                      <a:noAutofit/>
                    </wps:bodyPr>
                  </wps:wsp>
                  <wps:wsp>
                    <wps:cNvPr id="2017" name="Sekil-2018"/>
                    <wps:cNvSpPr/>
                    <wps:spPr>
                      <a:xfrm>
                        <a:off x="700" y="88"/>
                        <a:ext cx="0" cy="63"/>
                      </a:xfrm>
                      <a:prstGeom prst="line">
                        <a:avLst/>
                      </a:prstGeom>
                      <a:noFill/>
                      <a:ln w="70000" cap="rnd">
                        <a:solidFill>
                          <a:srgbClr val="A9A8A2"/>
                        </a:solidFill>
                      </a:ln>
                    </wps:spPr>
                    <wps:bodyPr rot="0" anchor="ctr" lIns="9000" tIns="0" rIns="9000" bIns="0" wrap="square">
                      <a:noAutofit/>
                    </wps:bodyPr>
                  </wps:wsp>
                  <wps:wsp>
                    <wps:cNvPr id="2019" name="Sekil-2020"/>
                    <wps:cNvSpPr/>
                    <wps:spPr>
                      <a:xfrm>
                        <a:off x="634" y="88"/>
                        <a:ext cx="66" cy="0"/>
                      </a:xfrm>
                      <a:prstGeom prst="line">
                        <a:avLst/>
                      </a:prstGeom>
                      <a:noFill/>
                      <a:ln w="70000" cap="rnd">
                        <a:solidFill>
                          <a:srgbClr val="A9A8A2"/>
                        </a:solidFill>
                      </a:ln>
                    </wps:spPr>
                    <wps:bodyPr rot="0" anchor="ctr" lIns="9000" tIns="0" rIns="9000" bIns="0" wrap="square">
                      <a:noAutofit/>
                    </wps:bodyPr>
                  </wps:wsp>
                  <wps:wsp>
                    <wps:cNvPr id="2021" name="Sekil-2022"/>
                    <wps:cNvSpPr/>
                    <wps:spPr>
                      <a:xfrm>
                        <a:off x="700" y="253"/>
                        <a:ext cx="0" cy="63"/>
                      </a:xfrm>
                      <a:prstGeom prst="line">
                        <a:avLst/>
                      </a:prstGeom>
                      <a:noFill/>
                      <a:ln w="70000" cap="rnd">
                        <a:solidFill>
                          <a:srgbClr val="A9A8A2"/>
                        </a:solidFill>
                      </a:ln>
                    </wps:spPr>
                    <wps:bodyPr rot="0" anchor="ctr" lIns="9000" tIns="0" rIns="9000" bIns="0" wrap="square">
                      <a:noAutofit/>
                    </wps:bodyPr>
                  </wps:wsp>
                  <wps:wsp>
                    <wps:cNvPr id="2023" name="Sekil-2024"/>
                    <wps:cNvSpPr/>
                    <wps:spPr>
                      <a:xfrm>
                        <a:off x="634" y="316"/>
                        <a:ext cx="66" cy="0"/>
                      </a:xfrm>
                      <a:prstGeom prst="line">
                        <a:avLst/>
                      </a:prstGeom>
                      <a:noFill/>
                      <a:ln w="70000" cap="rnd">
                        <a:solidFill>
                          <a:srgbClr val="A9A8A2"/>
                        </a:solidFill>
                      </a:ln>
                    </wps:spPr>
                    <wps:bodyPr rot="0" anchor="ctr" lIns="9000" tIns="0" rIns="9000" bIns="0" wrap="square">
                      <a:noAutofit/>
                    </wps:bodyPr>
                  </wps:wsp>
                  <wps:wsp>
                    <wps:cNvPr id="2025" name="Sekil-2026"/>
                    <wps:cNvSpPr/>
                    <wps:spPr>
                      <a:xfrm>
                        <a:off x="612" y="46"/>
                        <a:ext cx="14" cy="312"/>
                      </a:xfrm>
                      <a:prstGeom prst="rect">
                        <a:avLst/>
                      </a:prstGeom>
                      <a:solidFill>
                        <a:srgbClr val="E7E6E1"/>
                      </a:solidFill>
                      <a:ln w="10000" cap="rnd">
                        <a:solidFill>
                          <a:srgbClr val="52514E"/>
                        </a:solidFill>
                      </a:ln>
                    </wps:spPr>
                    <wps:bodyPr rot="0" anchor="ctr" lIns="9000" tIns="0" rIns="9000" bIns="0" wrap="square">
                      <a:noAutofit/>
                    </wps:bodyPr>
                  </wps:wsp>
                  <wps:wsp>
                    <wps:cNvPr id="2027" name="Sekil-2028"/>
                    <wps:cNvSpPr/>
                    <wps:spPr>
                      <a:xfrm>
                        <a:off x="614" y="86"/>
                        <a:ext cx="10" cy="15"/>
                      </a:xfrm>
                      <a:prstGeom prst="roundRect">
                        <a:avLst/>
                      </a:prstGeom>
                      <a:solidFill>
                        <a:srgbClr val="FCFCFB"/>
                      </a:solidFill>
                      <a:ln w="7000" cap="rnd">
                        <a:solidFill>
                          <a:srgbClr val="52514E"/>
                        </a:solidFill>
                      </a:ln>
                    </wps:spPr>
                    <wps:bodyPr rot="0" anchor="ctr" lIns="9000" tIns="0" rIns="9000" bIns="0" wrap="square">
                      <a:noAutofit/>
                    </wps:bodyPr>
                  </wps:wsp>
                  <wps:wsp>
                    <wps:cNvPr id="2029" name="Sekil-2030"/>
                    <wps:cNvSpPr/>
                    <wps:spPr>
                      <a:xfrm>
                        <a:off x="614" y="128"/>
                        <a:ext cx="10" cy="15"/>
                      </a:xfrm>
                      <a:prstGeom prst="roundRect">
                        <a:avLst/>
                      </a:prstGeom>
                      <a:solidFill>
                        <a:srgbClr val="FCFCFB"/>
                      </a:solidFill>
                      <a:ln w="7000" cap="rnd">
                        <a:solidFill>
                          <a:srgbClr val="52514E"/>
                        </a:solidFill>
                      </a:ln>
                    </wps:spPr>
                    <wps:bodyPr rot="0" anchor="ctr" lIns="9000" tIns="0" rIns="9000" bIns="0" wrap="square">
                      <a:noAutofit/>
                    </wps:bodyPr>
                  </wps:wsp>
                  <wps:wsp>
                    <wps:cNvPr id="2031" name="Sekil-2032"/>
                    <wps:cNvSpPr/>
                    <wps:spPr>
                      <a:xfrm>
                        <a:off x="614" y="170"/>
                        <a:ext cx="10" cy="15"/>
                      </a:xfrm>
                      <a:prstGeom prst="roundRect">
                        <a:avLst/>
                      </a:prstGeom>
                      <a:solidFill>
                        <a:srgbClr val="FCFCFB"/>
                      </a:solidFill>
                      <a:ln w="7000" cap="rnd">
                        <a:solidFill>
                          <a:srgbClr val="52514E"/>
                        </a:solidFill>
                      </a:ln>
                    </wps:spPr>
                    <wps:bodyPr rot="0" anchor="ctr" lIns="9000" tIns="0" rIns="9000" bIns="0" wrap="square">
                      <a:noAutofit/>
                    </wps:bodyPr>
                  </wps:wsp>
                  <wps:wsp>
                    <wps:cNvPr id="2033" name="Sekil-2034"/>
                    <wps:cNvSpPr/>
                    <wps:spPr>
                      <a:xfrm>
                        <a:off x="614" y="250"/>
                        <a:ext cx="10" cy="15"/>
                      </a:xfrm>
                      <a:prstGeom prst="roundRect">
                        <a:avLst/>
                      </a:prstGeom>
                      <a:solidFill>
                        <a:srgbClr val="FCFCFB"/>
                      </a:solidFill>
                      <a:ln w="7000" cap="rnd">
                        <a:solidFill>
                          <a:srgbClr val="52514E"/>
                        </a:solidFill>
                      </a:ln>
                    </wps:spPr>
                    <wps:bodyPr rot="0" anchor="ctr" lIns="9000" tIns="0" rIns="9000" bIns="0" wrap="square">
                      <a:noAutofit/>
                    </wps:bodyPr>
                  </wps:wsp>
                  <wps:wsp>
                    <wps:cNvPr id="2035" name="Sekil-2036"/>
                    <wps:cNvSpPr/>
                    <wps:spPr>
                      <a:xfrm>
                        <a:off x="614" y="292"/>
                        <a:ext cx="10" cy="15"/>
                      </a:xfrm>
                      <a:prstGeom prst="roundRect">
                        <a:avLst/>
                      </a:prstGeom>
                      <a:solidFill>
                        <a:srgbClr val="FCFCFB"/>
                      </a:solidFill>
                      <a:ln w="7000" cap="rnd">
                        <a:solidFill>
                          <a:srgbClr val="52514E"/>
                        </a:solidFill>
                      </a:ln>
                    </wps:spPr>
                    <wps:bodyPr rot="0" anchor="ctr" lIns="9000" tIns="0" rIns="9000" bIns="0" wrap="square">
                      <a:noAutofit/>
                    </wps:bodyPr>
                  </wps:wsp>
                  <wps:wsp>
                    <wps:cNvPr id="2037" name="Sekil-2038"/>
                    <wps:cNvSpPr/>
                    <wps:spPr>
                      <a:xfrm>
                        <a:off x="598" y="181"/>
                        <a:ext cx="42" cy="42"/>
                      </a:xfrm>
                      <a:prstGeom prst="ellipse">
                        <a:avLst/>
                      </a:prstGeom>
                      <a:solidFill>
                        <a:srgbClr val="FCFCFB"/>
                      </a:solidFill>
                      <a:ln w="10000" cap="rnd">
                        <a:solidFill>
                          <a:srgbClr val="52514E"/>
                        </a:solidFill>
                      </a:ln>
                    </wps:spPr>
                    <wps:bodyPr rot="0" anchor="ctr" lIns="9000" tIns="0" rIns="9000" bIns="0" wrap="square">
                      <a:noAutofit/>
                    </wps:bodyPr>
                  </wps:wsp>
                  <wps:wsp>
                    <wps:cNvPr id="2039" name="Sekil-2040"/>
                    <wps:cNvSpPr/>
                    <wps:spPr>
                      <a:xfrm>
                        <a:off x="646" y="146"/>
                        <a:ext cx="112" cy="112"/>
                      </a:xfrm>
                      <a:prstGeom prst="ellipse">
                        <a:avLst/>
                      </a:prstGeom>
                      <a:noFill/>
                      <a:ln w="13000" cap="rnd">
                        <a:solidFill>
                          <a:srgbClr val="52514E"/>
                        </a:solidFill>
                      </a:ln>
                    </wps:spPr>
                    <wps:bodyPr rot="0" anchor="ctr" lIns="9000" tIns="0" rIns="9000" bIns="0" wrap="square">
                      <a:noAutofit/>
                    </wps:bodyPr>
                  </wps:wsp>
                  <wps:wsp>
                    <wps:cNvPr id="2041" name="Sekil-2042"/>
                    <wps:cNvSpPr/>
                    <wps:spPr>
                      <a:xfrm>
                        <a:off x="646" y="202"/>
                        <a:ext cx="112" cy="0"/>
                      </a:xfrm>
                      <a:prstGeom prst="line">
                        <a:avLst/>
                      </a:prstGeom>
                      <a:noFill/>
                      <a:ln w="20000" cap="rnd">
                        <a:solidFill>
                          <a:srgbClr val="2A78D6"/>
                        </a:solidFill>
                      </a:ln>
                    </wps:spPr>
                    <wps:bodyPr rot="0" anchor="ctr" lIns="9000" tIns="0" rIns="9000" bIns="0" wrap="square">
                      <a:noAutofit/>
                    </wps:bodyPr>
                  </wps:wsp>
                  <wps:wsp>
                    <wps:cNvPr id="2043" name="Sekil-2044"/>
                    <wps:cNvSpPr/>
                    <wps:spPr>
                      <a:xfrm>
                        <a:off x="702" y="146"/>
                        <a:ext cx="0" cy="112"/>
                      </a:xfrm>
                      <a:prstGeom prst="line">
                        <a:avLst/>
                      </a:prstGeom>
                      <a:noFill/>
                      <a:ln w="20000" cap="rnd">
                        <a:solidFill>
                          <a:srgbClr val="2A78D6"/>
                        </a:solidFill>
                      </a:ln>
                    </wps:spPr>
                    <wps:bodyPr rot="0" anchor="ctr" lIns="9000" tIns="0" rIns="9000" bIns="0" wrap="square">
                      <a:noAutofit/>
                    </wps:bodyPr>
                  </wps:wsp>
                  <wps:wsp>
                    <wps:cNvPr id="2045" name="Sekil-2046"/>
                    <wps:cNvSpPr/>
                    <wps:spPr>
                      <a:xfrm>
                        <a:off x="662" y="162"/>
                        <a:ext cx="80" cy="80"/>
                      </a:xfrm>
                      <a:prstGeom prst="line">
                        <a:avLst/>
                      </a:prstGeom>
                      <a:noFill/>
                      <a:ln w="20000" cap="rnd">
                        <a:solidFill>
                          <a:srgbClr val="2A78D6"/>
                        </a:solidFill>
                      </a:ln>
                    </wps:spPr>
                    <wps:bodyPr rot="0" anchor="ctr" lIns="9000" tIns="0" rIns="9000" bIns="0" wrap="square">
                      <a:noAutofit/>
                    </wps:bodyPr>
                  </wps:wsp>
                  <wps:wsp>
                    <wps:cNvPr id="2047" name="Sekil-2048"/>
                    <wps:cNvSpPr/>
                    <wps:spPr>
                      <a:xfrm flipH="1">
                        <a:off x="662" y="162"/>
                        <a:ext cx="80" cy="80"/>
                      </a:xfrm>
                      <a:prstGeom prst="line">
                        <a:avLst/>
                      </a:prstGeom>
                      <a:noFill/>
                      <a:ln w="20000" cap="rnd">
                        <a:solidFill>
                          <a:srgbClr val="2A78D6"/>
                        </a:solidFill>
                      </a:ln>
                    </wps:spPr>
                    <wps:bodyPr rot="0" anchor="ctr" lIns="9000" tIns="0" rIns="9000" bIns="0" wrap="square">
                      <a:noAutofit/>
                    </wps:bodyPr>
                  </wps:wsp>
                  <wps:wsp>
                    <wps:cNvPr id="2049" name="Sekil-2050"/>
                    <wps:cNvSpPr/>
                    <wps:spPr>
                      <a:xfrm>
                        <a:off x="696" y="196"/>
                        <a:ext cx="12" cy="12"/>
                      </a:xfrm>
                      <a:prstGeom prst="ellipse">
                        <a:avLst/>
                      </a:prstGeom>
                      <a:solidFill>
                        <a:srgbClr val="52514E"/>
                      </a:solidFill>
                      <a:ln>
                        <a:noFill/>
                      </a:ln>
                    </wps:spPr>
                    <wps:bodyPr rot="0" anchor="ctr" lIns="9000" tIns="0" rIns="9000" bIns="0" wrap="square">
                      <a:noAutofit/>
                    </wps:bodyPr>
                  </wps:wsp>
                  <wps:wsp>
                    <wps:cNvPr id="2051" name="Sekil-2052"/>
                    <wps:cNvSpPr/>
                    <wps:spPr>
                      <a:xfrm flipH="1">
                        <a:off x="512" y="93"/>
                        <a:ext cx="96" cy="13"/>
                      </a:xfrm>
                      <a:prstGeom prst="line">
                        <a:avLst/>
                      </a:prstGeom>
                      <a:noFill/>
                      <a:ln w="15000" cap="rnd">
                        <a:solidFill>
                          <a:srgbClr val="2A78D6"/>
                        </a:solidFill>
                        <a:tailEnd type="triangle" w="med" len="med"/>
                      </a:ln>
                    </wps:spPr>
                    <wps:bodyPr rot="0" anchor="ctr" lIns="9000" tIns="0" rIns="9000" bIns="0" wrap="square">
                      <a:noAutofit/>
                    </wps:bodyPr>
                  </wps:wsp>
                  <wps:wsp>
                    <wps:cNvPr id="2053" name="Sekil-2054"/>
                    <wps:cNvSpPr/>
                    <wps:spPr>
                      <a:xfrm flipH="1">
                        <a:off x="512" y="135"/>
                        <a:ext cx="96" cy="5"/>
                      </a:xfrm>
                      <a:prstGeom prst="line">
                        <a:avLst/>
                      </a:prstGeom>
                      <a:noFill/>
                      <a:ln w="15000" cap="rnd">
                        <a:solidFill>
                          <a:srgbClr val="2A78D6"/>
                        </a:solidFill>
                        <a:tailEnd type="triangle" w="med" len="med"/>
                      </a:ln>
                    </wps:spPr>
                    <wps:bodyPr rot="0" anchor="ctr" lIns="9000" tIns="0" rIns="9000" bIns="0" wrap="square">
                      <a:noAutofit/>
                    </wps:bodyPr>
                  </wps:wsp>
                  <wps:wsp>
                    <wps:cNvPr id="2055" name="Sekil-2056"/>
                    <wps:cNvSpPr/>
                    <wps:spPr>
                      <a:xfrm flipH="1">
                        <a:off x="512" y="177"/>
                        <a:ext cx="96" cy="15"/>
                      </a:xfrm>
                      <a:prstGeom prst="line">
                        <a:avLst/>
                      </a:prstGeom>
                      <a:noFill/>
                      <a:ln w="15000" cap="rnd">
                        <a:solidFill>
                          <a:srgbClr val="2A78D6"/>
                        </a:solidFill>
                        <a:tailEnd type="triangle" w="med" len="med"/>
                      </a:ln>
                    </wps:spPr>
                    <wps:bodyPr rot="0" anchor="ctr" lIns="9000" tIns="0" rIns="9000" bIns="0" wrap="square">
                      <a:noAutofit/>
                    </wps:bodyPr>
                  </wps:wsp>
                  <wps:wsp>
                    <wps:cNvPr id="2057" name="Sekil-2058"/>
                    <wps:cNvSpPr/>
                    <wps:spPr>
                      <a:xfrm flipH="1">
                        <a:off x="512" y="240"/>
                        <a:ext cx="96" cy="17"/>
                      </a:xfrm>
                      <a:prstGeom prst="line">
                        <a:avLst/>
                      </a:prstGeom>
                      <a:noFill/>
                      <a:ln w="15000" cap="rnd">
                        <a:solidFill>
                          <a:srgbClr val="2A78D6"/>
                        </a:solidFill>
                        <a:tailEnd type="triangle" w="med" len="med"/>
                      </a:ln>
                    </wps:spPr>
                    <wps:bodyPr rot="0" anchor="ctr" lIns="9000" tIns="0" rIns="9000" bIns="0" wrap="square">
                      <a:noAutofit/>
                    </wps:bodyPr>
                  </wps:wsp>
                  <wps:wsp>
                    <wps:cNvPr id="2059" name="Sekil-2060"/>
                    <wps:cNvSpPr/>
                    <wps:spPr>
                      <a:xfrm flipH="1">
                        <a:off x="512" y="286"/>
                        <a:ext cx="96" cy="13"/>
                      </a:xfrm>
                      <a:prstGeom prst="line">
                        <a:avLst/>
                      </a:prstGeom>
                      <a:noFill/>
                      <a:ln w="15000" cap="rnd">
                        <a:solidFill>
                          <a:srgbClr val="2A78D6"/>
                        </a:solidFill>
                        <a:tailEnd type="triangle" w="med" len="med"/>
                      </a:ln>
                    </wps:spPr>
                    <wps:bodyPr rot="0" anchor="ctr" lIns="9000" tIns="0" rIns="9000" bIns="0" wrap="square">
                      <a:noAutofit/>
                    </wps:bodyPr>
                  </wps:wsp>
                  <wps:wsp>
                    <wps:cNvPr id="2061" name="Sekil-2062"/>
                    <wps:cNvSpPr/>
                    <wps:spPr>
                      <a:xfrm flipH="1">
                        <a:off x="470" y="202"/>
                        <a:ext cx="122" cy="0"/>
                      </a:xfrm>
                      <a:prstGeom prst="line">
                        <a:avLst/>
                      </a:prstGeom>
                      <a:noFill/>
                      <a:ln w="15000" cap="rnd">
                        <a:solidFill>
                          <a:srgbClr val="52514E"/>
                        </a:solidFill>
                        <a:prstDash val="dash"/>
                        <a:tailEnd type="triangle" w="med" len="med"/>
                      </a:ln>
                    </wps:spPr>
                    <wps:bodyPr rot="0" anchor="ctr" lIns="9000" tIns="0" rIns="9000" bIns="0" wrap="square">
                      <a:noAutofit/>
                    </wps:bodyPr>
                  </wps:wsp>
                  <wps:wsp>
                    <wps:cNvPr id="2063" name="Sekil-2064"/>
                    <wps:cNvSpPr/>
                    <wps:spPr>
                      <a:xfrm>
                        <a:off x="150" y="176"/>
                        <a:ext cx="56" cy="52"/>
                      </a:xfrm>
                      <a:prstGeom prst="circularArrow">
                        <a:avLst>
                          <a:gd name="adj5" fmla="val 12500"/>
                        </a:avLst>
                      </a:prstGeom>
                      <a:solidFill>
                        <a:srgbClr val="EB6834"/>
                      </a:solidFill>
                      <a:ln>
                        <a:noFill/>
                      </a:ln>
                    </wps:spPr>
                    <wps:bodyPr rot="0" anchor="ctr" lIns="9000" tIns="0" rIns="9000" bIns="0" wrap="square">
                      <a:noAutofit/>
                    </wps:bodyPr>
                  </wps:wsp>
                  <wps:wsp>
                    <wps:cNvPr id="2065" name="Sekil-2066"/>
                    <wps:cNvSpPr/>
                    <wps:spPr>
                      <a:xfrm>
                        <a:off x="150" y="262"/>
                        <a:ext cx="56" cy="52"/>
                      </a:xfrm>
                      <a:prstGeom prst="circularArrow">
                        <a:avLst>
                          <a:gd name="adj5" fmla="val 12500"/>
                        </a:avLst>
                      </a:prstGeom>
                      <a:solidFill>
                        <a:srgbClr val="EB6834"/>
                      </a:solidFill>
                      <a:ln>
                        <a:noFill/>
                      </a:ln>
                    </wps:spPr>
                    <wps:bodyPr rot="0" anchor="ctr" lIns="9000" tIns="0" rIns="9000" bIns="0" wrap="square">
                      <a:noAutofit/>
                    </wps:bodyPr>
                  </wps:wsp>
                  <wps:wsp>
                    <wps:cNvPr id="2067" name="Sekil-2068"/>
                    <wps:cNvSpPr/>
                    <wps:spPr>
                      <a:xfrm>
                        <a:off x="774" y="186"/>
                        <a:ext cx="34" cy="34"/>
                      </a:xfrm>
                      <a:prstGeom prst="ellipse">
                        <a:avLst/>
                      </a:prstGeom>
                      <a:solidFill>
                        <a:srgbClr val="2A78D6"/>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1</w:t>
                          </w:r>
                        </w:p>
                      </w:txbxContent>
                    </wps:txbx>
                    <wps:bodyPr rot="0" anchor="ctr" lIns="9000" tIns="0" rIns="9000" bIns="0" wrap="square">
                      <a:noAutofit/>
                    </wps:bodyPr>
                  </wps:wsp>
                  <wps:wsp>
                    <wps:cNvPr id="2069" name="Sekil-2070"/>
                    <wps:cNvSpPr/>
                    <wps:spPr>
                      <a:xfrm>
                        <a:off x="642" y="58"/>
                        <a:ext cx="34" cy="34"/>
                      </a:xfrm>
                      <a:prstGeom prst="ellipse">
                        <a:avLst/>
                      </a:prstGeom>
                      <a:solidFill>
                        <a:srgbClr val="2A78D6"/>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2</w:t>
                          </w:r>
                        </w:p>
                      </w:txbxContent>
                    </wps:txbx>
                    <wps:bodyPr rot="0" anchor="ctr" lIns="9000" tIns="0" rIns="9000" bIns="0" wrap="square">
                      <a:noAutofit/>
                    </wps:bodyPr>
                  </wps:wsp>
                  <wps:wsp>
                    <wps:cNvPr id="2071" name="Sekil-2072"/>
                    <wps:cNvSpPr/>
                    <wps:spPr>
                      <a:xfrm>
                        <a:off x="566" y="316"/>
                        <a:ext cx="34" cy="34"/>
                      </a:xfrm>
                      <a:prstGeom prst="ellipse">
                        <a:avLst/>
                      </a:prstGeom>
                      <a:solidFill>
                        <a:srgbClr val="2A78D6"/>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3</w:t>
                          </w:r>
                        </w:p>
                      </w:txbxContent>
                    </wps:txbx>
                    <wps:bodyPr rot="0" anchor="ctr" lIns="9000" tIns="0" rIns="9000" bIns="0" wrap="square">
                      <a:noAutofit/>
                    </wps:bodyPr>
                  </wps:wsp>
                  <wps:wsp>
                    <wps:cNvPr id="2073" name="Sekil-2074"/>
                    <wps:cNvSpPr/>
                    <wps:spPr>
                      <a:xfrm>
                        <a:off x="528" y="188"/>
                        <a:ext cx="34" cy="34"/>
                      </a:xfrm>
                      <a:prstGeom prst="ellipse">
                        <a:avLst/>
                      </a:prstGeom>
                      <a:solidFill>
                        <a:srgbClr val="52514E"/>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4</w:t>
                          </w:r>
                        </w:p>
                      </w:txbxContent>
                    </wps:txbx>
                    <wps:bodyPr rot="0" anchor="ctr" lIns="9000" tIns="0" rIns="9000" bIns="0" wrap="square">
                      <a:noAutofit/>
                    </wps:bodyPr>
                  </wps:wsp>
                  <wps:wsp>
                    <wps:cNvPr id="2075" name="Sekil-2076"/>
                    <wps:cNvSpPr/>
                    <wps:spPr>
                      <a:xfrm>
                        <a:off x="74" y="66"/>
                        <a:ext cx="34" cy="34"/>
                      </a:xfrm>
                      <a:prstGeom prst="ellipse">
                        <a:avLst/>
                      </a:prstGeom>
                      <a:solidFill>
                        <a:srgbClr val="8D8C86"/>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5</w:t>
                          </w:r>
                        </w:p>
                      </w:txbxContent>
                    </wps:txbx>
                    <wps:bodyPr rot="0" anchor="ctr" lIns="9000" tIns="0" rIns="9000" bIns="0" wrap="square">
                      <a:noAutofit/>
                    </wps:bodyPr>
                  </wps:wsp>
                  <wps:wsp>
                    <wps:cNvPr id="2077" name="Sekil-2078"/>
                    <wps:cNvSpPr/>
                    <wps:spPr>
                      <a:xfrm>
                        <a:off x="210" y="218"/>
                        <a:ext cx="34" cy="34"/>
                      </a:xfrm>
                      <a:prstGeom prst="ellipse">
                        <a:avLst/>
                      </a:prstGeom>
                      <a:solidFill>
                        <a:srgbClr val="EB6834"/>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6</w:t>
                          </w:r>
                        </w:p>
                      </w:txbxContent>
                    </wps:txbx>
                    <wps:bodyPr rot="0" anchor="ctr" lIns="9000" tIns="0" rIns="9000" bIns="0" wrap="square">
                      <a:noAutofit/>
                    </wps:bodyPr>
                  </wps:wsp>
                  <wps:wsp>
                    <wps:cNvPr id="2079" name="Sekil-2080"/>
                    <wps:cNvSpPr/>
                    <wps:spPr>
                      <a:xfrm>
                        <a:off x="292" y="122"/>
                        <a:ext cx="34" cy="34"/>
                      </a:xfrm>
                      <a:prstGeom prst="ellipse">
                        <a:avLst/>
                      </a:prstGeom>
                      <a:solidFill>
                        <a:srgbClr val="52514E"/>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7</w:t>
                          </w:r>
                        </w:p>
                      </w:txbxContent>
                    </wps:txbx>
                    <wps:bodyPr rot="0" anchor="ctr" lIns="9000" tIns="0" rIns="9000" bIns="0" wrap="square">
                      <a:noAutofit/>
                    </wps:bodyPr>
                  </wps:wsp>
                  <wps:wsp>
                    <wps:cNvPr id="2081" name="Sekil-2082"/>
                    <wps:cNvSpPr/>
                    <wps:spPr>
                      <a:xfrm>
                        <a:off x="292" y="44"/>
                        <a:ext cx="34" cy="34"/>
                      </a:xfrm>
                      <a:prstGeom prst="ellipse">
                        <a:avLst/>
                      </a:prstGeom>
                      <a:solidFill>
                        <a:srgbClr val="EB6834"/>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6"/>
                            </w:rPr>
                          </w:pPr>
                          <w:r>
                            <w:rPr>
                              <w:rFonts w:ascii="Times New Roman" w:hAnsi="Times New Roman"/>
                              <w:b w:val="true"/>
                              <w:color w:val="FFFFFF"/>
                              <w:sz w:val="16"/>
                            </w:rPr>
                            <w:t xml:space="preserve">8</w:t>
                          </w:r>
                        </w:p>
                      </w:txbxContent>
                    </wps:txbx>
                    <wps:bodyPr rot="0" anchor="ctr" lIns="9000" tIns="0" rIns="9000" bIns="0" wrap="square">
                      <a:noAutofit/>
                    </wps:bodyPr>
                  </wps:wsp>
                  <wps:wsp>
                    <wps:cNvPr id="2083" name="Sekil-2084"/>
                    <wps:cNvSpPr txBox="1"/>
                    <wps:spPr>
                      <a:xfrm>
                        <a:off x="40" y="402"/>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1  Sirkülasyon fanı</w:t>
                          </w:r>
                        </w:p>
                      </w:txbxContent>
                    </wps:txbx>
                    <wps:bodyPr rot="0" anchor="ctr" lIns="9000" tIns="0" rIns="9000" bIns="0" wrap="square">
                      <a:noAutofit/>
                    </wps:bodyPr>
                  </wps:wsp>
                  <wps:wsp>
                    <wps:cNvPr id="2085" name="Sekil-2086"/>
                    <wps:cNvSpPr txBox="1"/>
                    <wps:spPr>
                      <a:xfrm>
                        <a:off x="40" y="426"/>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2  Hava kanalı</w:t>
                          </w:r>
                        </w:p>
                      </w:txbxContent>
                    </wps:txbx>
                    <wps:bodyPr rot="0" anchor="ctr" lIns="9000" tIns="0" rIns="9000" bIns="0" wrap="square">
                      <a:noAutofit/>
                    </wps:bodyPr>
                  </wps:wsp>
                  <wps:wsp>
                    <wps:cNvPr id="2087" name="Sekil-2088"/>
                    <wps:cNvSpPr txBox="1"/>
                    <wps:spPr>
                      <a:xfrm>
                        <a:off x="40" y="450"/>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3  Fan koruma sacı (FKS)</w:t>
                          </w:r>
                        </w:p>
                      </w:txbxContent>
                    </wps:txbx>
                    <wps:bodyPr rot="0" anchor="ctr" lIns="9000" tIns="0" rIns="9000" bIns="0" wrap="square">
                      <a:noAutofit/>
                    </wps:bodyPr>
                  </wps:wsp>
                  <wps:wsp>
                    <wps:cNvPr id="2089" name="Sekil-2090"/>
                    <wps:cNvSpPr txBox="1"/>
                    <wps:spPr>
                      <a:xfrm>
                        <a:off x="340" y="402"/>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4  Emme ağzı</w:t>
                          </w:r>
                        </w:p>
                      </w:txbxContent>
                    </wps:txbx>
                    <wps:bodyPr rot="0" anchor="ctr" lIns="9000" tIns="0" rIns="9000" bIns="0" wrap="square">
                      <a:noAutofit/>
                    </wps:bodyPr>
                  </wps:wsp>
                  <wps:wsp>
                    <wps:cNvPr id="2091" name="Sekil-2092"/>
                    <wps:cNvSpPr txBox="1"/>
                    <wps:spPr>
                      <a:xfrm>
                        <a:off x="340" y="426"/>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5  Ölü hacim</w:t>
                          </w:r>
                        </w:p>
                      </w:txbxContent>
                    </wps:txbx>
                    <wps:bodyPr rot="0" anchor="ctr" lIns="9000" tIns="0" rIns="9000" bIns="0" wrap="square">
                      <a:noAutofit/>
                    </wps:bodyPr>
                  </wps:wsp>
                  <wps:wsp>
                    <wps:cNvPr id="2093" name="Sekil-2094"/>
                    <wps:cNvSpPr txBox="1"/>
                    <wps:spPr>
                      <a:xfrm>
                        <a:off x="340" y="450"/>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6  Geri sirkülasyon</w:t>
                          </w:r>
                        </w:p>
                      </w:txbxContent>
                    </wps:txbx>
                    <wps:bodyPr rot="0" anchor="ctr" lIns="9000" tIns="0" rIns="9000" bIns="0" wrap="square">
                      <a:noAutofit/>
                    </wps:bodyPr>
                  </wps:wsp>
                  <wps:wsp>
                    <wps:cNvPr id="2095" name="Sekil-2096"/>
                    <wps:cNvSpPr txBox="1"/>
                    <wps:spPr>
                      <a:xfrm>
                        <a:off x="640" y="402"/>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7  Tepsi ve raf</w:t>
                          </w:r>
                        </w:p>
                      </w:txbxContent>
                    </wps:txbx>
                    <wps:bodyPr rot="0" anchor="ctr" lIns="9000" tIns="0" rIns="9000" bIns="0" wrap="square">
                      <a:noAutofit/>
                    </wps:bodyPr>
                  </wps:wsp>
                  <wps:wsp>
                    <wps:cNvPr id="2097" name="Sekil-2098"/>
                    <wps:cNvSpPr txBox="1"/>
                    <wps:spPr>
                      <a:xfrm>
                        <a:off x="640" y="426"/>
                        <a:ext cx="2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7"/>
                            </w:rPr>
                          </w:pPr>
                          <w:r>
                            <w:rPr>
                              <w:rFonts w:ascii="Times New Roman" w:hAnsi="Times New Roman"/>
                              <w:b w:val="false"/>
                              <w:color w:val="52514E"/>
                              <w:sz w:val="17"/>
                            </w:rPr>
                            <w:t xml:space="preserve">8  Rezistans</w:t>
                          </w:r>
                        </w:p>
                      </w:txbxContent>
                    </wps:txbx>
                    <wps:bodyPr rot="0" anchor="ctr" lIns="9000" tIns="0" rIns="9000" bIns="0" wrap="square">
                      <a:noAutofit/>
                    </wps:bodyPr>
                  </wps:wsp>
                  <wps:wsp>
                    <wps:cNvPr id="2099" name="Sekil-2100"/>
                    <wps:cNvSpPr txBox="1"/>
                    <wps:spPr>
                      <a:xfrm>
                        <a:off x="40" y="474"/>
                        <a:ext cx="590" cy="22"/>
                      </a:xfrm>
                      <a:prstGeom prst="rect">
                        <a:avLst/>
                      </a:prstGeom>
                      <a:noFill/>
                      <a:ln>
                        <a:noFill/>
                      </a:ln>
                    </wps:spPr>
                    <wps:txbx>
                      <w:txbxContent xmlns:w="http://schemas.openxmlformats.org/wordprocessingml/2006/main">
                        <w:p>
                          <w:pPr>
                            <w:spacing w:before="0" w:after="0" w:line="240" w:lineRule="auto"/>
                            <w:jc w:val="left"/>
                            <w:rPr>
                              <w:rFonts w:ascii="Times New Roman" w:hAnsi="Times New Roman"/>
                              <w:b w:val="false"/>
                              <w:color w:val="52514E"/>
                              <w:sz w:val="16"/>
                            </w:rPr>
                          </w:pPr>
                          <w:r>
                            <w:rPr>
                              <w:rFonts w:ascii="Times New Roman" w:hAnsi="Times New Roman"/>
                              <w:b w:val="false"/>
                              <w:color w:val="52514E"/>
                              <w:sz w:val="16"/>
                            </w:rPr>
                            <w:t xml:space="preserve">Mavi ok: FKS deliklerinden çıkan jet · Kesikli ok: kaviteden fana dönüş</w:t>
                          </w:r>
                        </w:p>
                      </w:txbxContent>
                    </wps:txbx>
                    <wps:bodyPr rot="0" anchor="ctr" lIns="9000" tIns="0" rIns="9000" bIns="0" wrap="square">
                      <a:noAutofit/>
                    </wps:bodyPr>
                  </wps:wsp>
                </wpg:wgp>
              </a:graphicData>
            </a:graphic>
          </wp:inline>
        </w:drawing>
      </w:r>
    </w:p>
    <w:p>
      <w:pPr>
        <w:spacing w:after="200" w:before="0" w:line="276" w:lineRule="auto"/>
        <w:jc w:val="center"/>
      </w:pPr>
      <w:r>
        <w:rPr>
          <w:rFonts w:ascii="Times New Roman" w:hAnsi="Times New Roman" w:eastAsia="Times New Roman"/>
          <w:b w:val="0"/>
          <w:i/>
          <w:sz w:val="18"/>
        </w:rPr>
        <w:t>Şekil 2. Zorlanmış konveksiyonlu bir fırın kavitesinde hava yolu ve başlıca akış olguları (şematik, ölçekli değildir). Şema, 3. ve 6. Bölümlerde tartışılan olguları tek bir görselde toplamak üzere bu derleme için çizilmiştir.</w:t>
      </w:r>
    </w:p>
    <w:p>
      <w:pPr>
        <w:pStyle w:val="Heading2"/>
        <w:spacing w:before="200" w:after="120"/>
      </w:pPr>
      <w:r>
        <w:rPr>
          <w:rFonts w:ascii="Times New Roman" w:hAnsi="Times New Roman" w:eastAsia="Times New Roman"/>
          <w:b/>
          <w:color w:val="1A1A1A"/>
          <w:sz w:val="24"/>
        </w:rPr>
        <w:t>3.1. Konveksiyon, radyasyon ve iletim etkileşimi</w:t>
      </w:r>
    </w:p>
    <w:p>
      <w:pPr>
        <w:spacing w:after="120" w:before="0" w:line="276" w:lineRule="auto"/>
        <w:jc w:val="both"/>
      </w:pPr>
      <w:r>
        <w:rPr>
          <w:rFonts w:ascii="Times New Roman" w:hAnsi="Times New Roman" w:eastAsia="Times New Roman"/>
          <w:b w:val="0"/>
          <w:i w:val="0"/>
          <w:sz w:val="22"/>
        </w:rPr>
        <w:t>Fırın duvarları, tepsiler ve gıda yüzeylerinde enerji öncelikle iletimle aktarılır. Bu yüzeylerdeki sıcaklık gradyanları hem konvektif akışı hem ışınım alışverişini etkiler. Üç mekanizma birbirinden bağımsız işlemez; kavite içinde kuplajlı bir yapı oluşturur [11], [21], [26].</w:t>
      </w:r>
    </w:p>
    <w:p>
      <w:pPr>
        <w:spacing w:after="120" w:before="0" w:line="276" w:lineRule="auto"/>
        <w:jc w:val="both"/>
      </w:pPr>
      <w:r>
        <w:rPr>
          <w:rFonts w:ascii="Times New Roman" w:hAnsi="Times New Roman" w:eastAsia="Times New Roman"/>
          <w:b w:val="0"/>
          <w:i w:val="0"/>
          <w:sz w:val="22"/>
        </w:rPr>
        <w:t>Elektrikli fırınlarda üst ve alt rezistanslar ile ısınmış iç yüzeyler termal ışınımın ana kaynağıdır. Tipik çalışma sıcaklıklarında (150-250 °C) ışınımla aktarılan enerjinin toplam içindeki payı, yüzey emisivitesine ve geometrik görüş faktörlerine bağlı olarak epeyce yükselebilir. Reddy ve ark. [27] engelli bir pişirme kavitesinde görüş faktörlerini hem analitik hem sonlu elemanlar yöntemiyle hesaplayarak, kavitedeki engellerin (tepsi, raf, reflektör) ışınım enerji alışverişini nasıl yeniden dağıttığını nicel olarak göstermiştir. Jovicic ve ark. [28] model bir pişirme fırınında üç mekanizmanın paylarını ayrıştırmış ve ışınımın toplam ısı akısı içindeki ağırlığının yüzey sıcaklığı ile emisiviteye bağlı olarak hızla arttığını ortaya koymuştur.</w:t>
      </w:r>
    </w:p>
    <w:p>
      <w:pPr>
        <w:spacing w:after="120" w:before="0" w:line="276" w:lineRule="auto"/>
        <w:jc w:val="both"/>
      </w:pPr>
      <w:r>
        <w:rPr>
          <w:rFonts w:ascii="Times New Roman" w:hAnsi="Times New Roman" w:eastAsia="Times New Roman"/>
          <w:b w:val="0"/>
          <w:i w:val="0"/>
          <w:sz w:val="22"/>
        </w:rPr>
        <w:t>Hassan ve ark. [11] doğal ve zorlanmış konveksiyon modlarındaki ışınım dağılımını incelemiş; fanlı çalışmada konvektif katsayı artmasına karşın kavite sıcaklıklarının homojenleşmesinin ışınım-konveksiyon enerji paylaşımını yeniden biçimlendirdiğini bulmuştur. Işınım, kısacası, yalnızca fansız modla sınırlı bir etken değildir. Hincapié ve García [12] bir gaz fırınında farklı bir tablo çizer: doğal konveksiyon baskındır ve ışınım, geometrik kısıtlar yüzünden taban plakasına sınırlı katkı yapar. Işınımın toplam ısı transferindeki payı sabit bir değer değildir; fırının elektrikli mi gazlı mı olduğu, statik mi fanlı modda mı çalıştığı ve kavite geometrisi bu payı köklü biçimde değiştirir.</w:t>
      </w:r>
    </w:p>
    <w:p>
      <w:pPr>
        <w:spacing w:after="120" w:before="0" w:line="276" w:lineRule="auto"/>
        <w:jc w:val="both"/>
      </w:pPr>
      <w:r>
        <w:rPr>
          <w:rFonts w:ascii="Times New Roman" w:hAnsi="Times New Roman" w:eastAsia="Times New Roman"/>
          <w:b w:val="0"/>
          <w:i w:val="0"/>
          <w:sz w:val="22"/>
        </w:rPr>
        <w:t>Doğal konveksiyon (statik mod) ile zorlanmış konveksiyon (fanlı mod) arasındaki fark yalnızca bir fanın varlığı değildir. Fan yokken kavitedeki hava hareketi yoğunluk gradyanlarına, yani kaldırma kuvvetine dayanır. Akış bu koşullarda genellikle laminer veya geçiş rejimindedir ve konvektif katsayı düşük kalır. Sıcak havanın yükselmesi kavitede dikey bir sıcaklık katmanlaşması yaratır: alt bölgeler üst bölgelere göre sistematik olarak daha soğuk kalır [12], [21].</w:t>
      </w:r>
    </w:p>
    <w:p>
      <w:pPr>
        <w:spacing w:after="120" w:before="0" w:line="276" w:lineRule="auto"/>
        <w:jc w:val="both"/>
      </w:pPr>
      <w:r>
        <w:rPr>
          <w:rFonts w:ascii="Times New Roman" w:hAnsi="Times New Roman" w:eastAsia="Times New Roman"/>
          <w:b w:val="0"/>
          <w:i w:val="0"/>
          <w:sz w:val="22"/>
        </w:rPr>
        <w:t>Fan çalışmaya başladığında tablo değişir. Fan, arka duvardaki emme ağzından havayı çeker ve FKS üzerindeki deliklerden hava kanalları aracılığıyla kaviteye geri basar. Oluşan türbülanslı jetler konvektif katsayıyı yükseltir. Bu artışın büyüklüğü ölçülmüştür. Sakin ve ark. [42] birleşik yüzey ısı taşınım katsayısını fanlı çalışmada 28-34 W/m²K, fansız çalışmada 11-20 W/m²K aralığında belirlemiştir. Carson ve ark. [43] dört farklı yöntemle (geçici rejim sıcaklık verisinden geri hesaplama, ısı akısı sensörü, kütle kaybı hızı ve psikrometrik yöntem) ev tipi bir fanlı fırın ile ticari bir kesikli fırında görünür ısı taşınım katsayısının ağırlıklı olarak 15-40 W/m²K aralığında olduğunu bulmuş; bu değerlerin düz levha üzerindeki laminer akış korelasyonlarının yaklaşık iki katı çıktığını ve farkın kısmen ışınımdan geldiğini göstermiştir. İki bağımsız ölçüm çalışması, "fan konvektif katsayıyı kabaca ikiye katlar" ifadesine nicel bir taban sağlar.</w:t>
      </w:r>
    </w:p>
    <w:p>
      <w:pPr>
        <w:spacing w:after="120" w:before="0" w:line="276" w:lineRule="auto"/>
        <w:jc w:val="both"/>
      </w:pPr>
      <w:r>
        <w:rPr>
          <w:rFonts w:ascii="Times New Roman" w:hAnsi="Times New Roman" w:eastAsia="Times New Roman"/>
          <w:b w:val="0"/>
          <w:i w:val="0"/>
          <w:sz w:val="22"/>
        </w:rPr>
        <w:t>İki çalışmanın bildirdiği aralıklar Şekil 3'te karşılaştırılmıştır.</w:t>
      </w:r>
    </w:p>
    <w:p>
      <w:pPr>
        <w:jc w:val="center"/>
        <w:spacing w:before="80" w:after="60"/>
      </w:pPr>
      <w:r>
        <w:drawing>
          <wp:inline xmlns:wp="http://schemas.openxmlformats.org/drawingml/2006/wordprocessingDrawing" distT="0" distB="0" distL="0" distR="0">
            <wp:extent cx="5760000" cy="2232000"/>
            <wp:effectExtent l="0" t="0" r="0" b="0"/>
            <wp:docPr id="3003" name="Şekil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02"/>
              </a:graphicData>
            </a:graphic>
          </wp:inline>
        </w:drawing>
      </w:r>
    </w:p>
    <w:p>
      <w:pPr>
        <w:spacing w:after="200" w:before="0" w:line="276" w:lineRule="auto"/>
        <w:jc w:val="center"/>
      </w:pPr>
      <w:r>
        <w:rPr>
          <w:rFonts w:ascii="Times New Roman" w:hAnsi="Times New Roman" w:eastAsia="Times New Roman"/>
          <w:b w:val="0"/>
          <w:i/>
          <w:sz w:val="18"/>
        </w:rPr>
        <w:t>Şekil 3. Fırın kavitelerinde ölçülmüş birleşik yüzey ısı taşınım katsayısı aralıkları. Sakin ve ark. [42] değerleri 70-220 °C çalışma aralığına, Carson ve ark. [43] değerleri dört farklı ölçüm yönteminin birlikte değerlendirilmesine aittir. Fanlı ve fansız çalışma arasındaki fark, aynı kavitede konvektif katsayının kabaca ikiye katlanabildiğini gösterir.</w:t>
      </w:r>
    </w:p>
    <w:p>
      <w:pPr>
        <w:spacing w:after="120" w:before="0" w:line="276" w:lineRule="auto"/>
        <w:jc w:val="both"/>
      </w:pPr>
      <w:r>
        <w:rPr>
          <w:rFonts w:ascii="Times New Roman" w:hAnsi="Times New Roman" w:eastAsia="Times New Roman"/>
          <w:b w:val="0"/>
          <w:i w:val="0"/>
          <w:sz w:val="22"/>
        </w:rPr>
        <w:t>Verboven ve ark. [21] zorlanmış konveksiyonlu bir fırında kavite içi hava hızını sıcak-film anemometresiyle ölçmüş ve sıcaklık dağılımının birincil olarak akış alanı tarafından belirlendiğini göstermiştir [22]. Önal ve ark. [13] fan devir sayısı 600'den 2400 RPM'e yükseltildiğinde kavite içi ortalama hızın doğrusal olmayan bir artış sergilediğini k-ω SST modeliyle ortaya koymuştur. Kişin ve ark. [18] endüstriyel bir fırını FloEFD ile modelleyerek momentum transferinin sıcaklık haritası üzerindeki etkisini göstermiştir.</w:t>
      </w:r>
    </w:p>
    <w:p>
      <w:pPr>
        <w:spacing w:after="120" w:before="0" w:line="276" w:lineRule="auto"/>
        <w:jc w:val="both"/>
      </w:pPr>
      <w:r>
        <w:rPr>
          <w:rFonts w:ascii="Times New Roman" w:hAnsi="Times New Roman" w:eastAsia="Times New Roman"/>
          <w:b w:val="0"/>
          <w:i w:val="0"/>
          <w:sz w:val="22"/>
        </w:rPr>
        <w:t>Sıcaklık dağılımını iyileştirmek, dolayısıyla bir akış kontrolü meselesidir. Havanın nereden girdiği, ne hızla geldiği, jetlerin nasıl açıldığı ve sirkülasyon döngüleri, konvektif katsayının kavite içindeki dağılımını tayin eder. Yüksek hızlı akış yüzeylerdeki konvektif direnci düşürdükçe yüzey sıcaklıkları da değişir; bu da ışınımla aktarılan enerjiyi dolaylı yoldan etkiler [11], [19].</w:t>
      </w:r>
    </w:p>
    <w:p>
      <w:pPr>
        <w:pStyle w:val="Heading2"/>
        <w:spacing w:before="200" w:after="120"/>
      </w:pPr>
      <w:r>
        <w:rPr>
          <w:rFonts w:ascii="Times New Roman" w:hAnsi="Times New Roman" w:eastAsia="Times New Roman"/>
          <w:b/>
          <w:color w:val="1A1A1A"/>
          <w:sz w:val="24"/>
        </w:rPr>
        <w:t>3.2. Akış rejimleri ve sınır tabaka etkileri</w:t>
      </w:r>
    </w:p>
    <w:p>
      <w:pPr>
        <w:spacing w:after="120" w:before="0" w:line="276" w:lineRule="auto"/>
        <w:jc w:val="both"/>
      </w:pPr>
      <w:r>
        <w:rPr>
          <w:rFonts w:ascii="Times New Roman" w:hAnsi="Times New Roman" w:eastAsia="Times New Roman"/>
          <w:b w:val="0"/>
          <w:i w:val="0"/>
          <w:sz w:val="22"/>
        </w:rPr>
        <w:t>Tepsiler, raflar ve dar geçiş boşlukları fırın kavitesini aerodinamik açıdan çetrefilli bir ortama dönüştürür. FKS delikleri ile hava kanalı çıkışlarından jet hâlinde giren hava bu engellere çarparak türbülanslı bir akış alanı oluşturur. Fan çıkış hızları ve karakteristik kavite boyutları göz önüne alındığında, zorlanmış konveksiyonlu fırınlarda Reynolds sayısının 10⁴-10⁵ mertebesine ulaştığı kabul edilir; bu mertebe, ilgili çalışmalarda bildirilen hız ve boyut ölçekleriyle tutarlıdır [13], [21].</w:t>
      </w:r>
    </w:p>
    <w:p>
      <w:pPr>
        <w:spacing w:after="120" w:before="0" w:line="276" w:lineRule="auto"/>
        <w:jc w:val="both"/>
      </w:pPr>
      <w:r>
        <w:rPr>
          <w:rFonts w:ascii="Times New Roman" w:hAnsi="Times New Roman" w:eastAsia="Times New Roman"/>
          <w:b w:val="0"/>
          <w:i w:val="0"/>
          <w:sz w:val="22"/>
        </w:rPr>
        <w:t>Kavitedeki akışın tamamını salt mekanik olarak sürülen bir türbülans saymak yanıltıcı olur. Rezistanslara yakın bölgelerde yerel sıcaklık farkları hava yoğunluğunda gradyanlar oluşturur ve kaldırma kuvveti kaynaklı ikincil akışlar belirir. Hangi mekanizmanın ağır bastığı Richardson sayısıyla (</w:t>
      </w:r>
      <w:r>
        <w:rPr>
          <w:rFonts w:ascii="Times New Roman" w:hAnsi="Times New Roman" w:eastAsia="Times New Roman"/>
          <w:b w:val="0"/>
          <w:i/>
          <w:sz w:val="22"/>
        </w:rPr>
        <w:t>Ri</w:t>
      </w:r>
      <w:r>
        <w:rPr>
          <w:rFonts w:ascii="Times New Roman" w:hAnsi="Times New Roman" w:eastAsia="Times New Roman"/>
          <w:b w:val="0"/>
          <w:i w:val="0"/>
          <w:sz w:val="22"/>
        </w:rPr>
        <w:t xml:space="preserve"> = </w:t>
      </w:r>
      <w:r>
        <w:rPr>
          <w:rFonts w:ascii="Times New Roman" w:hAnsi="Times New Roman" w:eastAsia="Times New Roman"/>
          <w:b w:val="0"/>
          <w:i/>
          <w:sz w:val="22"/>
        </w:rPr>
        <w:t>Gr</w:t>
      </w:r>
      <w:r>
        <w:rPr>
          <w:rFonts w:ascii="Times New Roman" w:hAnsi="Times New Roman" w:eastAsia="Times New Roman"/>
          <w:b w:val="0"/>
          <w:i w:val="0"/>
          <w:sz w:val="22"/>
        </w:rPr>
        <w:t>/</w:t>
      </w:r>
      <w:r>
        <w:rPr>
          <w:rFonts w:ascii="Times New Roman" w:hAnsi="Times New Roman" w:eastAsia="Times New Roman"/>
          <w:b w:val="0"/>
          <w:i/>
          <w:sz w:val="22"/>
        </w:rPr>
        <w:t>Re</w:t>
      </w:r>
      <w:r>
        <w:rPr>
          <w:rFonts w:ascii="Times New Roman" w:hAnsi="Times New Roman" w:eastAsia="Times New Roman"/>
          <w:b w:val="0"/>
          <w:i w:val="0"/>
          <w:sz w:val="22"/>
        </w:rPr>
        <w:t xml:space="preserve">²) ölçülür. Yüksek fan devirlerinde </w:t>
      </w:r>
      <w:r>
        <w:rPr>
          <w:rFonts w:ascii="Times New Roman" w:hAnsi="Times New Roman" w:eastAsia="Times New Roman"/>
          <w:b w:val="0"/>
          <w:i/>
          <w:sz w:val="22"/>
        </w:rPr>
        <w:t>Ri</w:t>
      </w:r>
      <w:r>
        <w:rPr>
          <w:rFonts w:ascii="Times New Roman" w:hAnsi="Times New Roman" w:eastAsia="Times New Roman"/>
          <w:b w:val="0"/>
          <w:i w:val="0"/>
          <w:sz w:val="22"/>
        </w:rPr>
        <w:t xml:space="preserve"> ≪ 1 olur ve zorlanmış konveksiyon baskındır. Düşük fan hızlarında ya da fanın ulaşamadığı ölü hacimlerde </w:t>
      </w:r>
      <w:r>
        <w:rPr>
          <w:rFonts w:ascii="Times New Roman" w:hAnsi="Times New Roman" w:eastAsia="Times New Roman"/>
          <w:b w:val="0"/>
          <w:i/>
          <w:sz w:val="22"/>
        </w:rPr>
        <w:t>Ri</w:t>
      </w:r>
      <w:r>
        <w:rPr>
          <w:rFonts w:ascii="Times New Roman" w:hAnsi="Times New Roman" w:eastAsia="Times New Roman"/>
          <w:b w:val="0"/>
          <w:i w:val="0"/>
          <w:sz w:val="22"/>
        </w:rPr>
        <w:t xml:space="preserve"> yükselir ve kaldırma kuvvetleri yerel akışı şekillendirmeye başlar [22], [26]. Mistry ve ark. [26] bir gaz fırınında kaldırma kuvvetinin akış alanını fiilen yönlendirdiğini göstermiş, modellemede kaldırma etkilerinin doğru temsil edilmesinin sonuçlar üzerindeki ağırlığına dikkat çekmiştir.</w:t>
      </w:r>
    </w:p>
    <w:p>
      <w:pPr>
        <w:spacing w:after="120" w:before="0" w:line="276" w:lineRule="auto"/>
        <w:jc w:val="both"/>
      </w:pPr>
      <w:r>
        <w:rPr>
          <w:rFonts w:ascii="Times New Roman" w:hAnsi="Times New Roman" w:eastAsia="Times New Roman"/>
          <w:b w:val="0"/>
          <w:i w:val="0"/>
          <w:sz w:val="22"/>
        </w:rPr>
        <w:t>Isı transferi kavite içinde her yerde aynı yoğunlukta gerçekleşmez; en yoğun olduğu yerler katı yüzeylere komşu sınır tabakalardır. Tepsilerin alt ve üst yüzeylerinde, gıda yüzeyinde ve fırın iç cidarlarında hidrodinamik ve termal sınır tabakalar birlikte gelişir. Bu tabakaların kalınlığı ve yapısı Prandtl sayısına ve yerel Reynolds sayısına bağlıdır; yüzeyden gerçekleşen ısı akısını da bu yapı kontrol eder [21], [22]. Verboven ve ark. [21] simülasyonlarında tepsi yüzeyine paralel akan havanın ince bir termal sınır tabaka oluşturduğunu, ısı transferi hızının da bu tabaka içindeki gradyana bağlı olduğunu ortaya koymuştur. Boulet ve ark. [34] pilot ölçekli bir fırında ısı akısı ölçüm cihazını doğrudan modellenen geometriye dâhil ederek, sınır tabaka çözünürlüğünün yerel ısı akısı tahminine etkisini göstermiştir.</w:t>
      </w:r>
    </w:p>
    <w:p>
      <w:pPr>
        <w:spacing w:after="120" w:before="0" w:line="276" w:lineRule="auto"/>
        <w:jc w:val="both"/>
      </w:pPr>
      <w:r>
        <w:rPr>
          <w:rFonts w:ascii="Times New Roman" w:hAnsi="Times New Roman" w:eastAsia="Times New Roman"/>
          <w:b w:val="0"/>
          <w:i w:val="0"/>
          <w:sz w:val="22"/>
        </w:rPr>
        <w:t>Tepsilerin kavitedeki yeri de sınır tabaka gelişimini etkiler. Üst raftaki tepsiyle tavan arasındaki dar boşluk bir kanal akışı gibi davranır: hız profili düzleşir ve konvektif katsayı artar. Alt raftaki tepsi ile taban rezistansı arasındaki boşluk yetersiz kaldığında ise karşı yüzeylerdeki sınır tabakalar birbirine yaklaşır ve ısı transferi verimi düşer. Pala ve ark. [10] çok raflı endüstriyel bir fırında farklı raflardaki tepsiler arasında, kaynakta bağıl sıcaklık sapması olarak bildirilen %12,76 düzeyinde bir fark ölçmüş; bunun büyük ölçüde konuma göre değişen hava hızı asimetrisinden ve sınır tabaka etkileşimlerinden kaynaklandığını belirlemiştir. Therdthai ve ark. [35] ile Wong ve ark. [36], sürekli tünel fırınlarında ürünün kavite içindeki hareketiyle birlikte maruz kaldığı akış alanının değiştiğini göstererek, sınır tabaka koşullarının yalnızca konuma değil zamana da bağlı olabileceğini ortaya koymuştur.</w:t>
      </w:r>
    </w:p>
    <w:p>
      <w:pPr>
        <w:spacing w:after="120" w:before="0" w:line="276" w:lineRule="auto"/>
        <w:jc w:val="both"/>
      </w:pPr>
      <w:r>
        <w:rPr>
          <w:rFonts w:ascii="Times New Roman" w:hAnsi="Times New Roman" w:eastAsia="Times New Roman"/>
          <w:b w:val="0"/>
          <w:i w:val="0"/>
          <w:sz w:val="22"/>
        </w:rPr>
        <w:t>Kavite geometrisinin karmaşıklığı çeşitli akış anomalilerine zemin hazırlar. FKS deliklerinden giren jetler ilerlerken tepsi kenarlarına, yan duvarlara ve rezistanslara çarparak ani yön değişikliklerine uğrar. Bu keskin geometrik geçişlerde akışkan yüzey eğriselliğini izleyemez ve duvardan kopar; yani akış ayrılması meydana gelir. Ayrılma noktasının gerisinde düşük basınçlı bir bölge oluşur ve akışkan ana akış yönünün tersine dönerek geri sirkülasyon bölgeleri yaratır [18], [19]. Kişin ve ark. [18] kavite içindeki momentum transferini sayısal olarak inceleyerek, FKS'nin hemen arkasında ve tepsi kenarlarında hava hızının kavite ortalamasının epeyce altına düştüğü geri sirkülasyon yapıları tespit etmiştir.</w:t>
      </w:r>
    </w:p>
    <w:p>
      <w:pPr>
        <w:spacing w:after="120" w:before="0" w:line="276" w:lineRule="auto"/>
        <w:jc w:val="both"/>
      </w:pPr>
      <w:r>
        <w:rPr>
          <w:rFonts w:ascii="Times New Roman" w:hAnsi="Times New Roman" w:eastAsia="Times New Roman"/>
          <w:b w:val="0"/>
          <w:i w:val="0"/>
          <w:sz w:val="22"/>
        </w:rPr>
        <w:t>Fanın oluşturduğu jetlerin ulaşamadığı kavite köşeleri ile tepsilerin altında ya da üstünde kalan dar boşluklar "ölü hacim" olarak adlandırılır. Buralarda hava hızı ihmal edilebilir düzeye iner, konvektif katsayı düşer ve ısı transferi ağırlıklı olarak doğal konveksiyon ile ışınıma kalır [8], [19]. Fahey ve ark. [19] ev tipi bir fırın üzerinde yaptıkları HAD modellemesinde kavite köşelerinde geniş durağan bölgeler tespit etmiştir.</w:t>
      </w:r>
    </w:p>
    <w:p>
      <w:pPr>
        <w:spacing w:after="120" w:before="0" w:line="276" w:lineRule="auto"/>
        <w:jc w:val="both"/>
      </w:pPr>
      <w:r>
        <w:rPr>
          <w:rFonts w:ascii="Times New Roman" w:hAnsi="Times New Roman" w:eastAsia="Times New Roman"/>
          <w:b w:val="0"/>
          <w:i w:val="0"/>
          <w:sz w:val="22"/>
        </w:rPr>
        <w:t>Akış ayrılması, geri sirkülasyon ve ölü hacimler kavitedeki sıcaklık dağılımına düpedüz yansır. Jetlerin yoğun çarptığı yerlerde konvektif katsayı yüksektir, bu alanlar hızla ısınır ve sıcak noktalar oluşur. Akışın zayıf kaldığı ya da durağanlaştığı bölgelerde katsayı düşer ve kavite ortalamasının altında soğuk noktalar ortaya çıkar [8], [9], [13]. Yang ve ark. [8] 13 ölçüm noktası arasında 10 °C'yi aşan farkların bu akış anomalileriyle bağlantılı olduğunu hem deneysel hem sayısal yöntemlerle göstermiştir. Timur ve ark. [9] ticari pişirme fırınlarında fan parametrelerinin değiştirilmesinin sıcak ve soğuk nokta dağılımını nasıl yeniden biçimlendirdiğini gözlemlemiştir.</w:t>
      </w:r>
    </w:p>
    <w:p>
      <w:pPr>
        <w:spacing w:after="120" w:before="0" w:line="276" w:lineRule="auto"/>
        <w:jc w:val="both"/>
      </w:pPr>
      <w:r>
        <w:rPr>
          <w:rFonts w:ascii="Times New Roman" w:hAnsi="Times New Roman" w:eastAsia="Times New Roman"/>
          <w:b w:val="0"/>
          <w:i w:val="0"/>
          <w:sz w:val="22"/>
        </w:rPr>
        <w:t>Sıcaklık dengesizlikleri pratikte gıda yüzeyindeki pişirme ve kızarma homojenliğine yansır: sıcak noktalara yakın yüzeyler aşırı kızarırken soğuk bölgeler çiğ kalabilir. Purlis [38], esmerleşmenin sıcaklık ve nem geçmişine bağlı bir kinetik süreç olduğunu, dolayısıyla yüzeyin gördüğü ısı akısı geçmişinin anlık kavite sıcaklığından daha belirleyici olduğunu ortaya koymuştur. Park ve Lee [17] bunu nicelleştirmek için esmerleşme homojenliği indeksini (uniformity of browning index, UBI) kullanmış ve kavite akış alanının düzenlenmesiyle UBI değerinin iyileştirilebildiğini göstermiştir. Bilen ve ark. [16] FKS tasarımını değiştirerek hava jetlerinin dağılımını dengelemiş ve bunun pişirme performansını olumlu etkilediğini raporlamıştır. Fırınlarda sıcaklık homojenliği, bu çalışmaların toplamına bakıldığında, bir ısıl problemden çok bir akış tasarımı problemidir. HAD tabanlı optimizasyon çalışmalarının çıkış noktası da budur.</w:t>
      </w:r>
    </w:p>
    <w:p>
      <w:pPr>
        <w:pStyle w:val="Heading1"/>
        <w:spacing w:before="280" w:after="120"/>
      </w:pPr>
      <w:r>
        <w:rPr>
          <w:rFonts w:ascii="Times New Roman" w:hAnsi="Times New Roman" w:eastAsia="Times New Roman"/>
          <w:b/>
          <w:color w:val="1A1A1A"/>
          <w:sz w:val="28"/>
        </w:rPr>
        <w:t>4. HAD MODELLEME YAKLAŞIMLARI</w:t>
      </w:r>
    </w:p>
    <w:p>
      <w:pPr>
        <w:spacing w:after="120" w:before="0" w:line="276" w:lineRule="auto"/>
        <w:jc w:val="both"/>
      </w:pPr>
      <w:r>
        <w:rPr>
          <w:rFonts w:ascii="Times New Roman" w:hAnsi="Times New Roman" w:eastAsia="Times New Roman"/>
          <w:b w:val="0"/>
          <w:i w:val="0"/>
          <w:sz w:val="22"/>
        </w:rPr>
        <w:t>Sayısal simülasyonda fiziksel doğruluk büyük ölçüde modelleme tercihlerine bağlıdır. Türbülans modeli, ışınım hesaplama yöntemi ve fanın sayısal temsili aynı geometri üzerinde bile farklı sonuçlar üretebilir. Yazılım platformu ve ağ yapısı da bu denkleme dâhildir.</w:t>
      </w:r>
    </w:p>
    <w:p>
      <w:pPr>
        <w:pStyle w:val="Heading2"/>
        <w:spacing w:before="200" w:after="120"/>
      </w:pPr>
      <w:r>
        <w:rPr>
          <w:rFonts w:ascii="Times New Roman" w:hAnsi="Times New Roman" w:eastAsia="Times New Roman"/>
          <w:b/>
          <w:color w:val="1A1A1A"/>
          <w:sz w:val="24"/>
        </w:rPr>
        <w:t>4.1. Türbülans modelleri</w:t>
      </w:r>
    </w:p>
    <w:p>
      <w:pPr>
        <w:spacing w:after="120" w:before="0" w:line="276" w:lineRule="auto"/>
        <w:jc w:val="both"/>
      </w:pPr>
      <w:r>
        <w:rPr>
          <w:rFonts w:ascii="Times New Roman" w:hAnsi="Times New Roman" w:eastAsia="Times New Roman"/>
          <w:b w:val="0"/>
          <w:i w:val="0"/>
          <w:sz w:val="22"/>
        </w:rPr>
        <w:t>Verboven ve ark. [21], [22] ilk kapsamlı HAD çalışmasını Launder ve Spalding'in standart k-ε modeliyle [23] gerçekleştirdi. O dönem endüstriyel uygulamalarda en yaygın RANS kapanışı buydu. Çalışmada standart k-ε ile RNG varyantı karşılaştırıldı ve iki modelin birbirine yakın sonuçlar verdiği raporlandı; deneysel doğrulama, modelin kavite içi hız ve sıcaklık alanlarını kabul edilebilir doğrulukta tahmin edebildiğini gösterdi. Standart k-ε duvar yakınında logaritmik duvar fonksiyonlarına dayanır ve ayrılmış akışlar ile güçlü basınç gradyanları altında yetersiz kalır. Kavitede akış ayrılması ve geri sirkülasyon bölgelerinin ne kadar yaygın olduğu düşünülürse bu zayıflık göz ardı edilemez.</w:t>
      </w:r>
    </w:p>
    <w:p>
      <w:pPr>
        <w:spacing w:after="120" w:before="0" w:line="276" w:lineRule="auto"/>
        <w:jc w:val="both"/>
      </w:pPr>
      <w:r>
        <w:rPr>
          <w:rFonts w:ascii="Times New Roman" w:hAnsi="Times New Roman" w:eastAsia="Times New Roman"/>
          <w:b w:val="0"/>
          <w:i w:val="0"/>
          <w:sz w:val="22"/>
        </w:rPr>
        <w:t>Yang ve ark. [8] Realizable k-ε modeliyle çalıştı. Shih ve ark. [24] tarafından geliştirilen bu varyant, standart formülasyonun matematiksel tutarsızlıklarını (gerilme tensörünün fiziksel gerçeklenebilirliği) giderir ve dönel akışları daha iyi yakalar. Fan çıkışındaki akış güçlü bir dönme bileşeni taşıdığı için tercih fiziksel olarak anlamlıdır. Boulet ve ark. [34] da pilot ölçekli fırın modellemesinde aynı varyantı benimsedi. Fahey ve ark. [19] ANSYS CFX ile iki boyutlu ve kararlı rejim bir model kurmuş; sıcak-tel anemometre ile termokupl ölçümlerine karşı %3'ün altında sapma elde etmiştir. İki boyutlu indirgeme hesaplama maliyetini düşürür, ancak fan çıkışındaki üç boyutlu dönme bileşenini yapısal olarak dışarıda bırakır; bu da kavite köşelerindeki durağan bölgelerin öngörüsünü etkiler. Park ve Lee [17] ekmek pişirme sürecini standart k-ε yaklaşımıyla modellemiş ve rezistansın aç/kapa denetim algoritmasını modele dâhil ederek deneysel uyumu belirgin biçimde iyileştirmiştir.</w:t>
      </w:r>
    </w:p>
    <w:p>
      <w:pPr>
        <w:spacing w:after="120" w:before="0" w:line="276" w:lineRule="auto"/>
        <w:jc w:val="both"/>
      </w:pPr>
      <w:r>
        <w:rPr>
          <w:rFonts w:ascii="Times New Roman" w:hAnsi="Times New Roman" w:eastAsia="Times New Roman"/>
          <w:b w:val="0"/>
          <w:i w:val="0"/>
          <w:sz w:val="22"/>
        </w:rPr>
        <w:t>Önal ve ark. [13] duvar yakını sınırlamasını aşmak için Menter'in k-ω SST modelini [25] seçti. k-ω SST, duvar yakınında k-ω formülasyonunun avantajlarını kullanırken serbest akışta k-ε davranışına geçen hibrit bir modeldir ve ters basınç gradyanı altındaki ayrılmayı k-ε ailesine göre daha iyi öngörür. Deneysel karşılaştırmada model kavite içi sıcaklık dağılımını yüksek doğrulukla yakaladı. Rek ve ark. [15] de yeni nesil bir ısıtma fırınının geliştirilmesinde benzer bir yaklaşımla çalışarak deneysel verilerle uyumlu sonuçlar elde etti.</w:t>
      </w:r>
    </w:p>
    <w:p>
      <w:pPr>
        <w:spacing w:after="120" w:before="0" w:line="276" w:lineRule="auto"/>
        <w:jc w:val="both"/>
      </w:pPr>
      <w:r>
        <w:rPr>
          <w:rFonts w:ascii="Times New Roman" w:hAnsi="Times New Roman" w:eastAsia="Times New Roman"/>
          <w:b w:val="0"/>
          <w:i w:val="0"/>
          <w:sz w:val="22"/>
        </w:rPr>
        <w:t>Bu çeşitlilik, fırın simülasyonları için tek bir "en iyi" türbülans modelinin bulunmadığını gösterir. Model seçimi çözülmek istenen soruya bağlıdır. Kavite ortalaması sıcaklık ve genel sirkülasyon deseni hedefleniyorsa k-ε ailesi yeterli doğruluk sunar. Buna karşılık FKS deliklerinden çıkan jetlerin ayrılma davranışı, tepsi kenarlarındaki geri sirkülasyon yapıları veya yerel ısı akısı dağılımı hedefleniyorsa k-ω SST tercih edilmelidir. Son dönem çalışmaların k-ω SST'ye yönelmesi [13], [15] bu ikinci sınıf soruların ağırlık kazanmasıyla açıklanabilir.</w:t>
      </w:r>
    </w:p>
    <w:p>
      <w:pPr>
        <w:spacing w:after="120" w:before="0" w:line="276" w:lineRule="auto"/>
        <w:jc w:val="both"/>
      </w:pPr>
      <w:r>
        <w:rPr>
          <w:rFonts w:ascii="Times New Roman" w:hAnsi="Times New Roman" w:eastAsia="Times New Roman"/>
          <w:b w:val="0"/>
          <w:i w:val="0"/>
          <w:sz w:val="22"/>
        </w:rPr>
        <w:t>Bu bölümde ele alınan modeller, duvar yakını yaklaşımları ve seçim ölçütleri Tablo 2'de karşılaştırılmıştır.</w:t>
      </w:r>
    </w:p>
    <w:p>
      <w:pPr>
        <w:spacing w:after="60" w:before="160" w:line="276" w:lineRule="auto"/>
      </w:pPr>
      <w:r>
        <w:rPr>
          <w:rFonts w:ascii="Times New Roman" w:hAnsi="Times New Roman" w:eastAsia="Times New Roman"/>
          <w:b/>
          <w:i w:val="0"/>
          <w:sz w:val="18"/>
        </w:rPr>
        <w:t>Tablo 2. Fırın simülasyonlarında kullanılan türbülans modellerinin karşılaştırması.</w:t>
      </w:r>
    </w:p>
    <w:tbl>
      <w:tblPr>
        <w:tblW w:type="auto" w:w="0"/>
        <w:jc w:val="center"/>
        <w:tblLayout w:type="fixed"/>
        <w:tblLook w:firstColumn="1" w:firstRow="1" w:lastColumn="0" w:lastRow="0" w:noHBand="0" w:noVBand="1" w:val="04A0"/>
      </w:tblPr>
      <w:tblGrid>
        <w:gridCol w:w="1304"/>
        <w:gridCol w:w="1474"/>
        <w:gridCol w:w="1247"/>
        <w:gridCol w:w="1871"/>
        <w:gridCol w:w="1757"/>
        <w:gridCol w:w="1417"/>
      </w:tblGrid>
      <w:tr>
        <w:tc>
          <w:tcPr>
            <w:tcW w:type="dxa" w:w="130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Model</w:t>
            </w:r>
          </w:p>
        </w:tc>
        <w:tc>
          <w:tcPr>
            <w:tcW w:type="dxa" w:w="147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Duvar yakını yaklaşımı</w:t>
            </w:r>
          </w:p>
        </w:tc>
        <w:tc>
          <w:tcPr>
            <w:tcW w:type="dxa" w:w="124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 xml:space="preserve">Hedeflenen </w:t>
            </w:r>
            <w:r>
              <w:rPr>
                <w:rFonts w:ascii="Times New Roman" w:hAnsi="Times New Roman" w:eastAsia="Times New Roman"/>
                <w:b/>
                <w:i/>
                <w:sz w:val="17"/>
              </w:rPr>
              <w:t>y</w:t>
            </w:r>
            <w:r>
              <w:rPr>
                <w:rFonts w:ascii="Times New Roman" w:hAnsi="Times New Roman" w:eastAsia="Times New Roman"/>
                <w:b/>
                <w:i w:val="0"/>
                <w:sz w:val="17"/>
              </w:rPr>
              <w:t>⁺</w:t>
            </w:r>
          </w:p>
        </w:tc>
        <w:tc>
          <w:tcPr>
            <w:tcW w:type="dxa" w:w="187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Güçlü olduğu durum</w:t>
            </w:r>
          </w:p>
        </w:tc>
        <w:tc>
          <w:tcPr>
            <w:tcW w:type="dxa" w:w="175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Sınırlılığı</w:t>
            </w:r>
          </w:p>
        </w:tc>
        <w:tc>
          <w:tcPr>
            <w:tcW w:type="dxa" w:w="141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Bu derlemede kullanan</w:t>
            </w:r>
          </w:p>
        </w:tc>
      </w:tr>
      <w:tr>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Standart k-ε [23]</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Logaritmik duvar fonksiyonu</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30-300</w:t>
            </w:r>
          </w:p>
        </w:tc>
        <w:tc>
          <w:tcPr>
            <w:tcW w:type="dxa" w:w="187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Yüksek Reynolds sayılı, ekli akış; düşük maliyet</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Ayrılmış akış ve güçlü basınç gradyanında zayıf</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[21], [22], [17]</w:t>
            </w:r>
          </w:p>
        </w:tc>
      </w:tr>
      <w:tr>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RNG k-ε</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Duvar fonksiyonu</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30-300</w:t>
            </w:r>
          </w:p>
        </w:tc>
        <w:tc>
          <w:tcPr>
            <w:tcW w:type="dxa" w:w="187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Düşük Reynolds sayılı bölgelerde standart varyanta göre iyileşme</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k-ε ailesinin ayrılma zayıflığı sürer</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[21]</w:t>
            </w:r>
          </w:p>
        </w:tc>
      </w:tr>
      <w:tr>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Realizable k-ε [24]</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Duvar fonksiyonu</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30-300</w:t>
            </w:r>
          </w:p>
        </w:tc>
        <w:tc>
          <w:tcPr>
            <w:tcW w:type="dxa" w:w="187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Dönel akış; gerilme tensörünün fiziksel gerçeklenebilirliği</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Duvar yakını hâlâ modellenir, çözülmez</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[8], [34]</w:t>
            </w:r>
          </w:p>
        </w:tc>
      </w:tr>
      <w:tr>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k-ω SST [25]</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Duvara kadar çözüm</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 1</w:t>
            </w:r>
          </w:p>
        </w:tc>
        <w:tc>
          <w:tcPr>
            <w:tcW w:type="dxa" w:w="187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Ters basınç gradyanı, ayrılma, yerel ısı akısı</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Eleman sayısı ve hesaplama maliyeti yüksek</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[13]</w:t>
            </w:r>
          </w:p>
        </w:tc>
      </w:tr>
      <w:tr>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Varyantı bildirilmemiş k-ε</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Duvar fonksiyonu</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87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Yeniden üretilebilirliği kısıtlar</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[16]</w:t>
            </w:r>
          </w:p>
        </w:tc>
      </w:tr>
    </w:tbl>
    <w:p>
      <w:pPr>
        <w:spacing w:after="160" w:before="0" w:line="276" w:lineRule="auto"/>
      </w:pPr>
    </w:p>
    <w:p>
      <w:pPr>
        <w:spacing w:after="200" w:before="0" w:line="276" w:lineRule="auto"/>
      </w:pPr>
      <w:r>
        <w:rPr>
          <w:rFonts w:ascii="Times New Roman" w:hAnsi="Times New Roman" w:eastAsia="Times New Roman"/>
          <w:b w:val="0"/>
          <w:i/>
          <w:sz w:val="18"/>
        </w:rPr>
        <w:t>Not: Modelin adı verilmeden yalnızca "RANS" nitelemesiyle geçen çalışmalar tabloya alınmamıştır; bu grubun büyüklüğü için bkz. Şekil 4.</w:t>
      </w:r>
    </w:p>
    <w:p>
      <w:pPr>
        <w:pStyle w:val="Heading2"/>
        <w:spacing w:before="200" w:after="120"/>
      </w:pPr>
      <w:r>
        <w:rPr>
          <w:rFonts w:ascii="Times New Roman" w:hAnsi="Times New Roman" w:eastAsia="Times New Roman"/>
          <w:b/>
          <w:color w:val="1A1A1A"/>
          <w:sz w:val="24"/>
        </w:rPr>
        <w:t>4.2. Işınım modelleri</w:t>
      </w:r>
    </w:p>
    <w:p>
      <w:pPr>
        <w:spacing w:after="120" w:before="0" w:line="276" w:lineRule="auto"/>
        <w:jc w:val="both"/>
      </w:pPr>
      <w:r>
        <w:rPr>
          <w:rFonts w:ascii="Times New Roman" w:hAnsi="Times New Roman" w:eastAsia="Times New Roman"/>
          <w:b w:val="0"/>
          <w:i w:val="0"/>
          <w:sz w:val="22"/>
        </w:rPr>
        <w:t>Işınımın modellenmesi, özellikle 200 °C üzeri çalışma sıcaklıklarında simülasyon doğruluğunu etkiler.</w:t>
      </w:r>
    </w:p>
    <w:p>
      <w:pPr>
        <w:spacing w:after="120" w:before="0" w:line="276" w:lineRule="auto"/>
        <w:jc w:val="both"/>
      </w:pPr>
      <w:r>
        <w:rPr>
          <w:rFonts w:ascii="Times New Roman" w:hAnsi="Times New Roman" w:eastAsia="Times New Roman"/>
          <w:b w:val="0"/>
          <w:i w:val="0"/>
          <w:sz w:val="22"/>
        </w:rPr>
        <w:t>Verboven ve ark. [21], [22] öncü çalışmalarında ışınımı ihmal etti. 2000 yılında hesaplama maliyetini düşürmek adına anlaşılabilir bir basitleştirmeydi. Hassan ve ark. [11] ışınımın zorlanmış konveksiyon modunda bile toplam ısı transferinde azımsanmayacak bir paya sahip olduğunu, Jovicic ve ark. [28] ise mekanizmaların paylarını ayrıştırarak ışınımın ağırlığını nicel olarak gösterince bu basitleştirmenin sınırları netleşti.</w:t>
      </w:r>
    </w:p>
    <w:p>
      <w:pPr>
        <w:spacing w:after="120" w:before="0" w:line="276" w:lineRule="auto"/>
        <w:jc w:val="both"/>
      </w:pPr>
      <w:r>
        <w:rPr>
          <w:rFonts w:ascii="Times New Roman" w:hAnsi="Times New Roman" w:eastAsia="Times New Roman"/>
          <w:b w:val="0"/>
          <w:i w:val="0"/>
          <w:sz w:val="22"/>
        </w:rPr>
        <w:t>Rek ve ark. [15] Ayrık Ordinatlar (Discrete Ordinates, DO) modelini benimsedi. DO, ışınım transfer denklemini ayrık açısal koordinatlarda çözer; yarı saydam ve ışınıma katılan ortamlar ile karmaşık geometriler için uygunluğu bu modeli fırın uygulamalarında cazip kılar. Hesaplama maliyeti açısal çözünürlükle artar ama fırın kavitesi boyutlarında kabul edilebilir düzeyde kalır.</w:t>
      </w:r>
    </w:p>
    <w:p>
      <w:pPr>
        <w:spacing w:after="120" w:before="0" w:line="276" w:lineRule="auto"/>
        <w:jc w:val="both"/>
      </w:pPr>
      <w:r>
        <w:rPr>
          <w:rFonts w:ascii="Times New Roman" w:hAnsi="Times New Roman" w:eastAsia="Times New Roman"/>
          <w:b w:val="0"/>
          <w:i w:val="0"/>
          <w:sz w:val="22"/>
        </w:rPr>
        <w:t>Mistry ve ark. [26] bir ev tipi gaz fırınında DTRM, S2S ve DO modellerini karşılaştırdı ve DO modelini benimsedi. Gerekçe fiziksel olarak nettir: gaz fırınında yanma ürünleri (CO₂, H₂O) ışınıma katılan bir ortam oluşturur ve yüzeyler arası alışverişle sınırlı bir formülasyon bu katkıyı yakalayamaz. Aynı sonucu Hincapié ve García [12] bir başka gaz fırınında ön karışımlı alev modellemesiyle destekledi.</w:t>
      </w:r>
    </w:p>
    <w:p>
      <w:pPr>
        <w:spacing w:after="120" w:before="0" w:line="276" w:lineRule="auto"/>
        <w:jc w:val="both"/>
      </w:pPr>
      <w:r>
        <w:rPr>
          <w:rFonts w:ascii="Times New Roman" w:hAnsi="Times New Roman" w:eastAsia="Times New Roman"/>
          <w:b w:val="0"/>
          <w:i w:val="0"/>
          <w:sz w:val="22"/>
        </w:rPr>
        <w:t>Elektrikli fırınlarda ise kavite havası ışınıma büyük ölçüde şeffaftır ve yüzeyler arası (Surface-to-Surface, S2S) yaklaşım yeterlidir. S2S, yüzeylerin birbirini ne kadar "gördüğünü" ifade eden geometrik görüş faktörlerini hesaplar ve ortamın ışınıma katılmadığı varsayımına dayanır. Reddy ve ark. [27] bu çerçevede görüş faktörlerini analitik ve sonlu elemanlar yöntemleriyle hesaplayarak, engelli bir kavitede S2S tabanlı ışınım analizinin nasıl kurulacağını gösterdi. Boulet ve ark. [34] ise pilot ölçekli elektrikli fırın modellemesinde S2S kullandı ve kaldırma kuvvetlerini zayıf sıkıştırılabilir formülasyonla dâhil etti.</w:t>
      </w:r>
    </w:p>
    <w:p>
      <w:pPr>
        <w:spacing w:after="120" w:before="0" w:line="276" w:lineRule="auto"/>
        <w:jc w:val="both"/>
      </w:pPr>
      <w:r>
        <w:rPr>
          <w:rFonts w:ascii="Times New Roman" w:hAnsi="Times New Roman" w:eastAsia="Times New Roman"/>
          <w:b w:val="0"/>
          <w:i w:val="0"/>
          <w:sz w:val="22"/>
        </w:rPr>
        <w:t>Kısacası elektrikli fırınlarda S2S yeterlidir, gazlı fırınlarda DO gerekir ve her iki durumda da ışınımı tamamen ihmal etmek ciddi bir hata kaynağıdır [11], [26], [28].</w:t>
      </w:r>
    </w:p>
    <w:p>
      <w:pPr>
        <w:spacing w:after="120" w:before="0" w:line="276" w:lineRule="auto"/>
        <w:jc w:val="both"/>
      </w:pPr>
      <w:r>
        <w:rPr>
          <w:rFonts w:ascii="Times New Roman" w:hAnsi="Times New Roman" w:eastAsia="Times New Roman"/>
          <w:b w:val="0"/>
          <w:i w:val="0"/>
          <w:sz w:val="22"/>
        </w:rPr>
        <w:t>Işınım modeli seçiminin fiziksel gerekçeleri ve fırın literatüründeki karşılıkları Tablo 3'te özetlenmiştir.</w:t>
      </w:r>
    </w:p>
    <w:p>
      <w:pPr>
        <w:spacing w:after="60" w:before="160" w:line="276" w:lineRule="auto"/>
      </w:pPr>
      <w:r>
        <w:rPr>
          <w:rFonts w:ascii="Times New Roman" w:hAnsi="Times New Roman" w:eastAsia="Times New Roman"/>
          <w:b/>
          <w:i w:val="0"/>
          <w:sz w:val="18"/>
        </w:rPr>
        <w:t>Tablo 3. Işınım modeli seçimi: fiziksel varsayım, uygunluk ve fırın literatüründeki kullanım.</w:t>
      </w:r>
    </w:p>
    <w:tbl>
      <w:tblPr>
        <w:tblW w:type="auto" w:w="0"/>
        <w:jc w:val="center"/>
        <w:tblLayout w:type="fixed"/>
        <w:tblLook w:firstColumn="1" w:firstRow="1" w:lastColumn="0" w:lastRow="0" w:noHBand="0" w:noVBand="1" w:val="04A0"/>
      </w:tblPr>
      <w:tblGrid>
        <w:gridCol w:w="1474"/>
        <w:gridCol w:w="1757"/>
        <w:gridCol w:w="1757"/>
        <w:gridCol w:w="2268"/>
        <w:gridCol w:w="1814"/>
      </w:tblGrid>
      <w:tr>
        <w:tc>
          <w:tcPr>
            <w:tcW w:type="dxa" w:w="147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Model</w:t>
            </w:r>
          </w:p>
        </w:tc>
        <w:tc>
          <w:tcPr>
            <w:tcW w:type="dxa" w:w="175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Ortama ilişkin varsayım</w:t>
            </w:r>
          </w:p>
        </w:tc>
        <w:tc>
          <w:tcPr>
            <w:tcW w:type="dxa" w:w="175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Ne zaman gerekli</w:t>
            </w:r>
          </w:p>
        </w:tc>
        <w:tc>
          <w:tcPr>
            <w:tcW w:type="dxa" w:w="2268"/>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Ne zaman aşırı veya eksik</w:t>
            </w:r>
          </w:p>
        </w:tc>
        <w:tc>
          <w:tcPr>
            <w:tcW w:type="dxa" w:w="181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Bu derlemede kullanan</w:t>
            </w:r>
          </w:p>
        </w:tc>
      </w:tr>
      <w:tr>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S2S (yüzeyden yüzeye)</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Ortam ışınıma katılmaz</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Elektrikli fırınlarda yeterli</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Gazlı fırında yanma ürünlerinin katkısını yakalayamaz</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[34], [27], [44]</w:t>
            </w:r>
          </w:p>
        </w:tc>
      </w:tr>
      <w:tr>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DO (Ayrık Ordinatlar)</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Ortam ışınıma katılabilir</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Gazlı fırınlarda gerekli</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Elektrikli fırında da geçerlidir, açısal çözünürlükle maliyet artar</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[26] (gazlı), [15] (elektrikli)</w:t>
            </w:r>
          </w:p>
        </w:tc>
      </w:tr>
      <w:tr>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DTRM</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Işın izleme, saçılma yok</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Yalnızca karşılaştırma amacıyla denenmiştir</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[26]</w:t>
            </w:r>
          </w:p>
        </w:tc>
      </w:tr>
      <w:tr>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Işınımın ihmali</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Işınım yok</w:t>
            </w:r>
          </w:p>
        </w:tc>
        <w:tc>
          <w:tcPr>
            <w:tcW w:type="dxa" w:w="175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Hiçbir zaman (200 °C üzeri çalışma)</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Erken dönem hesaplama kısıtının basitleştirmesi</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[21], [22]</w:t>
            </w:r>
          </w:p>
        </w:tc>
      </w:tr>
    </w:tbl>
    <w:p>
      <w:pPr>
        <w:spacing w:after="160" w:before="0" w:line="276" w:lineRule="auto"/>
      </w:pPr>
    </w:p>
    <w:p>
      <w:pPr>
        <w:spacing w:after="200" w:before="0" w:line="276" w:lineRule="auto"/>
      </w:pPr>
      <w:r>
        <w:rPr>
          <w:rFonts w:ascii="Times New Roman" w:hAnsi="Times New Roman" w:eastAsia="Times New Roman"/>
          <w:b w:val="0"/>
          <w:i/>
          <w:sz w:val="18"/>
        </w:rPr>
        <w:t>Not: Rek ve ark. [15] elektrikli çok fonksiyonlu bir fırında DO kullanmıştır. DO'nun gazlı fırınlarda gerekli olması, elektrikli fırınlarda kullanılamayacağı anlamına gelmez; ayrım gereklilik ile maliyet arasındadır.</w:t>
      </w:r>
    </w:p>
    <w:p>
      <w:pPr>
        <w:pStyle w:val="Heading2"/>
        <w:spacing w:before="200" w:after="120"/>
      </w:pPr>
      <w:r>
        <w:rPr>
          <w:rFonts w:ascii="Times New Roman" w:hAnsi="Times New Roman" w:eastAsia="Times New Roman"/>
          <w:b/>
          <w:color w:val="1A1A1A"/>
          <w:sz w:val="24"/>
        </w:rPr>
        <w:t>4.3. Fan modelleme teknikleri</w:t>
      </w:r>
    </w:p>
    <w:p>
      <w:pPr>
        <w:spacing w:after="120" w:before="0" w:line="276" w:lineRule="auto"/>
        <w:jc w:val="both"/>
      </w:pPr>
      <w:r>
        <w:rPr>
          <w:rFonts w:ascii="Times New Roman" w:hAnsi="Times New Roman" w:eastAsia="Times New Roman"/>
          <w:b w:val="0"/>
          <w:i w:val="0"/>
          <w:sz w:val="22"/>
        </w:rPr>
        <w:t>Fan dönel bir bileşendir, kavite ise durağandır. İkisini aynı hesaplama alanında birleştirmek özel yaklaşımlar gerektirir.</w:t>
      </w:r>
    </w:p>
    <w:p>
      <w:pPr>
        <w:spacing w:after="120" w:before="0" w:line="276" w:lineRule="auto"/>
        <w:jc w:val="both"/>
      </w:pPr>
      <w:r>
        <w:rPr>
          <w:rFonts w:ascii="Times New Roman" w:hAnsi="Times New Roman" w:eastAsia="Times New Roman"/>
          <w:b w:val="0"/>
          <w:i w:val="0"/>
          <w:sz w:val="22"/>
        </w:rPr>
        <w:t>En yaygın yöntem MRF (Moving Reference Frame) yaklaşımıdır. Fan çevresinde silindirik bir bölge tanımlanır, bu bölgedeki denklemler dönel bir referans çerçevesinde çözülür ve akış alanı zamandan bağımsız olarak hesaplanır. Rek ve ark. [15] ile Yang ve ark. [8] bu yöntemi kullandı. Hesaplama maliyeti düşüktür; buna karşılık fan-stator etkileşimini ve zamanla değişen akış yapılarını yakalayamaz.</w:t>
      </w:r>
    </w:p>
    <w:p>
      <w:pPr>
        <w:spacing w:after="120" w:before="0" w:line="276" w:lineRule="auto"/>
        <w:jc w:val="both"/>
      </w:pPr>
      <w:r>
        <w:rPr>
          <w:rFonts w:ascii="Times New Roman" w:hAnsi="Times New Roman" w:eastAsia="Times New Roman"/>
          <w:b w:val="0"/>
          <w:i w:val="0"/>
          <w:sz w:val="22"/>
        </w:rPr>
        <w:t>Kayan Ağ (Sliding Mesh) yöntemi bu sınırlamayı aşar. Fan bölgesinin ağı her zaman adımında gerçekten döner ve kavite ağıyla arayüzey üzerinden veri alışverişi yapar; fan kanatlarının periyodik geçişi sırasında oluşan basınç dalgalanmaları böylece yakalanabilir. Hesaplama maliyeti MRF'ye kıyasla çok daha yüksektir ve fırın simülasyonlarında kullanımı sınırlı kalmıştır. Çoğu araştırmacı MRF doğruluğunu yeterli bulmuştur. Bu tercih problemin zaman ölçeklerinden gelir: bir pişirme çevrimi dakikalar mertebesinde sürerken fan geçiş periyodu milisaniyeler mertebesindedir, dolayısıyla kanat geçişine bağlı dalgalanmalar sıcaklık alanı üzerinde büyük ölçüde ortalanır. Akustik veya fan çıkışındaki anlık jet yapısı ilgi konusuysa MRF yetersiz kalır.</w:t>
      </w:r>
    </w:p>
    <w:p>
      <w:pPr>
        <w:spacing w:after="120" w:before="0" w:line="276" w:lineRule="auto"/>
        <w:jc w:val="both"/>
      </w:pPr>
      <w:r>
        <w:rPr>
          <w:rFonts w:ascii="Times New Roman" w:hAnsi="Times New Roman" w:eastAsia="Times New Roman"/>
          <w:b w:val="0"/>
          <w:i w:val="0"/>
          <w:sz w:val="22"/>
        </w:rPr>
        <w:t>Üçüncü bir yaklaşım fanı momentum kaynağı olarak temsil etmektir. Kişin ve ark. [18] FloEFD'de fanı geometrik olarak modellemek yerine akışa belirli bir momentum ve enerji ekleyen bir kaynak terimi olarak tanımladı. Ağ oluşturma süreci basitleşir; buna karşılık fan çıkışındaki detaylı akış yapısı hakkında bilgi kaybedilir. Bu yaklaşım, fanın kendisi tasarım değişkeni olmadığı ve ilgi odağının kanal ile kavite geometrisi olduğu çalışmalar için makul bir ödünleşmedir.</w:t>
      </w:r>
    </w:p>
    <w:p>
      <w:pPr>
        <w:spacing w:after="120" w:before="0" w:line="276" w:lineRule="auto"/>
        <w:jc w:val="both"/>
      </w:pPr>
      <w:r>
        <w:rPr>
          <w:rFonts w:ascii="Times New Roman" w:hAnsi="Times New Roman" w:eastAsia="Times New Roman"/>
          <w:b w:val="0"/>
          <w:i w:val="0"/>
          <w:sz w:val="22"/>
        </w:rPr>
        <w:t>Dört tekniğin maliyet ve kapsam bakımından karşılaştırması Tablo 4'te verilmiştir.</w:t>
      </w:r>
    </w:p>
    <w:p>
      <w:pPr>
        <w:spacing w:after="60" w:before="160" w:line="276" w:lineRule="auto"/>
      </w:pPr>
      <w:r>
        <w:rPr>
          <w:rFonts w:ascii="Times New Roman" w:hAnsi="Times New Roman" w:eastAsia="Times New Roman"/>
          <w:b/>
          <w:i w:val="0"/>
          <w:sz w:val="18"/>
        </w:rPr>
        <w:t>Tablo 4. Fanın sayısal temsili için kullanılan tekniklerin karşılaştırması.</w:t>
      </w:r>
    </w:p>
    <w:tbl>
      <w:tblPr>
        <w:tblW w:type="auto" w:w="0"/>
        <w:jc w:val="center"/>
        <w:tblLayout w:type="fixed"/>
        <w:tblLook w:firstColumn="1" w:firstRow="1" w:lastColumn="0" w:lastRow="0" w:noHBand="0" w:noVBand="1" w:val="04A0"/>
      </w:tblPr>
      <w:tblGrid>
        <w:gridCol w:w="1701"/>
        <w:gridCol w:w="1360"/>
        <w:gridCol w:w="1927"/>
        <w:gridCol w:w="1927"/>
        <w:gridCol w:w="907"/>
        <w:gridCol w:w="1247"/>
      </w:tblGrid>
      <w:tr>
        <w:tc>
          <w:tcPr>
            <w:tcW w:type="dxa" w:w="170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Teknik</w:t>
            </w:r>
          </w:p>
        </w:tc>
        <w:tc>
          <w:tcPr>
            <w:tcW w:type="dxa" w:w="136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Çözüm rejimi</w:t>
            </w:r>
          </w:p>
        </w:tc>
        <w:tc>
          <w:tcPr>
            <w:tcW w:type="dxa" w:w="1928"/>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Yakalanan fizik</w:t>
            </w:r>
          </w:p>
        </w:tc>
        <w:tc>
          <w:tcPr>
            <w:tcW w:type="dxa" w:w="1928"/>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Yakalanamayan</w:t>
            </w:r>
          </w:p>
        </w:tc>
        <w:tc>
          <w:tcPr>
            <w:tcW w:type="dxa" w:w="90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Bağıl maliyet</w:t>
            </w:r>
          </w:p>
        </w:tc>
        <w:tc>
          <w:tcPr>
            <w:tcW w:type="dxa" w:w="124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Bu derlemede kullanan</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Fan basınç-debi karakteristiği</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Kararlı</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Toplam debi ve çıkış dönmesi (swirl)</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Kanat düzeyindeki akış yapısı</w:t>
            </w:r>
          </w:p>
        </w:tc>
        <w:tc>
          <w:tcPr>
            <w:tcW w:type="dxa" w:w="90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 düşük</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[21], [22]</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Momentum kaynağı</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Kararlı</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Akışa eklenen momentum ve enerji</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Fan çıkışındaki ayrıntılı akış yapısı</w:t>
            </w:r>
          </w:p>
        </w:tc>
        <w:tc>
          <w:tcPr>
            <w:tcW w:type="dxa" w:w="90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Düşük</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[18]</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MRF / dönel bölge</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Kararlı, dönel referans çerçevesi</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Ortalama dönel akış alanı</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Fan-stator etkileşimi, zamana bağlı yapılar</w:t>
            </w:r>
          </w:p>
        </w:tc>
        <w:tc>
          <w:tcPr>
            <w:tcW w:type="dxa" w:w="90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Orta</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[8], [15], [13]</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Kayan Ağ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Zamana bağlı</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Kanat geçişi, periyodik basınç dalgalanmaları</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(fan fiziği çözülür)</w:t>
            </w:r>
          </w:p>
        </w:tc>
        <w:tc>
          <w:tcPr>
            <w:tcW w:type="dxa" w:w="90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Yüksek</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Taranan fırın literatüründe kullanılmamış</w:t>
            </w:r>
          </w:p>
        </w:tc>
      </w:tr>
    </w:tbl>
    <w:p>
      <w:pPr>
        <w:spacing w:after="160" w:before="0" w:line="276" w:lineRule="auto"/>
      </w:pPr>
    </w:p>
    <w:p>
      <w:pPr>
        <w:spacing w:after="200" w:before="0" w:line="276" w:lineRule="auto"/>
      </w:pPr>
      <w:r>
        <w:rPr>
          <w:rFonts w:ascii="Times New Roman" w:hAnsi="Times New Roman" w:eastAsia="Times New Roman"/>
          <w:b w:val="0"/>
          <w:i/>
          <w:sz w:val="18"/>
        </w:rPr>
        <w:t>Not: Bir pişirme çevrimi dakikalar, kanat geçiş periyodu milisaniyeler mertebesindedir. Kanat geçişine bağlı dalgalanmalar sıcaklık alanı üzerinde büyük ölçüde ortalandığı için MRF çoğu fırın probleminde savunulabilir bir ödünleşmedir.</w:t>
      </w:r>
    </w:p>
    <w:p>
      <w:pPr>
        <w:pStyle w:val="Heading2"/>
        <w:spacing w:before="200" w:after="120"/>
      </w:pPr>
      <w:r>
        <w:rPr>
          <w:rFonts w:ascii="Times New Roman" w:hAnsi="Times New Roman" w:eastAsia="Times New Roman"/>
          <w:b/>
          <w:color w:val="1A1A1A"/>
          <w:sz w:val="24"/>
        </w:rPr>
        <w:t>4.4. Ağ yapısı, sayısal belirsizlik ve yazılım platformları</w:t>
      </w:r>
    </w:p>
    <w:p>
      <w:pPr>
        <w:spacing w:after="120" w:before="0" w:line="276" w:lineRule="auto"/>
        <w:jc w:val="both"/>
      </w:pPr>
      <w:r>
        <w:rPr>
          <w:rFonts w:ascii="Times New Roman" w:hAnsi="Times New Roman" w:eastAsia="Times New Roman"/>
          <w:b w:val="0"/>
          <w:i w:val="0"/>
          <w:sz w:val="22"/>
        </w:rPr>
        <w:t>Simülasyon sonuçlarının ağ yapısından bağımsız olduğunun gösterilmesi HAD çalışmalarında standart bir gerekliliktir. Verboven ve ark. [21] o dönemin hesaplama olanaklarıyla sınırlı bir ağ çözünürlüğünde çalıştı; günümüz çalışmalarında eleman sayısı milyonlara ulaştı. Artan bilgisayar kapasitesi daha ince ağlara olanak tanırken, ağ bağımsızlık testinin sistematik biçimde yapılması önem kazandı. Önal ve ark. [13] bu testi uygulayarak sonuçların belirli bir eleman sayısının üzerinde değişmediğini gösterdi; Şahin [29] ise ağ kalitesi ve çözüm yakınsaması için sistematik bir metodoloji önerdi.</w:t>
      </w:r>
    </w:p>
    <w:p>
      <w:pPr>
        <w:spacing w:after="120" w:before="0" w:line="276" w:lineRule="auto"/>
        <w:jc w:val="both"/>
      </w:pPr>
      <w:r>
        <w:rPr>
          <w:rFonts w:ascii="Times New Roman" w:hAnsi="Times New Roman" w:eastAsia="Times New Roman"/>
          <w:b w:val="0"/>
          <w:i w:val="0"/>
          <w:sz w:val="22"/>
        </w:rPr>
        <w:t>Yalnız eleman sayısını kademeli olarak artırıp sonuçları gözle karşılaştırmak her zaman yeterli değildir. Roache [40] tarafından önerilen ve Celik ve ark. [41] tarafından ASME için standartlaştırılmış prosedür hâline getirilen Ağ Yakınsama İndeksi (Grid Convergence Index, GCI), Richardson ekstrapolasyonuna dayanarak ayrıklaştırma belirsizliğini nicel biçimde tahmin eder. Prosedür en az üç sistematik olarak inceltilmiş ağ gerektirir ve gözlenen yakınsama mertebesini hesaplayarak sonuca bir hata çubuğu iliştirir. Bu derlemede taranan fırın çalışmalarının hiçbirinde GCI değeri raporlanmamıştır. Deneysel doğrulama sıklıkla yapılırken sayısal belirsizliğin kendisi nicelenmiyor. Alanın en görünür metodolojik eksiği burada.</w:t>
      </w:r>
    </w:p>
    <w:p>
      <w:pPr>
        <w:spacing w:after="120" w:before="0" w:line="276" w:lineRule="auto"/>
        <w:jc w:val="both"/>
      </w:pPr>
      <w:r>
        <w:rPr>
          <w:rFonts w:ascii="Times New Roman" w:hAnsi="Times New Roman" w:eastAsia="Times New Roman"/>
          <w:b w:val="0"/>
          <w:i w:val="0"/>
          <w:sz w:val="22"/>
        </w:rPr>
        <w:t>Duvar yakınlarında sınır tabaka çözünürlüğü için inflation (prizma) katmanları kullanılır. İlk hücrenin duvardan boyutsuz uzaklığı (</w:t>
      </w:r>
      <w:r>
        <w:rPr>
          <w:rFonts w:ascii="Times New Roman" w:hAnsi="Times New Roman" w:eastAsia="Times New Roman"/>
          <w:b w:val="0"/>
          <w:i/>
          <w:sz w:val="22"/>
        </w:rPr>
        <w:t>y</w:t>
      </w:r>
      <w:r>
        <w:rPr>
          <w:rFonts w:ascii="Times New Roman" w:hAnsi="Times New Roman" w:eastAsia="Times New Roman"/>
          <w:b w:val="0"/>
          <w:i w:val="0"/>
          <w:sz w:val="22"/>
        </w:rPr>
        <w:t xml:space="preserve">⁺) türbülans modeline göre ayarlanır: k-ω SST modelinin duvar yakını avantajından yararlanmak için </w:t>
      </w:r>
      <w:r>
        <w:rPr>
          <w:rFonts w:ascii="Times New Roman" w:hAnsi="Times New Roman" w:eastAsia="Times New Roman"/>
          <w:b w:val="0"/>
          <w:i/>
          <w:sz w:val="22"/>
        </w:rPr>
        <w:t>y</w:t>
      </w:r>
      <w:r>
        <w:rPr>
          <w:rFonts w:ascii="Times New Roman" w:hAnsi="Times New Roman" w:eastAsia="Times New Roman"/>
          <w:b w:val="0"/>
          <w:i w:val="0"/>
          <w:sz w:val="22"/>
        </w:rPr>
        <w:t xml:space="preserve">⁺ ≈ 1 mertebesinde çözünürlük gerekirken, duvar fonksiyonlu k-ε modelleri </w:t>
      </w:r>
      <w:r>
        <w:rPr>
          <w:rFonts w:ascii="Times New Roman" w:hAnsi="Times New Roman" w:eastAsia="Times New Roman"/>
          <w:b w:val="0"/>
          <w:i/>
          <w:sz w:val="22"/>
        </w:rPr>
        <w:t>y</w:t>
      </w:r>
      <w:r>
        <w:rPr>
          <w:rFonts w:ascii="Times New Roman" w:hAnsi="Times New Roman" w:eastAsia="Times New Roman"/>
          <w:b w:val="0"/>
          <w:i w:val="0"/>
          <w:sz w:val="22"/>
        </w:rPr>
        <w:t xml:space="preserve">⁺ = 30-300 aralığında çalışabilir [23], [25]. Burada bir mühendislik ödünleşmesi vardır. </w:t>
      </w:r>
      <w:r>
        <w:rPr>
          <w:rFonts w:ascii="Times New Roman" w:hAnsi="Times New Roman" w:eastAsia="Times New Roman"/>
          <w:b w:val="0"/>
          <w:i/>
          <w:sz w:val="22"/>
        </w:rPr>
        <w:t>y</w:t>
      </w:r>
      <w:r>
        <w:rPr>
          <w:rFonts w:ascii="Times New Roman" w:hAnsi="Times New Roman" w:eastAsia="Times New Roman"/>
          <w:b w:val="0"/>
          <w:i w:val="0"/>
          <w:sz w:val="22"/>
        </w:rPr>
        <w:t xml:space="preserve">⁺ ≈ 1 için duvar yakınındaki ilk hücre yüksekliğinin çok küçük tutulması gerekir ve bu, karmaşık fırın geometrilerinde (eğrisel yüzeyler, rezistans çevreleri, FKS delikleri) eleman sayısını katlamalı olarak artırır. Tepsiler, raflar ve dar boşluklarla dolu çok yüzeyli bir kavitede tüm duvarlara </w:t>
      </w:r>
      <w:r>
        <w:rPr>
          <w:rFonts w:ascii="Times New Roman" w:hAnsi="Times New Roman" w:eastAsia="Times New Roman"/>
          <w:b w:val="0"/>
          <w:i/>
          <w:sz w:val="22"/>
        </w:rPr>
        <w:t>y</w:t>
      </w:r>
      <w:r>
        <w:rPr>
          <w:rFonts w:ascii="Times New Roman" w:hAnsi="Times New Roman" w:eastAsia="Times New Roman"/>
          <w:b w:val="0"/>
          <w:i w:val="0"/>
          <w:sz w:val="22"/>
        </w:rPr>
        <w:t>⁺ ≈ 1 çözünürlüğünde prizma katmanı uygulamak hesaplama maliyetini kabul edilemez düzeye çıkarabilir. Araştırmacıların önemli bir bölümü bu yüzden duvar fonksiyonlarına dayanan k-ε modelleriyle çalışmayı, doğruluğun bir miktar azalmasını hesaplama verimliliği lehine kabul ederek tercih etmiştir [19], [21].</w:t>
      </w:r>
    </w:p>
    <w:p>
      <w:pPr>
        <w:spacing w:after="120" w:before="0" w:line="276" w:lineRule="auto"/>
        <w:jc w:val="both"/>
      </w:pPr>
      <w:r>
        <w:rPr>
          <w:rFonts w:ascii="Times New Roman" w:hAnsi="Times New Roman" w:eastAsia="Times New Roman"/>
          <w:b w:val="0"/>
          <w:i w:val="0"/>
          <w:sz w:val="22"/>
        </w:rPr>
        <w:t>Yazılım platformları açısından ANSYS Fluent en sık tercih edilen araçtır [8], [13], [15], [30]. Geniş türbülans ve ışınım modeli kütüphanesi, parametrik çalışmalara uygunluğu ve yaygın kullanımı bu tercihin nedenleridir. CAD entegrasyonu güçlü olan platformlar da beyaz eşya Ar-Ge süreçlerinde yaygındır: Keyfoğlu ve Kırmızıgöl [6] SolidWorks Flow Simulation'ı, Kişin ve ark. [18] ile Bilen ve ark. [16] FloEFD'yi kullandı. Bu araçların avantajı tasarım değişikliklerinin doğrudan simülasyona yansıtılabilmesi ve tasarım-analiz döngüsünün kısalmasıdır; dezavantajı türbülans ve ışınım modeli seçeneklerinin genel amaçlı çözücülere göre kısıtlı olmasıdır. OpenFOAM gibi açık kaynaklı alternatifler fırın simülasyonlarında henüz yaygınlaşmamıştır.</w:t>
      </w:r>
    </w:p>
    <w:p>
      <w:pPr>
        <w:pStyle w:val="Heading2"/>
        <w:spacing w:before="200" w:after="120"/>
      </w:pPr>
      <w:r>
        <w:rPr>
          <w:rFonts w:ascii="Times New Roman" w:hAnsi="Times New Roman" w:eastAsia="Times New Roman"/>
          <w:b/>
          <w:color w:val="1A1A1A"/>
          <w:sz w:val="24"/>
        </w:rPr>
        <w:t>4.5. Modelleme tercihlerinin karşılaştırmalı özeti</w:t>
      </w:r>
    </w:p>
    <w:p>
      <w:pPr>
        <w:spacing w:after="60" w:before="160" w:line="276" w:lineRule="auto"/>
      </w:pPr>
      <w:r>
        <w:rPr>
          <w:rFonts w:ascii="Times New Roman" w:hAnsi="Times New Roman" w:eastAsia="Times New Roman"/>
          <w:b/>
          <w:i w:val="0"/>
          <w:sz w:val="18"/>
        </w:rPr>
        <w:t>Tablo 5. Derlemede incelenen başlıca HAD çalışmalarının modelleme tercihleri ve doğrulama yaklaşımları.</w:t>
      </w:r>
    </w:p>
    <w:tbl>
      <w:tblPr>
        <w:tblW w:type="auto" w:w="0"/>
        <w:jc w:val="center"/>
        <w:tblLayout w:type="fixed"/>
        <w:tblLook w:firstColumn="1" w:firstRow="1" w:lastColumn="0" w:lastRow="0" w:noHBand="0" w:noVBand="1" w:val="04A0"/>
      </w:tblPr>
      <w:tblGrid>
        <w:gridCol w:w="1417"/>
        <w:gridCol w:w="1474"/>
        <w:gridCol w:w="1304"/>
        <w:gridCol w:w="1417"/>
        <w:gridCol w:w="1304"/>
        <w:gridCol w:w="1077"/>
        <w:gridCol w:w="1077"/>
      </w:tblGrid>
      <w:tr>
        <w:tc>
          <w:tcPr>
            <w:tcW w:type="dxa" w:w="141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Çalışma</w:t>
            </w:r>
          </w:p>
        </w:tc>
        <w:tc>
          <w:tcPr>
            <w:tcW w:type="dxa" w:w="147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Fırın tipi</w:t>
            </w:r>
          </w:p>
        </w:tc>
        <w:tc>
          <w:tcPr>
            <w:tcW w:type="dxa" w:w="130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Yazılım</w:t>
            </w:r>
          </w:p>
        </w:tc>
        <w:tc>
          <w:tcPr>
            <w:tcW w:type="dxa" w:w="141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Türbülans modeli</w:t>
            </w:r>
          </w:p>
        </w:tc>
        <w:tc>
          <w:tcPr>
            <w:tcW w:type="dxa" w:w="130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Işınım modeli</w:t>
            </w:r>
          </w:p>
        </w:tc>
        <w:tc>
          <w:tcPr>
            <w:tcW w:type="dxa" w:w="107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Fan modeli</w:t>
            </w:r>
          </w:p>
        </w:tc>
        <w:tc>
          <w:tcPr>
            <w:tcW w:type="dxa" w:w="107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Deneysel doğrulama</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Verboven ve ark. [21], [22]</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Zorlanmış konveksiyonlu endüstriyel</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Standart ve RNG k-ε (karşılaştırmalı)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İhmal edilmiş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Fan basınç-debi karakteristiği ve swirl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Yönsel kalibre sıcak-film anemometre; termokupl</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Therdthai ve ark. [35]</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Sürekli endüstriyel tünel</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(sürekli hat)</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Sıcaklık profili ölçümü</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Wong ve ark. [36]</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Sürekli endüstriyel tünel (U hareketli)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(sürekli hat)</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Sıcaklık ölçümü</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Carson ve ark. [43]</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Ev tipi fanlı ve ticari kesikli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(deneysel çalışma)</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 xml:space="preserve">Dört bağımsız yöntemle </w:t>
            </w:r>
            <w:r>
              <w:rPr>
                <w:rFonts w:ascii="Times New Roman" w:hAnsi="Times New Roman" w:eastAsia="Times New Roman"/>
                <w:b w:val="0"/>
                <w:i/>
                <w:sz w:val="17"/>
              </w:rPr>
              <w:t>h</w:t>
            </w:r>
            <w:r>
              <w:rPr>
                <w:rFonts w:ascii="Times New Roman" w:hAnsi="Times New Roman" w:eastAsia="Times New Roman"/>
                <w:b w:val="0"/>
                <w:i w:val="0"/>
                <w:sz w:val="17"/>
              </w:rPr>
              <w:t xml:space="preserve"> ölçümü</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Fahey ve ark. [19]</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Ev tipi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ANSYS CFX (2B, kararlı rejim)</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Sıcak-tel anemometre ve termokupl (%3 içinde uyum)</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Sakin ve ark. [42]</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Pişirme fırını (fanlı ve statik)</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(deneysel çalışma)</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 xml:space="preserve">70-220 °C'de birleşik </w:t>
            </w:r>
            <w:r>
              <w:rPr>
                <w:rFonts w:ascii="Times New Roman" w:hAnsi="Times New Roman" w:eastAsia="Times New Roman"/>
                <w:b w:val="0"/>
                <w:i/>
                <w:sz w:val="17"/>
              </w:rPr>
              <w:t>h</w:t>
            </w:r>
            <w:r>
              <w:rPr>
                <w:rFonts w:ascii="Times New Roman" w:hAnsi="Times New Roman" w:eastAsia="Times New Roman"/>
                <w:b w:val="0"/>
                <w:i w:val="0"/>
                <w:sz w:val="17"/>
              </w:rPr>
              <w:t xml:space="preserve"> ölçümü</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Chhanwal ve ark. [33]</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Elektrikli ekmek pişirme fırını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Boulet ve ark. [34]</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Pilot ölçekli pişirme fırını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Realizable k-ε</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S2S (zayıf sıkıştırılabilir kaldırma)</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Isı akısı ölçüm cihazı (modele dâhil)</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Mistry ve ark. [26]</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Ev tipi, gazlı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 (zamana bağlı)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DO (DTRM ve S2S ile karşılaştırmalı)</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 ve IR termografi</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Ploteau ve ark. [37]</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Kesikli ekmek fırını (statik, elektrikli)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Sonlu elemanlar (ad 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(doğal konveksiyon)</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 (kızılötesi ve iletim ayrıştırılmış)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(statik fırın)</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Isı akısı ve çok noktalı sıcaklık; silindirik numune yanıtı</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Rek ve ark. [15]</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Çok fonksiyonlu ısıtma fırını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 (iki denklemli 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DO</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MRF</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Smolka ve ark. [30], [44]</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Doğal sirkülasyonlu ısıtma fırını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ANSYS Fluent</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Duvarlar arası ışınım (ölçülmüş emisivite)</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(doğal konveksiyon)</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 rezistans sınır sıcaklıkları ve emisivite ölçümü</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Khatir ve ark. [31], [32]</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Ticari ekmek fırını</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Parametrik giriş koşulu</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Deneysel veri ve vekil (surrogate) model</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Park ve Lee [17]</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Ev tipi elektrikli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Standart k-ε</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Ekmek pişirme testi (UBI) ve kavite sıcaklığı; aç/kapa denetim algoritması modellenmiş</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Kişin ve ark. [18]</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Endüstriyel, 10 tepsili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FloEFD</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Momentum kaynağı</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Bilen ve ark. [16]</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Ev tipi ankastre</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FloEFD (Kartezyen ağ)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k-ε</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Kek pişirme testi ve termokupl</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Yang ve ark. [8]</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Çok fonksiyonlu ev tipi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ANSYS Fluent</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Realizable k-ε</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MRF</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13 noktalı termokupl dizisi</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Jovicic ve ark. [28]</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Model pişirme fırını (gözenekli seramik brülör)</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Mekanizma payları ayrıştırılmış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Isı akısı ve sıcaklık ölçümü</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Reddy ve ark. [27]</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Engelli pişirme kavitesi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Sonlu elemanlar</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 (ışınım analizi)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S2S ve ağ temsili yöntemi</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İlgisiz</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Analitik-sayısal karşılaştırma</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Keyfoğlu ve Kırmızıgöl [6]</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Ev tipi ankastre (72 L)</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SolidWorks Flow Simulation</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 (emaye emisiviteleri tanımlı)</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Kavite ve dış sac yüzey sıcaklıkları</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Önal ve ark. [13]</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Fanlı pişirici, ev tipi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ANSYS Fluent</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k-ω SST</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Dönel bölge</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 ve hız ölçümü; 600-2400 RPM taraması</w:t>
            </w:r>
          </w:p>
        </w:tc>
      </w:tr>
      <w:tr>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Şahin [29]</w:t>
            </w:r>
          </w:p>
        </w:tc>
        <w:tc>
          <w:tcPr>
            <w:tcW w:type="dxa" w:w="147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Endüstriyel</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41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RANS</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Dâhil</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07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 ve Taguchi deney tasarımı</w:t>
            </w:r>
          </w:p>
        </w:tc>
      </w:tr>
    </w:tbl>
    <w:p>
      <w:pPr>
        <w:spacing w:after="160" w:before="0" w:line="276" w:lineRule="auto"/>
      </w:pPr>
    </w:p>
    <w:p>
      <w:pPr>
        <w:spacing w:after="200" w:before="0" w:line="276" w:lineRule="auto"/>
      </w:pPr>
      <w:r>
        <w:rPr>
          <w:rFonts w:ascii="Times New Roman" w:hAnsi="Times New Roman" w:eastAsia="Times New Roman"/>
          <w:b w:val="0"/>
          <w:i/>
          <w:sz w:val="18"/>
        </w:rPr>
        <w:t>Tablo, kaynakların özetleri ile erişilebilen tam metin bilgisine dayanır. "Bildirilmemiş", ilgili modelleme tercihinin bu düzeyde açıkça belirtilmediğini; "Yok", o bileşenin çalışmanın kapsamı gereği bulunmadığını (örneğin statik fırında fan modeli); "İlgisiz" ise sütunun o çalışma türü için anlamsız olduğunu gösterir.</w:t>
      </w:r>
    </w:p>
    <w:p>
      <w:pPr>
        <w:spacing w:after="120" w:before="0" w:line="276" w:lineRule="auto"/>
        <w:jc w:val="both"/>
      </w:pPr>
      <w:r>
        <w:rPr>
          <w:rFonts w:ascii="Times New Roman" w:hAnsi="Times New Roman" w:eastAsia="Times New Roman"/>
          <w:b w:val="0"/>
          <w:i w:val="0"/>
          <w:sz w:val="22"/>
        </w:rPr>
        <w:t>Tablo 5 kendisi bir bulgu üretir. Fanın sayısal temsilini açıkça bildiren çalışma sayısı beştir (MRF: [8], [15]; momentum kaynağı: [18]; fan basınç-debi karakteristiği: [21]; dönel bölge: [13]). Geri kalan sayısal çalışmalarda fanın nasıl temsil edildiği okunamaz. Kullanılan yazılım, sayısal çalışmaların yarısından fazlasında adlandırılmamıştır. Türbülans kapanışını genel "RANS" nitelemesinin ötesinde belirli bir model adıyla bildirenlerin sayısı altıdır ([21], [34], [17], [16], [8], [13]) ve bunların yalnızca biri [13] duvar yakını çözümlemesine uygun bir hibrit modeli tercih etmiştir. Ağ yakınsama belirsizliğini nicel olarak raporlayan çalışma yoktur. Bu raporlama boşlukları, Bölüm 9.5'te önerilen asgari çerçevenin ve Bölüm 10.1'deki araştırma boşluğunun doğrudan gerekçesidir.</w:t>
      </w:r>
    </w:p>
    <w:p>
      <w:pPr>
        <w:spacing w:after="120" w:before="0" w:line="276" w:lineRule="auto"/>
        <w:jc w:val="both"/>
      </w:pPr>
      <w:r>
        <w:rPr>
          <w:rFonts w:ascii="Times New Roman" w:hAnsi="Times New Roman" w:eastAsia="Times New Roman"/>
          <w:b w:val="0"/>
          <w:i w:val="0"/>
          <w:sz w:val="22"/>
        </w:rPr>
        <w:t>Bu raporlama boşluklarının niceliksel görünümü Şekil 4'tedir.</w:t>
      </w:r>
    </w:p>
    <w:p>
      <w:pPr>
        <w:jc w:val="center"/>
        <w:spacing w:before="80" w:after="60"/>
      </w:pPr>
      <w:r>
        <w:drawing>
          <wp:inline xmlns:wp="http://schemas.openxmlformats.org/drawingml/2006/wordprocessingDrawing" distT="0" distB="0" distL="0" distR="0">
            <wp:extent cx="5760000" cy="2592000"/>
            <wp:effectExtent l="0" t="0" r="0" b="0"/>
            <wp:docPr id="3004" name="Şekil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03"/>
              </a:graphicData>
            </a:graphic>
          </wp:inline>
        </w:drawing>
      </w:r>
    </w:p>
    <w:p>
      <w:pPr>
        <w:spacing w:after="200" w:before="0" w:line="276" w:lineRule="auto"/>
        <w:jc w:val="center"/>
      </w:pPr>
      <w:r>
        <w:rPr>
          <w:rFonts w:ascii="Times New Roman" w:hAnsi="Times New Roman" w:eastAsia="Times New Roman"/>
          <w:b w:val="0"/>
          <w:i/>
          <w:sz w:val="18"/>
        </w:rPr>
        <w:t>Şekil 4. Tablo 5'teki 19 sayısal çalışmada modelleme tercihlerinin açıkça bildirilme durumu. Türbülans ve ışınım için "belirli ad", genel bir "RANS" veya "ışınım dâhil" nitelemesinin ötesinde model adının verilmesi anlamındadır. Bazı çalışmalarda ilgili bileşen kapsam gereği bulunmaz (statik fırında fan modeli, ışınım analizinde türbülans kapanışı gibi); bu durumda sayım, raporlama boşluğunun alt sınırını verir.</w:t>
      </w:r>
    </w:p>
    <w:p>
      <w:pPr>
        <w:spacing w:after="120" w:before="0" w:line="276" w:lineRule="auto"/>
        <w:jc w:val="both"/>
      </w:pPr>
      <w:r>
        <w:rPr>
          <w:rFonts w:ascii="Times New Roman" w:hAnsi="Times New Roman" w:eastAsia="Times New Roman"/>
          <w:b w:val="0"/>
          <w:i w:val="0"/>
          <w:sz w:val="22"/>
        </w:rPr>
        <w:t>Tablo 2, Tablo 3 ve Tablo 4'te derlenen ölçütler, Şekil 5'teki karar şemasında birleştirilmiştir.</w:t>
      </w:r>
    </w:p>
    <w:p>
      <w:pPr>
        <w:jc w:val="center"/>
        <w:spacing w:before="80" w:after="60"/>
      </w:pPr>
      <w:r>
        <w:drawing>
          <wp:inline xmlns:wp="http://schemas.openxmlformats.org/drawingml/2006/wordprocessingDrawing" distT="0" distB="0" distL="0" distR="0">
            <wp:extent cx="5760000" cy="1838022"/>
            <wp:effectExtent l="0" t="0" r="0" b="0"/>
            <wp:docPr id="2160" name="Şekil 5"/>
            <wp:cNvGraphicFramePr/>
            <a:graphic xmlns:a="http://schemas.openxmlformats.org/drawingml/2006/main">
              <a:graphicData uri="http://schemas.microsoft.com/office/word/2010/wordprocessingGroup">
                <wpg:wgp xmlns:wpg="http://schemas.microsoft.com/office/word/2010/wordprocessingGroup" xmlns:wps="http://schemas.microsoft.com/office/word/2010/wordprocessingShape">
                  <wpg:cNvGrpSpPr/>
                  <wpg:grpSpPr>
                    <a:xfrm>
                      <a:off x="0" y="0"/>
                      <a:ext cx="5760000" cy="1838022"/>
                      <a:chOff x="0" y="0"/>
                      <a:chExt cx="890" cy="284"/>
                    </a:xfrm>
                  </wpg:grpSpPr>
                  <wps:wsp>
                    <wps:cNvPr id="2102" name="Sekil-2103"/>
                    <wps:cNvSpPr txBox="1"/>
                    <wps:spPr>
                      <a:xfrm>
                        <a:off x="10" y="4"/>
                        <a:ext cx="260" cy="26"/>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true"/>
                              <w:color w:val="0B0B0B"/>
                              <w:sz w:val="19"/>
                            </w:rPr>
                          </w:pPr>
                          <w:r>
                            <w:rPr>
                              <w:rFonts w:ascii="Times New Roman" w:hAnsi="Times New Roman"/>
                              <w:b w:val="true"/>
                              <w:color w:val="0B0B0B"/>
                              <w:sz w:val="19"/>
                            </w:rPr>
                            <w:t xml:space="preserve">a) Türbülans modeli</w:t>
                          </w:r>
                        </w:p>
                      </w:txbxContent>
                    </wps:txbx>
                    <wps:bodyPr rot="0" anchor="ctr" lIns="9000" tIns="0" rIns="9000" bIns="0" wrap="square">
                      <a:noAutofit/>
                    </wps:bodyPr>
                  </wps:wsp>
                  <wps:wsp>
                    <wps:cNvPr id="2104" name="Sekil-2105"/>
                    <wps:cNvSpPr txBox="1"/>
                    <wps:spPr>
                      <a:xfrm>
                        <a:off x="315" y="4"/>
                        <a:ext cx="260" cy="26"/>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true"/>
                              <w:color w:val="0B0B0B"/>
                              <w:sz w:val="19"/>
                            </w:rPr>
                          </w:pPr>
                          <w:r>
                            <w:rPr>
                              <w:rFonts w:ascii="Times New Roman" w:hAnsi="Times New Roman"/>
                              <w:b w:val="true"/>
                              <w:color w:val="0B0B0B"/>
                              <w:sz w:val="19"/>
                            </w:rPr>
                            <w:t xml:space="preserve">b) Işınım modeli</w:t>
                          </w:r>
                        </w:p>
                      </w:txbxContent>
                    </wps:txbx>
                    <wps:bodyPr rot="0" anchor="ctr" lIns="9000" tIns="0" rIns="9000" bIns="0" wrap="square">
                      <a:noAutofit/>
                    </wps:bodyPr>
                  </wps:wsp>
                  <wps:wsp>
                    <wps:cNvPr id="2106" name="Sekil-2107"/>
                    <wps:cNvSpPr txBox="1"/>
                    <wps:spPr>
                      <a:xfrm>
                        <a:off x="620" y="4"/>
                        <a:ext cx="260" cy="26"/>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true"/>
                              <w:color w:val="0B0B0B"/>
                              <w:sz w:val="19"/>
                            </w:rPr>
                          </w:pPr>
                          <w:r>
                            <w:rPr>
                              <w:rFonts w:ascii="Times New Roman" w:hAnsi="Times New Roman"/>
                              <w:b w:val="true"/>
                              <w:color w:val="0B0B0B"/>
                              <w:sz w:val="19"/>
                            </w:rPr>
                            <w:t xml:space="preserve">c) Fanın sayısal temsili</w:t>
                          </w:r>
                        </w:p>
                      </w:txbxContent>
                    </wps:txbx>
                    <wps:bodyPr rot="0" anchor="ctr" lIns="9000" tIns="0" rIns="9000" bIns="0" wrap="square">
                      <a:noAutofit/>
                    </wps:bodyPr>
                  </wps:wsp>
                  <wps:wsp>
                    <wps:cNvPr id="2108" name="Sekil-2109"/>
                    <wps:cNvSpPr/>
                    <wps:spPr>
                      <a:xfrm>
                        <a:off x="10" y="34"/>
                        <a:ext cx="260" cy="44"/>
                      </a:xfrm>
                      <a:prstGeom prst="roundRect">
                        <a:avLst/>
                      </a:prstGeom>
                      <a:solidFill>
                        <a:srgbClr val="EEF4FC"/>
                      </a:solidFill>
                      <a:ln w="13000" cap="rnd">
                        <a:solidFill>
                          <a:srgbClr val="2A78D6"/>
                        </a:solidFill>
                      </a:ln>
                    </wps:spPr>
                    <wps:txbx>
                      <w:txbxContent xmlns:w="http://schemas.openxmlformats.org/wordprocessingml/2006/main">
                        <w:p>
                          <w:pPr>
                            <w:spacing w:before="0" w:after="0" w:line="240" w:lineRule="auto"/>
                            <w:jc w:val="center"/>
                            <w:rPr>
                              <w:rFonts w:ascii="Times New Roman" w:hAnsi="Times New Roman"/>
                              <w:b w:val="false"/>
                              <w:color w:val="0B0B0B"/>
                              <w:sz w:val="17"/>
                            </w:rPr>
                          </w:pPr>
                          <w:r>
                            <w:rPr>
                              <w:rFonts w:ascii="Times New Roman" w:hAnsi="Times New Roman"/>
                              <w:b w:val="false"/>
                              <w:color w:val="0B0B0B"/>
                              <w:sz w:val="17"/>
                            </w:rPr>
                            <w:t xml:space="preserve">Hangi büyüklük hedefleniyor?</w:t>
                          </w:r>
                        </w:p>
                      </w:txbxContent>
                    </wps:txbx>
                    <wps:bodyPr rot="0" anchor="ctr" lIns="9000" tIns="0" rIns="9000" bIns="0" wrap="square">
                      <a:noAutofit/>
                    </wps:bodyPr>
                  </wps:wsp>
                  <wps:wsp>
                    <wps:cNvPr id="2110" name="Sekil-2111"/>
                    <wps:cNvSpPr/>
                    <wps:spPr>
                      <a:xfrm>
                        <a:off x="140" y="78"/>
                        <a:ext cx="0" cy="20"/>
                      </a:xfrm>
                      <a:prstGeom prst="line">
                        <a:avLst/>
                      </a:prstGeom>
                      <a:noFill/>
                      <a:ln w="10000" cap="rnd">
                        <a:solidFill>
                          <a:srgbClr val="A9A8A2"/>
                        </a:solidFill>
                        <a:tailEnd type="triangle" w="med" len="med"/>
                      </a:ln>
                    </wps:spPr>
                    <wps:bodyPr rot="0" anchor="ctr" lIns="9000" tIns="0" rIns="9000" bIns="0" wrap="square">
                      <a:noAutofit/>
                    </wps:bodyPr>
                  </wps:wsp>
                  <wps:wsp>
                    <wps:cNvPr id="2112" name="Sekil-2113"/>
                    <wps:cNvSpPr/>
                    <wps:spPr>
                      <a:xfrm>
                        <a:off x="315" y="34"/>
                        <a:ext cx="260" cy="44"/>
                      </a:xfrm>
                      <a:prstGeom prst="roundRect">
                        <a:avLst/>
                      </a:prstGeom>
                      <a:solidFill>
                        <a:srgbClr val="EEF4FC"/>
                      </a:solidFill>
                      <a:ln w="13000" cap="rnd">
                        <a:solidFill>
                          <a:srgbClr val="2A78D6"/>
                        </a:solidFill>
                      </a:ln>
                    </wps:spPr>
                    <wps:txbx>
                      <w:txbxContent xmlns:w="http://schemas.openxmlformats.org/wordprocessingml/2006/main">
                        <w:p>
                          <w:pPr>
                            <w:spacing w:before="0" w:after="0" w:line="240" w:lineRule="auto"/>
                            <w:jc w:val="center"/>
                            <w:rPr>
                              <w:rFonts w:ascii="Times New Roman" w:hAnsi="Times New Roman"/>
                              <w:b w:val="false"/>
                              <w:color w:val="0B0B0B"/>
                              <w:sz w:val="17"/>
                            </w:rPr>
                          </w:pPr>
                          <w:r>
                            <w:rPr>
                              <w:rFonts w:ascii="Times New Roman" w:hAnsi="Times New Roman"/>
                              <w:b w:val="false"/>
                              <w:color w:val="0B0B0B"/>
                              <w:sz w:val="17"/>
                            </w:rPr>
                            <w:t xml:space="preserve">Ortam ışınıma katılıyor mu?</w:t>
                          </w:r>
                        </w:p>
                      </w:txbxContent>
                    </wps:txbx>
                    <wps:bodyPr rot="0" anchor="ctr" lIns="9000" tIns="0" rIns="9000" bIns="0" wrap="square">
                      <a:noAutofit/>
                    </wps:bodyPr>
                  </wps:wsp>
                  <wps:wsp>
                    <wps:cNvPr id="2114" name="Sekil-2115"/>
                    <wps:cNvSpPr/>
                    <wps:spPr>
                      <a:xfrm>
                        <a:off x="445" y="78"/>
                        <a:ext cx="0" cy="20"/>
                      </a:xfrm>
                      <a:prstGeom prst="line">
                        <a:avLst/>
                      </a:prstGeom>
                      <a:noFill/>
                      <a:ln w="10000" cap="rnd">
                        <a:solidFill>
                          <a:srgbClr val="A9A8A2"/>
                        </a:solidFill>
                        <a:tailEnd type="triangle" w="med" len="med"/>
                      </a:ln>
                    </wps:spPr>
                    <wps:bodyPr rot="0" anchor="ctr" lIns="9000" tIns="0" rIns="9000" bIns="0" wrap="square">
                      <a:noAutofit/>
                    </wps:bodyPr>
                  </wps:wsp>
                  <wps:wsp>
                    <wps:cNvPr id="2116" name="Sekil-2117"/>
                    <wps:cNvSpPr/>
                    <wps:spPr>
                      <a:xfrm>
                        <a:off x="620" y="34"/>
                        <a:ext cx="260" cy="44"/>
                      </a:xfrm>
                      <a:prstGeom prst="roundRect">
                        <a:avLst/>
                      </a:prstGeom>
                      <a:solidFill>
                        <a:srgbClr val="EEF4FC"/>
                      </a:solidFill>
                      <a:ln w="13000" cap="rnd">
                        <a:solidFill>
                          <a:srgbClr val="2A78D6"/>
                        </a:solidFill>
                      </a:ln>
                    </wps:spPr>
                    <wps:txbx>
                      <w:txbxContent xmlns:w="http://schemas.openxmlformats.org/wordprocessingml/2006/main">
                        <w:p>
                          <w:pPr>
                            <w:spacing w:before="0" w:after="0" w:line="240" w:lineRule="auto"/>
                            <w:jc w:val="center"/>
                            <w:rPr>
                              <w:rFonts w:ascii="Times New Roman" w:hAnsi="Times New Roman"/>
                              <w:b w:val="false"/>
                              <w:color w:val="0B0B0B"/>
                              <w:sz w:val="17"/>
                            </w:rPr>
                          </w:pPr>
                          <w:r>
                            <w:rPr>
                              <w:rFonts w:ascii="Times New Roman" w:hAnsi="Times New Roman"/>
                              <w:b w:val="false"/>
                              <w:color w:val="0B0B0B"/>
                              <w:sz w:val="17"/>
                            </w:rPr>
                            <w:t xml:space="preserve">Fan bir tasarım değişkeni mi?</w:t>
                          </w:r>
                        </w:p>
                      </w:txbxContent>
                    </wps:txbx>
                    <wps:bodyPr rot="0" anchor="ctr" lIns="9000" tIns="0" rIns="9000" bIns="0" wrap="square">
                      <a:noAutofit/>
                    </wps:bodyPr>
                  </wps:wsp>
                  <wps:wsp>
                    <wps:cNvPr id="2118" name="Sekil-2119"/>
                    <wps:cNvSpPr/>
                    <wps:spPr>
                      <a:xfrm>
                        <a:off x="750" y="78"/>
                        <a:ext cx="0" cy="20"/>
                      </a:xfrm>
                      <a:prstGeom prst="line">
                        <a:avLst/>
                      </a:prstGeom>
                      <a:noFill/>
                      <a:ln w="10000" cap="rnd">
                        <a:solidFill>
                          <a:srgbClr val="A9A8A2"/>
                        </a:solidFill>
                        <a:tailEnd type="triangle" w="med" len="med"/>
                      </a:ln>
                    </wps:spPr>
                    <wps:bodyPr rot="0" anchor="ctr" lIns="9000" tIns="0" rIns="9000" bIns="0" wrap="square">
                      <a:noAutofit/>
                    </wps:bodyPr>
                  </wps:wsp>
                  <wps:wsp>
                    <wps:cNvPr id="2120" name="Sekil-2121"/>
                    <wps:cNvSpPr/>
                    <wps:spPr>
                      <a:xfrm>
                        <a:off x="10" y="100"/>
                        <a:ext cx="124" cy="62"/>
                      </a:xfrm>
                      <a:prstGeom prst="roundRect">
                        <a:avLst/>
                      </a:prstGeom>
                      <a:solidFill>
                        <a:srgbClr val="FFFFFF"/>
                      </a:solidFill>
                      <a:ln w="10000" cap="rnd">
                        <a:solidFill>
                          <a:srgbClr val="C9C8C2"/>
                        </a:solid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Kavite ortalaması</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sıcaklık</w:t>
                          </w:r>
                        </w:p>
                      </w:txbxContent>
                    </wps:txbx>
                    <wps:bodyPr rot="0" anchor="ctr" lIns="9000" tIns="0" rIns="9000" bIns="0" wrap="square">
                      <a:noAutofit/>
                    </wps:bodyPr>
                  </wps:wsp>
                  <wps:wsp>
                    <wps:cNvPr id="2122" name="Sekil-2123"/>
                    <wps:cNvSpPr/>
                    <wps:spPr>
                      <a:xfrm>
                        <a:off x="146" y="100"/>
                        <a:ext cx="124" cy="62"/>
                      </a:xfrm>
                      <a:prstGeom prst="roundRect">
                        <a:avLst/>
                      </a:prstGeom>
                      <a:solidFill>
                        <a:srgbClr val="FFFFFF"/>
                      </a:solidFill>
                      <a:ln w="10000" cap="rnd">
                        <a:solidFill>
                          <a:srgbClr val="C9C8C2"/>
                        </a:solid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Ayrılma ve</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yerel ısı akısı</w:t>
                          </w:r>
                        </w:p>
                      </w:txbxContent>
                    </wps:txbx>
                    <wps:bodyPr rot="0" anchor="ctr" lIns="9000" tIns="0" rIns="9000" bIns="0" wrap="square">
                      <a:noAutofit/>
                    </wps:bodyPr>
                  </wps:wsp>
                  <wps:wsp>
                    <wps:cNvPr id="2124" name="Sekil-2125"/>
                    <wps:cNvSpPr/>
                    <wps:spPr>
                      <a:xfrm>
                        <a:off x="72" y="162"/>
                        <a:ext cx="0" cy="18"/>
                      </a:xfrm>
                      <a:prstGeom prst="line">
                        <a:avLst/>
                      </a:prstGeom>
                      <a:noFill/>
                      <a:ln w="10000" cap="rnd">
                        <a:solidFill>
                          <a:srgbClr val="A9A8A2"/>
                        </a:solidFill>
                        <a:tailEnd type="triangle" w="med" len="med"/>
                      </a:ln>
                    </wps:spPr>
                    <wps:bodyPr rot="0" anchor="ctr" lIns="9000" tIns="0" rIns="9000" bIns="0" wrap="square">
                      <a:noAutofit/>
                    </wps:bodyPr>
                  </wps:wsp>
                  <wps:wsp>
                    <wps:cNvPr id="2126" name="Sekil-2127"/>
                    <wps:cNvSpPr/>
                    <wps:spPr>
                      <a:xfrm>
                        <a:off x="208" y="162"/>
                        <a:ext cx="0" cy="18"/>
                      </a:xfrm>
                      <a:prstGeom prst="line">
                        <a:avLst/>
                      </a:prstGeom>
                      <a:noFill/>
                      <a:ln w="10000" cap="rnd">
                        <a:solidFill>
                          <a:srgbClr val="A9A8A2"/>
                        </a:solidFill>
                        <a:tailEnd type="triangle" w="med" len="med"/>
                      </a:ln>
                    </wps:spPr>
                    <wps:bodyPr rot="0" anchor="ctr" lIns="9000" tIns="0" rIns="9000" bIns="0" wrap="square">
                      <a:noAutofit/>
                    </wps:bodyPr>
                  </wps:wsp>
                  <wps:wsp>
                    <wps:cNvPr id="2128" name="Sekil-2129"/>
                    <wps:cNvSpPr/>
                    <wps:spPr>
                      <a:xfrm>
                        <a:off x="10" y="182"/>
                        <a:ext cx="124" cy="94"/>
                      </a:xfrm>
                      <a:prstGeom prst="roundRect">
                        <a:avLst/>
                      </a:prstGeom>
                      <a:solidFill>
                        <a:srgbClr val="2A78D6"/>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k-ε ailesi</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y⁺ = 30–300</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[21], [34], [17]</w:t>
                          </w:r>
                        </w:p>
                      </w:txbxContent>
                    </wps:txbx>
                    <wps:bodyPr rot="0" anchor="ctr" lIns="9000" tIns="0" rIns="9000" bIns="0" wrap="square">
                      <a:noAutofit/>
                    </wps:bodyPr>
                  </wps:wsp>
                  <wps:wsp>
                    <wps:cNvPr id="2130" name="Sekil-2131"/>
                    <wps:cNvSpPr/>
                    <wps:spPr>
                      <a:xfrm>
                        <a:off x="146" y="182"/>
                        <a:ext cx="124" cy="94"/>
                      </a:xfrm>
                      <a:prstGeom prst="roundRect">
                        <a:avLst/>
                      </a:prstGeom>
                      <a:solidFill>
                        <a:srgbClr val="2A78D6"/>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k-ω SST</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y⁺ ≈ 1</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[13], [25]</w:t>
                          </w:r>
                        </w:p>
                      </w:txbxContent>
                    </wps:txbx>
                    <wps:bodyPr rot="0" anchor="ctr" lIns="9000" tIns="0" rIns="9000" bIns="0" wrap="square">
                      <a:noAutofit/>
                    </wps:bodyPr>
                  </wps:wsp>
                  <wps:wsp>
                    <wps:cNvPr id="2132" name="Sekil-2133"/>
                    <wps:cNvSpPr/>
                    <wps:spPr>
                      <a:xfrm>
                        <a:off x="315" y="100"/>
                        <a:ext cx="124" cy="62"/>
                      </a:xfrm>
                      <a:prstGeom prst="roundRect">
                        <a:avLst/>
                      </a:prstGeom>
                      <a:solidFill>
                        <a:srgbClr val="FFFFFF"/>
                      </a:solidFill>
                      <a:ln w="10000" cap="rnd">
                        <a:solidFill>
                          <a:srgbClr val="C9C8C2"/>
                        </a:solid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Hayır:</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elektrikli fırın</w:t>
                          </w:r>
                        </w:p>
                      </w:txbxContent>
                    </wps:txbx>
                    <wps:bodyPr rot="0" anchor="ctr" lIns="9000" tIns="0" rIns="9000" bIns="0" wrap="square">
                      <a:noAutofit/>
                    </wps:bodyPr>
                  </wps:wsp>
                  <wps:wsp>
                    <wps:cNvPr id="2134" name="Sekil-2135"/>
                    <wps:cNvSpPr/>
                    <wps:spPr>
                      <a:xfrm>
                        <a:off x="451" y="100"/>
                        <a:ext cx="124" cy="62"/>
                      </a:xfrm>
                      <a:prstGeom prst="roundRect">
                        <a:avLst/>
                      </a:prstGeom>
                      <a:solidFill>
                        <a:srgbClr val="FFFFFF"/>
                      </a:solidFill>
                      <a:ln w="10000" cap="rnd">
                        <a:solidFill>
                          <a:srgbClr val="C9C8C2"/>
                        </a:solid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Evet:</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gazlı fırın</w:t>
                          </w:r>
                        </w:p>
                      </w:txbxContent>
                    </wps:txbx>
                    <wps:bodyPr rot="0" anchor="ctr" lIns="9000" tIns="0" rIns="9000" bIns="0" wrap="square">
                      <a:noAutofit/>
                    </wps:bodyPr>
                  </wps:wsp>
                  <wps:wsp>
                    <wps:cNvPr id="2136" name="Sekil-2137"/>
                    <wps:cNvSpPr/>
                    <wps:spPr>
                      <a:xfrm>
                        <a:off x="377" y="162"/>
                        <a:ext cx="0" cy="18"/>
                      </a:xfrm>
                      <a:prstGeom prst="line">
                        <a:avLst/>
                      </a:prstGeom>
                      <a:noFill/>
                      <a:ln w="10000" cap="rnd">
                        <a:solidFill>
                          <a:srgbClr val="A9A8A2"/>
                        </a:solidFill>
                        <a:tailEnd type="triangle" w="med" len="med"/>
                      </a:ln>
                    </wps:spPr>
                    <wps:bodyPr rot="0" anchor="ctr" lIns="9000" tIns="0" rIns="9000" bIns="0" wrap="square">
                      <a:noAutofit/>
                    </wps:bodyPr>
                  </wps:wsp>
                  <wps:wsp>
                    <wps:cNvPr id="2138" name="Sekil-2139"/>
                    <wps:cNvSpPr/>
                    <wps:spPr>
                      <a:xfrm>
                        <a:off x="513" y="162"/>
                        <a:ext cx="0" cy="18"/>
                      </a:xfrm>
                      <a:prstGeom prst="line">
                        <a:avLst/>
                      </a:prstGeom>
                      <a:noFill/>
                      <a:ln w="10000" cap="rnd">
                        <a:solidFill>
                          <a:srgbClr val="A9A8A2"/>
                        </a:solidFill>
                        <a:tailEnd type="triangle" w="med" len="med"/>
                      </a:ln>
                    </wps:spPr>
                    <wps:bodyPr rot="0" anchor="ctr" lIns="9000" tIns="0" rIns="9000" bIns="0" wrap="square">
                      <a:noAutofit/>
                    </wps:bodyPr>
                  </wps:wsp>
                  <wps:wsp>
                    <wps:cNvPr id="2140" name="Sekil-2141"/>
                    <wps:cNvSpPr/>
                    <wps:spPr>
                      <a:xfrm>
                        <a:off x="315" y="182"/>
                        <a:ext cx="124" cy="94"/>
                      </a:xfrm>
                      <a:prstGeom prst="roundRect">
                        <a:avLst/>
                      </a:prstGeom>
                      <a:solidFill>
                        <a:srgbClr val="EB6834"/>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S2S</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yüzeyler arası</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[27], [34], [44]</w:t>
                          </w:r>
                        </w:p>
                      </w:txbxContent>
                    </wps:txbx>
                    <wps:bodyPr rot="0" anchor="ctr" lIns="9000" tIns="0" rIns="9000" bIns="0" wrap="square">
                      <a:noAutofit/>
                    </wps:bodyPr>
                  </wps:wsp>
                  <wps:wsp>
                    <wps:cNvPr id="2142" name="Sekil-2143"/>
                    <wps:cNvSpPr/>
                    <wps:spPr>
                      <a:xfrm>
                        <a:off x="451" y="182"/>
                        <a:ext cx="124" cy="94"/>
                      </a:xfrm>
                      <a:prstGeom prst="roundRect">
                        <a:avLst/>
                      </a:prstGeom>
                      <a:solidFill>
                        <a:srgbClr val="EB6834"/>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DO</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hacimsel çözüm</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[15], [26]</w:t>
                          </w:r>
                        </w:p>
                      </w:txbxContent>
                    </wps:txbx>
                    <wps:bodyPr rot="0" anchor="ctr" lIns="9000" tIns="0" rIns="9000" bIns="0" wrap="square">
                      <a:noAutofit/>
                    </wps:bodyPr>
                  </wps:wsp>
                  <wps:wsp>
                    <wps:cNvPr id="2144" name="Sekil-2145"/>
                    <wps:cNvSpPr/>
                    <wps:spPr>
                      <a:xfrm>
                        <a:off x="620" y="100"/>
                        <a:ext cx="124" cy="62"/>
                      </a:xfrm>
                      <a:prstGeom prst="roundRect">
                        <a:avLst/>
                      </a:prstGeom>
                      <a:solidFill>
                        <a:srgbClr val="FFFFFF"/>
                      </a:solidFill>
                      <a:ln w="10000" cap="rnd">
                        <a:solidFill>
                          <a:srgbClr val="C9C8C2"/>
                        </a:solid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Hayır: odak</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kanal ve kavite</w:t>
                          </w:r>
                        </w:p>
                      </w:txbxContent>
                    </wps:txbx>
                    <wps:bodyPr rot="0" anchor="ctr" lIns="9000" tIns="0" rIns="9000" bIns="0" wrap="square">
                      <a:noAutofit/>
                    </wps:bodyPr>
                  </wps:wsp>
                  <wps:wsp>
                    <wps:cNvPr id="2146" name="Sekil-2147"/>
                    <wps:cNvSpPr/>
                    <wps:spPr>
                      <a:xfrm>
                        <a:off x="756" y="100"/>
                        <a:ext cx="124" cy="62"/>
                      </a:xfrm>
                      <a:prstGeom prst="roundRect">
                        <a:avLst/>
                      </a:prstGeom>
                      <a:solidFill>
                        <a:srgbClr val="FFFFFF"/>
                      </a:solidFill>
                      <a:ln w="10000" cap="rnd">
                        <a:solidFill>
                          <a:srgbClr val="C9C8C2"/>
                        </a:solid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Evet: fan</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geometrisi</w:t>
                          </w:r>
                        </w:p>
                      </w:txbxContent>
                    </wps:txbx>
                    <wps:bodyPr rot="0" anchor="ctr" lIns="9000" tIns="0" rIns="9000" bIns="0" wrap="square">
                      <a:noAutofit/>
                    </wps:bodyPr>
                  </wps:wsp>
                  <wps:wsp>
                    <wps:cNvPr id="2148" name="Sekil-2149"/>
                    <wps:cNvSpPr/>
                    <wps:spPr>
                      <a:xfrm>
                        <a:off x="682" y="162"/>
                        <a:ext cx="0" cy="18"/>
                      </a:xfrm>
                      <a:prstGeom prst="line">
                        <a:avLst/>
                      </a:prstGeom>
                      <a:noFill/>
                      <a:ln w="10000" cap="rnd">
                        <a:solidFill>
                          <a:srgbClr val="A9A8A2"/>
                        </a:solidFill>
                        <a:tailEnd type="triangle" w="med" len="med"/>
                      </a:ln>
                    </wps:spPr>
                    <wps:bodyPr rot="0" anchor="ctr" lIns="9000" tIns="0" rIns="9000" bIns="0" wrap="square">
                      <a:noAutofit/>
                    </wps:bodyPr>
                  </wps:wsp>
                  <wps:wsp>
                    <wps:cNvPr id="2150" name="Sekil-2151"/>
                    <wps:cNvSpPr/>
                    <wps:spPr>
                      <a:xfrm>
                        <a:off x="818" y="162"/>
                        <a:ext cx="0" cy="18"/>
                      </a:xfrm>
                      <a:prstGeom prst="line">
                        <a:avLst/>
                      </a:prstGeom>
                      <a:noFill/>
                      <a:ln w="10000" cap="rnd">
                        <a:solidFill>
                          <a:srgbClr val="A9A8A2"/>
                        </a:solidFill>
                        <a:tailEnd type="triangle" w="med" len="med"/>
                      </a:ln>
                    </wps:spPr>
                    <wps:bodyPr rot="0" anchor="ctr" lIns="9000" tIns="0" rIns="9000" bIns="0" wrap="square">
                      <a:noAutofit/>
                    </wps:bodyPr>
                  </wps:wsp>
                  <wps:wsp>
                    <wps:cNvPr id="2152" name="Sekil-2153"/>
                    <wps:cNvSpPr/>
                    <wps:spPr>
                      <a:xfrm>
                        <a:off x="620" y="182"/>
                        <a:ext cx="124" cy="94"/>
                      </a:xfrm>
                      <a:prstGeom prst="roundRect">
                        <a:avLst/>
                      </a:prstGeom>
                      <a:solidFill>
                        <a:srgbClr val="1BAF7A"/>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Momentum kaynağı</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en düşük maliyet</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[18]</w:t>
                          </w:r>
                        </w:p>
                      </w:txbxContent>
                    </wps:txbx>
                    <wps:bodyPr rot="0" anchor="ctr" lIns="9000" tIns="0" rIns="9000" bIns="0" wrap="square">
                      <a:noAutofit/>
                    </wps:bodyPr>
                  </wps:wsp>
                  <wps:wsp>
                    <wps:cNvPr id="2154" name="Sekil-2155"/>
                    <wps:cNvSpPr/>
                    <wps:spPr>
                      <a:xfrm>
                        <a:off x="756" y="182"/>
                        <a:ext cx="124" cy="94"/>
                      </a:xfrm>
                      <a:prstGeom prst="roundRect">
                        <a:avLst/>
                      </a:prstGeom>
                      <a:solidFill>
                        <a:srgbClr val="1BAF7A"/>
                      </a:solidFill>
                      <a:ln>
                        <a:noFill/>
                      </a:ln>
                    </wps:spPr>
                    <wps:txbx>
                      <w:txbxContent xmlns:w="http://schemas.openxmlformats.org/wordprocessingml/2006/main">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MRF [8], [15]</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anlık jet gerekirse</w:t>
                          </w:r>
                        </w:p>
                        <w:p>
                          <w:pPr>
                            <w:spacing w:before="0" w:after="0" w:line="240" w:lineRule="auto"/>
                            <w:jc w:val="center"/>
                            <w:rPr>
                              <w:rFonts w:ascii="Times New Roman" w:hAnsi="Times New Roman"/>
                              <w:b w:val="true"/>
                              <w:color w:val="FFFFFF"/>
                              <w:sz w:val="15"/>
                            </w:rPr>
                          </w:pPr>
                          <w:r>
                            <w:rPr>
                              <w:rFonts w:ascii="Times New Roman" w:hAnsi="Times New Roman"/>
                              <w:b w:val="true"/>
                              <w:color w:val="FFFFFF"/>
                              <w:sz w:val="15"/>
                            </w:rPr>
                            <w:t xml:space="preserve">Kayan Ağ</w:t>
                          </w:r>
                        </w:p>
                      </w:txbxContent>
                    </wps:txbx>
                    <wps:bodyPr rot="0" anchor="ctr" lIns="9000" tIns="0" rIns="9000" bIns="0" wrap="square">
                      <a:noAutofit/>
                    </wps:bodyPr>
                  </wps:wsp>
                  <wps:wsp>
                    <wps:cNvPr id="2156" name="Sekil-2157"/>
                    <wps:cNvSpPr/>
                    <wps:spPr>
                      <a:xfrm>
                        <a:off x="305" y="0"/>
                        <a:ext cx="0" cy="280"/>
                      </a:xfrm>
                      <a:prstGeom prst="line">
                        <a:avLst/>
                      </a:prstGeom>
                      <a:noFill/>
                      <a:ln w="10000" cap="rnd">
                        <a:solidFill>
                          <a:srgbClr val="E6E5E0"/>
                        </a:solidFill>
                      </a:ln>
                    </wps:spPr>
                    <wps:bodyPr rot="0" anchor="ctr" lIns="9000" tIns="0" rIns="9000" bIns="0" wrap="square">
                      <a:noAutofit/>
                    </wps:bodyPr>
                  </wps:wsp>
                  <wps:wsp>
                    <wps:cNvPr id="2158" name="Sekil-2159"/>
                    <wps:cNvSpPr/>
                    <wps:spPr>
                      <a:xfrm>
                        <a:off x="610" y="0"/>
                        <a:ext cx="0" cy="280"/>
                      </a:xfrm>
                      <a:prstGeom prst="line">
                        <a:avLst/>
                      </a:prstGeom>
                      <a:noFill/>
                      <a:ln w="10000" cap="rnd">
                        <a:solidFill>
                          <a:srgbClr val="E6E5E0"/>
                        </a:solidFill>
                      </a:ln>
                    </wps:spPr>
                    <wps:bodyPr rot="0" anchor="ctr" lIns="9000" tIns="0" rIns="9000" bIns="0" wrap="square">
                      <a:noAutofit/>
                    </wps:bodyPr>
                  </wps:wsp>
                </wpg:wgp>
              </a:graphicData>
            </a:graphic>
          </wp:inline>
        </w:drawing>
      </w:r>
    </w:p>
    <w:p>
      <w:pPr>
        <w:spacing w:after="200" w:before="0" w:line="276" w:lineRule="auto"/>
        <w:jc w:val="center"/>
      </w:pPr>
      <w:r>
        <w:rPr>
          <w:rFonts w:ascii="Times New Roman" w:hAnsi="Times New Roman" w:eastAsia="Times New Roman"/>
          <w:b w:val="0"/>
          <w:i/>
          <w:sz w:val="18"/>
        </w:rPr>
        <w:t>Şekil 5. Fırın HAD modellemesinde türbülans, ışınım ve fan temsili tercihleri için karar şeması. Şema, Tablo 2, Tablo 3 ve Tablo 4'te derlenen ölçütlerin birleştirilmesiyle bu çalışmada oluşturulmuştur.</w:t>
      </w:r>
    </w:p>
    <w:p>
      <w:pPr>
        <w:pStyle w:val="Heading1"/>
        <w:spacing w:before="280" w:after="120"/>
      </w:pPr>
      <w:r>
        <w:rPr>
          <w:rFonts w:ascii="Times New Roman" w:hAnsi="Times New Roman" w:eastAsia="Times New Roman"/>
          <w:b/>
          <w:color w:val="1A1A1A"/>
          <w:sz w:val="28"/>
        </w:rPr>
        <w:t>5. FAN TASARIM PARAMETRELERİ</w:t>
      </w:r>
    </w:p>
    <w:p>
      <w:pPr>
        <w:pStyle w:val="Heading2"/>
        <w:spacing w:before="200" w:after="120"/>
      </w:pPr>
      <w:r>
        <w:rPr>
          <w:rFonts w:ascii="Times New Roman" w:hAnsi="Times New Roman" w:eastAsia="Times New Roman"/>
          <w:b/>
          <w:color w:val="1A1A1A"/>
          <w:sz w:val="24"/>
        </w:rPr>
        <w:t>5.1. Fan tipi ve kanat geometrisi</w:t>
      </w:r>
    </w:p>
    <w:p>
      <w:pPr>
        <w:spacing w:after="120" w:before="0" w:line="276" w:lineRule="auto"/>
        <w:jc w:val="both"/>
      </w:pPr>
      <w:r>
        <w:rPr>
          <w:rFonts w:ascii="Times New Roman" w:hAnsi="Times New Roman" w:eastAsia="Times New Roman"/>
          <w:b w:val="0"/>
          <w:i w:val="0"/>
          <w:sz w:val="22"/>
        </w:rPr>
        <w:t>Fırınlarda iki tür fan yaygındır. Radyal (santrifüj) fanlar havayı eksenel yönde emerek çevresel yönde basar ve kavitede dairesel bir akış deseni oluşturur. Tanjansiyel (çapraz akışlı) fanlar ise uzun silindirik bir rotor boyunca havayı emerek geniş bir alanda düşük hızlı ve homojen bir akış üretir.</w:t>
      </w:r>
    </w:p>
    <w:p>
      <w:pPr>
        <w:spacing w:after="120" w:before="0" w:line="276" w:lineRule="auto"/>
        <w:jc w:val="both"/>
      </w:pPr>
      <w:r>
        <w:rPr>
          <w:rFonts w:ascii="Times New Roman" w:hAnsi="Times New Roman" w:eastAsia="Times New Roman"/>
          <w:b w:val="0"/>
          <w:i w:val="0"/>
          <w:sz w:val="22"/>
        </w:rPr>
        <w:t>Burhan ve ark. [14] her iki fan tipini aynı turbo kuzine fırın üzerinde deneysel ve sayısal olarak karşılaştırdı. Radyal fan kavitede daha yüksek hava hızları üretti ama hız dağılımı homojen çıkmadı. Tanjansiyel fan daha düşük hızlarda çalışmasına karşın daha düzgün bir sıcaklık profili sağladı. İlk bakışta paradoksal görünen bu sonuç, yüksek hızın tek başına iyi sıcaklık homojenliği anlamına gelmediğini ortaya koyar: hız dağılımının düzgünlüğü, hız büyüklüğü kadar önemlidir. Bulgu, 3.1'de verilen ısı taşınım katsayısı ölçümleriyle de tutarlıdır. Sakin ve ark. [42] ile Carson ve ark. [43] fanlı çalışmada elde edilen katsayı aralığının genişliğine dikkat çeker; geniş bir aralık, kavite içinde konumdan konuma değişen bir konvektif katsayı alanı demektir.</w:t>
      </w:r>
    </w:p>
    <w:p>
      <w:pPr>
        <w:spacing w:after="120" w:before="0" w:line="276" w:lineRule="auto"/>
        <w:jc w:val="both"/>
      </w:pPr>
      <w:r>
        <w:rPr>
          <w:rFonts w:ascii="Times New Roman" w:hAnsi="Times New Roman" w:eastAsia="Times New Roman"/>
          <w:b w:val="0"/>
          <w:i w:val="0"/>
          <w:sz w:val="22"/>
        </w:rPr>
        <w:t>Kanat açısı da etkili bir parametredir. Burhan ve ark. [14] farklı kanat açılarında yaptıkları deneylerde açının akış desenini gözle görülür ölçüde değiştirdiğini gösterdi. Kanat açısının artırılması debiyi artırır, ancak belirli bir noktadan sonra akış ayrılması ve gürültü sorunları baş gösterir.</w:t>
      </w:r>
    </w:p>
    <w:p>
      <w:pPr>
        <w:spacing w:after="120" w:before="0" w:line="276" w:lineRule="auto"/>
        <w:jc w:val="both"/>
      </w:pPr>
      <w:r>
        <w:rPr>
          <w:rFonts w:ascii="Times New Roman" w:hAnsi="Times New Roman" w:eastAsia="Times New Roman"/>
          <w:b w:val="0"/>
          <w:i w:val="0"/>
          <w:sz w:val="22"/>
        </w:rPr>
        <w:t>Rek ve ark. [15] yeni nesil bir fırın tasarımında fan geometrisini HAD ile optimize ederek mevcut tasarıma göre daha homojen bir sıcaklık dağılımı elde etti. Timur ve ark. [9] ticari pişirme fırınlarında fan çapının (280 ve 350 mm), dönüş yönünün ve devir sayısının (450, 1100 ve 1655 RPM) pişirme performansına etkisini sistematik olarak değerlendirdi. Kanat sayısının artırılması her durumda iyileşme sağlamadı; optimal değer fırın geometrisine bağlı çıktı.</w:t>
      </w:r>
    </w:p>
    <w:p>
      <w:pPr>
        <w:pStyle w:val="Heading2"/>
        <w:spacing w:before="200" w:after="120"/>
      </w:pPr>
      <w:r>
        <w:rPr>
          <w:rFonts w:ascii="Times New Roman" w:hAnsi="Times New Roman" w:eastAsia="Times New Roman"/>
          <w:b/>
          <w:color w:val="1A1A1A"/>
          <w:sz w:val="24"/>
        </w:rPr>
        <w:t>5.2. Devir sayısı ve dönüş yönü etkileri</w:t>
      </w:r>
    </w:p>
    <w:p>
      <w:pPr>
        <w:spacing w:after="120" w:before="0" w:line="276" w:lineRule="auto"/>
        <w:jc w:val="both"/>
      </w:pPr>
      <w:r>
        <w:rPr>
          <w:rFonts w:ascii="Times New Roman" w:hAnsi="Times New Roman" w:eastAsia="Times New Roman"/>
          <w:b w:val="0"/>
          <w:i w:val="0"/>
          <w:sz w:val="22"/>
        </w:rPr>
        <w:t>Fan devir sayısı kavite içi hava hızını, dolayısıyla konvektif katsayıyı belirler. Önal ve ark. [13] devir sayısını 600 RPM'den 2400 RPM'e kademeli olarak artırarak kavite içi hız ve sıcaklık dağılımını hem sayısal hem deneysel olarak inceledi. Devir arttıkça kavite içi ortalama hız da arttı, fakat bu artış doğrusal olmadı: düşük devirlerde belirgin olan hız artışı yüksek devirlerde ivmesini kaybetti. Sıcaklık homojenliği açısından ise belirli bir devir sayısından sonra iyileşme durdu, hatta bazı bölgelerde kötüleşme görüldü. Yüksek hızlı jetler kavite duvarlarına çarparak güçlü sıcak ve soğuk noktalar oluşturur; devir artışı bu noktalar arasındaki farkı azaltmak yerine büyütebilir.</w:t>
      </w:r>
    </w:p>
    <w:p>
      <w:pPr>
        <w:spacing w:after="120" w:before="0" w:line="276" w:lineRule="auto"/>
        <w:jc w:val="both"/>
      </w:pPr>
      <w:r>
        <w:rPr>
          <w:rFonts w:ascii="Times New Roman" w:hAnsi="Times New Roman" w:eastAsia="Times New Roman"/>
          <w:b w:val="0"/>
          <w:i w:val="0"/>
          <w:sz w:val="22"/>
        </w:rPr>
        <w:t>Bu bulgu fan devrinin doygun bir tasarım değişkeni olduğunu gösterir. Enerji açısından da anlamlıdır: fan motorunun kendi tüketimi EEI hesabına dâhil olduğundan [3], [5], homojenliğe katkı sağlamayan her ek devir bir verimlilik kaybıdır.</w:t>
      </w:r>
    </w:p>
    <w:p>
      <w:pPr>
        <w:spacing w:after="120" w:before="0" w:line="276" w:lineRule="auto"/>
        <w:jc w:val="both"/>
      </w:pPr>
      <w:r>
        <w:rPr>
          <w:rFonts w:ascii="Times New Roman" w:hAnsi="Times New Roman" w:eastAsia="Times New Roman"/>
          <w:b w:val="0"/>
          <w:i w:val="0"/>
          <w:sz w:val="22"/>
        </w:rPr>
        <w:t>Dönüş yönü daha az incelenmiş bir parametredir. Önal ve ark. [13] saat yönünde ve saat yönünün tersine dönüşü karşılaştırdı ve dönüş yönünün kavite içindeki akış yapısını asimetrik biçimde etkilediğini gösterdi; yön değiştiğinde sıcak ve soğuk noktaların konumları da yer değiştirdi. Bu, geometri kaynaklı bir asimetridir: fan çıkışındaki havanın kavite duvarlarıyla etkileşimi dönüş yönüne göre farklı akış yolları izler. Timur ve ark. [9] da ticari fırınlarda dönüş yönünü bir değişken olarak ele alarak benzer bir yön bağımlılığı raporladı. Bazı ticari fırınlarda dönüş yönünün pişirme çevrimi boyunca periyodik olarak değiştirilmesi tam da bu asimetriyi zaman ortalamasında dengelemeye yöneliktir; ancak bu stratejiyi HAD ile sistematik biçimde inceleyen bir çalışmaya rastlanmadı (bkz. Bölüm 10).</w:t>
      </w:r>
    </w:p>
    <w:p>
      <w:pPr>
        <w:spacing w:after="120" w:before="0" w:line="276" w:lineRule="auto"/>
        <w:jc w:val="both"/>
      </w:pPr>
      <w:r>
        <w:rPr>
          <w:rFonts w:ascii="Times New Roman" w:hAnsi="Times New Roman" w:eastAsia="Times New Roman"/>
          <w:b w:val="0"/>
          <w:i w:val="0"/>
          <w:sz w:val="22"/>
        </w:rPr>
        <w:t>İncelenen çalışmalarda taranan fan parametre aralıkları Tablo 6'da toplanmıştır.</w:t>
      </w:r>
    </w:p>
    <w:p>
      <w:pPr>
        <w:spacing w:after="60" w:before="160" w:line="276" w:lineRule="auto"/>
      </w:pPr>
      <w:r>
        <w:rPr>
          <w:rFonts w:ascii="Times New Roman" w:hAnsi="Times New Roman" w:eastAsia="Times New Roman"/>
          <w:b/>
          <w:i w:val="0"/>
          <w:sz w:val="18"/>
        </w:rPr>
        <w:t>Tablo 6. İncelenen çalışmalarda taranan fan ve akış parametreleri.</w:t>
      </w:r>
    </w:p>
    <w:tbl>
      <w:tblPr>
        <w:tblW w:type="auto" w:w="0"/>
        <w:jc w:val="center"/>
        <w:tblLayout w:type="fixed"/>
        <w:tblLook w:firstColumn="1" w:firstRow="1" w:lastColumn="0" w:lastRow="0" w:noHBand="0" w:noVBand="1" w:val="04A0"/>
      </w:tblPr>
      <w:tblGrid>
        <w:gridCol w:w="1134"/>
        <w:gridCol w:w="1247"/>
        <w:gridCol w:w="1360"/>
        <w:gridCol w:w="1360"/>
        <w:gridCol w:w="1360"/>
        <w:gridCol w:w="1304"/>
        <w:gridCol w:w="1304"/>
      </w:tblGrid>
      <w:tr>
        <w:tc>
          <w:tcPr>
            <w:tcW w:type="dxa" w:w="113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Çalışma</w:t>
            </w:r>
          </w:p>
        </w:tc>
        <w:tc>
          <w:tcPr>
            <w:tcW w:type="dxa" w:w="124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Fırın</w:t>
            </w:r>
          </w:p>
        </w:tc>
        <w:tc>
          <w:tcPr>
            <w:tcW w:type="dxa" w:w="136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Fan tipi</w:t>
            </w:r>
          </w:p>
        </w:tc>
        <w:tc>
          <w:tcPr>
            <w:tcW w:type="dxa" w:w="136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Fan çapı</w:t>
            </w:r>
          </w:p>
        </w:tc>
        <w:tc>
          <w:tcPr>
            <w:tcW w:type="dxa" w:w="136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Devir aralığı</w:t>
            </w:r>
          </w:p>
        </w:tc>
        <w:tc>
          <w:tcPr>
            <w:tcW w:type="dxa" w:w="130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Dönüş yönü</w:t>
            </w:r>
          </w:p>
        </w:tc>
        <w:tc>
          <w:tcPr>
            <w:tcW w:type="dxa" w:w="130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Birlikte taranan diğer değişkenler</w:t>
            </w:r>
          </w:p>
        </w:tc>
      </w:tr>
      <w:tr>
        <w:tc>
          <w:tcPr>
            <w:tcW w:type="dxa" w:w="113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Önal ve ark. [13]</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Ev tipi fanlı pişirici</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600-2400 RPM</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Saat yönü ve tersi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Yok</w:t>
            </w:r>
          </w:p>
        </w:tc>
      </w:tr>
      <w:tr>
        <w:tc>
          <w:tcPr>
            <w:tcW w:type="dxa" w:w="113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Timur ve ark. [9]</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Ticari pişirme fırını</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280 ve 350 mm</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450, 1100, 1655 RPM</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Saat yönü ve tersi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Kanat sayısı</w:t>
            </w:r>
          </w:p>
        </w:tc>
      </w:tr>
      <w:tr>
        <w:tc>
          <w:tcPr>
            <w:tcW w:type="dxa" w:w="113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Burhan ve ark. [14]</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Turbo kuzine</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Radyal ve tanjansiyel</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Kanat açısı, gövde yalıtım malzemesi</w:t>
            </w:r>
          </w:p>
        </w:tc>
      </w:tr>
      <w:tr>
        <w:tc>
          <w:tcPr>
            <w:tcW w:type="dxa" w:w="113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Rek ve ark. [15]</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Çok fonksiyonlu ısıtma fırını</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Fan geometrisi (HAD ile optimize edilmiş)</w:t>
            </w:r>
          </w:p>
        </w:tc>
      </w:tr>
      <w:tr>
        <w:tc>
          <w:tcPr>
            <w:tcW w:type="dxa" w:w="113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Yang ve ark. [8]</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Çok fonksiyonlu ev tipi</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6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Optimizasyon değişkeni</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Bildirilmemiş</w:t>
            </w:r>
          </w:p>
        </w:tc>
        <w:tc>
          <w:tcPr>
            <w:tcW w:type="dxa" w:w="130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Kavite ve raf yerleşimi</w:t>
            </w:r>
          </w:p>
        </w:tc>
      </w:tr>
    </w:tbl>
    <w:p>
      <w:pPr>
        <w:spacing w:after="160" w:before="0" w:line="276" w:lineRule="auto"/>
      </w:pPr>
    </w:p>
    <w:p>
      <w:pPr>
        <w:spacing w:after="200" w:before="0" w:line="276" w:lineRule="auto"/>
      </w:pPr>
      <w:r>
        <w:rPr>
          <w:rFonts w:ascii="Times New Roman" w:hAnsi="Times New Roman" w:eastAsia="Times New Roman"/>
          <w:b w:val="0"/>
          <w:i/>
          <w:sz w:val="18"/>
        </w:rPr>
        <w:t>Not: Tabloda yalnızca fan parametresini açıkça tarayan çalışmalar yer alır. "Bildirilmemiş", ilgili değerin erişilen kaynak düzeyinde verilmediğini gösterir.</w:t>
      </w:r>
    </w:p>
    <w:p>
      <w:pPr>
        <w:pStyle w:val="Heading2"/>
        <w:spacing w:before="200" w:after="120"/>
      </w:pPr>
      <w:r>
        <w:rPr>
          <w:rFonts w:ascii="Times New Roman" w:hAnsi="Times New Roman" w:eastAsia="Times New Roman"/>
          <w:b/>
          <w:color w:val="1A1A1A"/>
          <w:sz w:val="24"/>
        </w:rPr>
        <w:t>5.3. Fan-kavite bütünleşik optimizasyonu</w:t>
      </w:r>
    </w:p>
    <w:p>
      <w:pPr>
        <w:spacing w:after="120" w:before="0" w:line="276" w:lineRule="auto"/>
        <w:jc w:val="both"/>
      </w:pPr>
      <w:r>
        <w:rPr>
          <w:rFonts w:ascii="Times New Roman" w:hAnsi="Times New Roman" w:eastAsia="Times New Roman"/>
          <w:b w:val="0"/>
          <w:i w:val="0"/>
          <w:sz w:val="22"/>
        </w:rPr>
        <w:t>Yang ve ark. [8] devir sayısı optimizasyonunu sıcaklık homojenliği indeksi üzerinden yürüttü ve belirli bir devir aralığında en iyi homojenliğin elde edildiğini raporladı. Aynı çalışmada fan devri tek başına değil, kavite ve raf yerleşimiyle birlikte ele alındı; parametreler arası etkileşimi hesaba katan bütünleşik yaklaşımın daha anlamlı iyileştirmeler sağladığı gösterildi. Bu, Bölüm 6.3'te ayrıntılandırılan seri akış direnci argümanının fan tarafındaki karşılığıdır: fanın çalışma noktasını önündeki geometri belirler.</w:t>
      </w:r>
    </w:p>
    <w:p>
      <w:pPr>
        <w:spacing w:after="120" w:before="0" w:line="276" w:lineRule="auto"/>
        <w:jc w:val="both"/>
      </w:pPr>
      <w:r>
        <w:rPr>
          <w:rFonts w:ascii="Times New Roman" w:hAnsi="Times New Roman" w:eastAsia="Times New Roman"/>
          <w:b w:val="0"/>
          <w:i w:val="0"/>
          <w:sz w:val="22"/>
        </w:rPr>
        <w:t>Khatir ve ark. [31] ticari ekmek fırınları için üç boyutlu bir jenerik fırın modelini parametrize ederek sıcaklık homojenliği, enerji verimliliği ve üretilebilirlik hedeflerini eş zamanlı gözeten çok amaçlı bir optimizasyon çerçevesi kurdu. Aynı ekibin izleyen çalışması [32] bu çerçeveyi enerji ısıl yönetimine genişletti. İki çalışma, fan ve kanal parametrelerinin tek tek iyileştirilmesi yerine bir Pareto cephesi üzerinde değerlendirilmesinin nasıl kurulacağını gösteren en olgun örneklerdir. Henüz ev tipi ankastre fırın geometrilerine uyarlanmamışlardır.</w:t>
      </w:r>
    </w:p>
    <w:p>
      <w:pPr>
        <w:pStyle w:val="Heading1"/>
        <w:spacing w:before="280" w:after="120"/>
      </w:pPr>
      <w:r>
        <w:rPr>
          <w:rFonts w:ascii="Times New Roman" w:hAnsi="Times New Roman" w:eastAsia="Times New Roman"/>
          <w:b/>
          <w:color w:val="1A1A1A"/>
          <w:sz w:val="28"/>
        </w:rPr>
        <w:t>6. HAVA KANALI VE FAN KORUMA SACI (FKS) GEOMETRİSİ</w:t>
      </w:r>
    </w:p>
    <w:p>
      <w:pPr>
        <w:spacing w:after="120" w:before="0" w:line="276" w:lineRule="auto"/>
        <w:jc w:val="both"/>
      </w:pPr>
      <w:r>
        <w:rPr>
          <w:rFonts w:ascii="Times New Roman" w:hAnsi="Times New Roman" w:eastAsia="Times New Roman"/>
          <w:b w:val="0"/>
          <w:i w:val="0"/>
          <w:sz w:val="22"/>
        </w:rPr>
        <w:t>Fan ne kadar iyi tasarlanırsa tasarlansın, ürettiği hava akışının kaviteye nasıl dağıtıldığı en az fanın kendisi kadar önemlidir. Hava kanalı ve FKS bu dağıtımı kontrol eden bileşenlerdir.</w:t>
      </w:r>
    </w:p>
    <w:p>
      <w:pPr>
        <w:pStyle w:val="Heading2"/>
        <w:spacing w:before="200" w:after="120"/>
      </w:pPr>
      <w:r>
        <w:rPr>
          <w:rFonts w:ascii="Times New Roman" w:hAnsi="Times New Roman" w:eastAsia="Times New Roman"/>
          <w:b/>
          <w:color w:val="1A1A1A"/>
          <w:sz w:val="24"/>
        </w:rPr>
        <w:t>6.1. FKS delik konfigürasyonu</w:t>
      </w:r>
    </w:p>
    <w:p>
      <w:pPr>
        <w:spacing w:after="120" w:before="0" w:line="276" w:lineRule="auto"/>
        <w:jc w:val="both"/>
      </w:pPr>
      <w:r>
        <w:rPr>
          <w:rFonts w:ascii="Times New Roman" w:hAnsi="Times New Roman" w:eastAsia="Times New Roman"/>
          <w:b w:val="0"/>
          <w:i w:val="0"/>
          <w:sz w:val="22"/>
        </w:rPr>
        <w:t>FKS, fanın hemen önünde yer alan metal plakadır. Üzerindeki deliklerin konumu, çapı, şekli ve dağılım deseni havanın kaviteye hangi yönde ve hangi hızda gireceğini belirler. Fiziksel olarak FKS bir dağıtıcı delikli plakadır: her delik bir jet üretir ve kavitedeki sıcaklık alanı, bu jetlerin çarpma noktalarının, açılma açılarının ve birbirleriyle etkileşiminin toplamıdır.</w:t>
      </w:r>
    </w:p>
    <w:p>
      <w:pPr>
        <w:spacing w:after="120" w:before="0" w:line="276" w:lineRule="auto"/>
        <w:jc w:val="both"/>
      </w:pPr>
      <w:r>
        <w:rPr>
          <w:rFonts w:ascii="Times New Roman" w:hAnsi="Times New Roman" w:eastAsia="Times New Roman"/>
          <w:b w:val="0"/>
          <w:i w:val="0"/>
          <w:sz w:val="22"/>
        </w:rPr>
        <w:t>Gün [2] yüksek lisans tezinde FKS'nin hem performans hem güvenlik boyutunu inceledi. Delik konfigürasyonunun değiştirilmesi kavite içi sıcaklık dağılımını belirgin biçimde etkiledi; fakat bazı konfigürasyonlar FKS yüzey sıcaklığını TS EN 60335 serisi güvenlik standartlarının öngördüğü sınırların üzerine çıkardı. Performansı artıran bir konfigürasyon güvenlik açısından kabul edilemez olabilir, dolayısıyla tasarım sürecinde ikisi arasında denge gözetilmelidir. Bu, FKS optimizasyonunun tek amaçlı bir problem olarak kurulamayacağını gösteren en somut kanıttır.</w:t>
      </w:r>
    </w:p>
    <w:p>
      <w:pPr>
        <w:spacing w:after="120" w:before="0" w:line="276" w:lineRule="auto"/>
        <w:jc w:val="both"/>
      </w:pPr>
      <w:r>
        <w:rPr>
          <w:rFonts w:ascii="Times New Roman" w:hAnsi="Times New Roman" w:eastAsia="Times New Roman"/>
          <w:b w:val="0"/>
          <w:i w:val="0"/>
          <w:sz w:val="22"/>
        </w:rPr>
        <w:t>Bilen ve ark. [16] yeni tip fan bafıl tasarımları geliştirerek mevcut FKS konfigürasyonlarıyla karşılaştırdı. FloEFD ile kurulan ve deneysel olarak doğrulanan modelde, geliştirilen tasarımlar hava jetlerinin kavite içindeki dağılımını dengeledi ve tepsi üzerindeki kek pişirme performansını artırdı. FKS üzerinde yapılan küçük geometrik değişiklikler bile kavite genelinde ölçülebilir performans farkları yaratabiliyor.</w:t>
      </w:r>
    </w:p>
    <w:p>
      <w:pPr>
        <w:spacing w:after="120" w:before="0" w:line="276" w:lineRule="auto"/>
        <w:jc w:val="both"/>
      </w:pPr>
      <w:r>
        <w:rPr>
          <w:rFonts w:ascii="Times New Roman" w:hAnsi="Times New Roman" w:eastAsia="Times New Roman"/>
          <w:b w:val="0"/>
          <w:i w:val="0"/>
          <w:sz w:val="22"/>
        </w:rPr>
        <w:t>Park ve Lee [17] FKS ve kavite tasarımını pişirme kalitesiyle ilişkilendiren ilk çalışmalardan birini yaptı. Esmerleşme homojenliği indeksini (UBI) kullanarak farklı konfigürasyonların ekmek pişirme performansını değerlendirdiler ve akış dağılımının UBI üzerinde belirleyici olduğunu saptadılar.</w:t>
      </w:r>
    </w:p>
    <w:p>
      <w:pPr>
        <w:spacing w:after="120" w:before="0" w:line="276" w:lineRule="auto"/>
        <w:jc w:val="both"/>
      </w:pPr>
      <w:r>
        <w:rPr>
          <w:rFonts w:ascii="Times New Roman" w:hAnsi="Times New Roman" w:eastAsia="Times New Roman"/>
          <w:b w:val="0"/>
          <w:i w:val="0"/>
          <w:sz w:val="22"/>
        </w:rPr>
        <w:t>Keyfoğlu ve Kırmızıgöl [6] 72 L hacimli bir ankastre fırında SolidWorks Flow Simulation ile ısıl verimlilik artırma çalışması yürüttü. Çalışma; rezistans ısıl gücü, ortam koşulları, malzeme özellikleri ve emaye yüzeylerin emisivite katsayıları tanımlanarak iletim, ışınım ve konveksiyonun birlikte çözülmesine dayanır ve kavite içi ile dış sac sıcaklıklarının deneysel ölçümüyle doğrulanmıştır. EEI'yi düşürmeye yönelik tasarım müdahalelerinin HAD ile önceden değerlendirilebileceğini göstermesi bakımından önemlidir.</w:t>
      </w:r>
    </w:p>
    <w:p>
      <w:pPr>
        <w:pStyle w:val="Heading2"/>
        <w:spacing w:before="200" w:after="120"/>
      </w:pPr>
      <w:r>
        <w:rPr>
          <w:rFonts w:ascii="Times New Roman" w:hAnsi="Times New Roman" w:eastAsia="Times New Roman"/>
          <w:b/>
          <w:color w:val="1A1A1A"/>
          <w:sz w:val="24"/>
        </w:rPr>
        <w:t>6.2. Hava kanalı ve hava perdesi tasarımı</w:t>
      </w:r>
    </w:p>
    <w:p>
      <w:pPr>
        <w:spacing w:after="120" w:before="0" w:line="276" w:lineRule="auto"/>
        <w:jc w:val="both"/>
      </w:pPr>
      <w:r>
        <w:rPr>
          <w:rFonts w:ascii="Times New Roman" w:hAnsi="Times New Roman" w:eastAsia="Times New Roman"/>
          <w:b w:val="0"/>
          <w:i w:val="0"/>
          <w:sz w:val="22"/>
        </w:rPr>
        <w:t>Hava kanalları fanın bastığı havayı kavite içinde yönlendiren yapılardır. Kanalların şekli, boyutu ve kaviteye açılış noktaları akış desenini biçimlendirir.</w:t>
      </w:r>
    </w:p>
    <w:p>
      <w:pPr>
        <w:spacing w:after="120" w:before="0" w:line="276" w:lineRule="auto"/>
        <w:jc w:val="both"/>
      </w:pPr>
      <w:r>
        <w:rPr>
          <w:rFonts w:ascii="Times New Roman" w:hAnsi="Times New Roman" w:eastAsia="Times New Roman"/>
          <w:b w:val="0"/>
          <w:i w:val="0"/>
          <w:sz w:val="22"/>
        </w:rPr>
        <w:t>Pala ve ark. [10] endüstriyel ölçekte bir fırında hava perdesi tasarımını HAD ile optimize etti. Hava perdesi, kavite ağzında oluşturulan yüksek hızlı bir hava akışı tabakasıdır ve asıl işlevi fırın kapağı açıldığında ısı kaybını sınırlamaktır. Pala ve ark. [10] hava perdesinin yalnızca ısı kaybını azaltmadığını, kavite içi akış desenini de etkilediğini gösterdi; tepsiler arasındaki sapmanın menfez yerleşimi ve hava perdesi tasarımıyla azaltılabileceğini raporladı.</w:t>
      </w:r>
    </w:p>
    <w:p>
      <w:pPr>
        <w:spacing w:after="120" w:before="0" w:line="276" w:lineRule="auto"/>
        <w:jc w:val="both"/>
      </w:pPr>
      <w:r>
        <w:rPr>
          <w:rFonts w:ascii="Times New Roman" w:hAnsi="Times New Roman" w:eastAsia="Times New Roman"/>
          <w:b w:val="0"/>
          <w:i w:val="0"/>
          <w:sz w:val="22"/>
        </w:rPr>
        <w:t>Fahey ve ark. [19] ev tipi bir fırında hava kanalı çıkış geometrisinin kavite içi akış yapısına etkisini inceledi. Kanal çıkışlarından giren jetlerin açılma açıları ve kavite duvarlarıyla etkileşimi, ölü hacimlerin oluşumunu belirleyen faktörler arasındadır. Kanal çıkış geometrisindeki küçük değişiklikler jet yayılma açısını değiştirerek kavite köşelerine ulaşan hava miktarını artırabilir ya da azaltabilir.</w:t>
      </w:r>
    </w:p>
    <w:p>
      <w:pPr>
        <w:spacing w:after="120" w:before="0" w:line="276" w:lineRule="auto"/>
        <w:jc w:val="both"/>
      </w:pPr>
      <w:r>
        <w:rPr>
          <w:rFonts w:ascii="Times New Roman" w:hAnsi="Times New Roman" w:eastAsia="Times New Roman"/>
          <w:b w:val="0"/>
          <w:i w:val="0"/>
          <w:sz w:val="22"/>
        </w:rPr>
        <w:t>Kişin ve ark. [18] hava kanalı tasarımının kavite içi momentum dağılımı üzerindeki etkisini 10 tepsili endüstriyel bir fırında sayısal olarak haritaladı. Fan kaynaklı basıncın kavite içinde nasıl dağıldığı, büyük ölçüde kanal geometrisi ve FKS delik konfigürasyonunun birlikte yarattığı akış direnci yapısına bağlıdır.</w:t>
      </w:r>
    </w:p>
    <w:p>
      <w:pPr>
        <w:spacing w:after="120" w:before="0" w:line="276" w:lineRule="auto"/>
        <w:jc w:val="both"/>
      </w:pPr>
      <w:r>
        <w:rPr>
          <w:rFonts w:ascii="Times New Roman" w:hAnsi="Times New Roman" w:eastAsia="Times New Roman"/>
          <w:b w:val="0"/>
          <w:i w:val="0"/>
          <w:sz w:val="22"/>
        </w:rPr>
        <w:t>Sürekli tünel fırınlarında sorun bir boyut daha kazanır: ürün kavite boyunca hareket ettiği için maruz kaldığı akış alanı zamanla değişir. Therdthai ve ark. [35] üç boyutlu bir HAD modeliyle sürekli endüstriyel bir pişirme hattındaki sıcaklık profillerini ve hava akış desenlerini simüle etti; Wong ve ark. [36] ise ürünün U biçimli hareketini modele dâhil ederek kanal yerleşiminin ürün geçmişi üzerindeki etkisini gösterdi. Bu çalışmalar, kesikli ev tipi fırınlar için geliştirilen kanal tasarım ilkelerinin endüstriyel sürekli hatlara doğrudan aktarılamayacağını ortaya koyar.</w:t>
      </w:r>
    </w:p>
    <w:p>
      <w:pPr>
        <w:pStyle w:val="Heading2"/>
        <w:spacing w:before="200" w:after="120"/>
      </w:pPr>
      <w:r>
        <w:rPr>
          <w:rFonts w:ascii="Times New Roman" w:hAnsi="Times New Roman" w:eastAsia="Times New Roman"/>
          <w:b/>
          <w:color w:val="1A1A1A"/>
          <w:sz w:val="24"/>
        </w:rPr>
        <w:t>6.3. Bütünleşik tasarım gerekliliği</w:t>
      </w:r>
    </w:p>
    <w:p>
      <w:pPr>
        <w:spacing w:after="120" w:before="0" w:line="276" w:lineRule="auto"/>
        <w:jc w:val="both"/>
      </w:pPr>
      <w:r>
        <w:rPr>
          <w:rFonts w:ascii="Times New Roman" w:hAnsi="Times New Roman" w:eastAsia="Times New Roman"/>
          <w:b w:val="0"/>
          <w:i w:val="0"/>
          <w:sz w:val="22"/>
        </w:rPr>
        <w:t>Yukarıdaki bulgular tek bir sonuca yakınsar: fan, FKS ve hava kanalı birbirinden bağımsız optimize edilemez. Fan bir debi ve basınç kaynağıdır, FKS bu akışı jetlere böler, hava kanalı jetleri kaviteye taşır. Üçü seri bir akış direnci zinciri oluşturur ve birinde yapılan değişiklik diğer ikisinin çalışma noktasını kaydırır [2], [10], [16], [18]. FKS delik alanının artırılması, örneğin, sistem direncini düşürür, fanın çalışma noktasını debi ekseninde kaydırır ve jet çıkış hızlarını azaltır; sonuçta jetler kavite köşelerine ulaşamaz hâle gelebilir. Parametrelerin tek tek tarandığı çalışmalar bu nedenle etkileşim terimlerini gözden kaçırma riski taşır. Şahin'in [29] Taguchi tabanlı yaklaşımı ile Khatir ve ark.'nın [31], [32] çok amaçlı optimizasyon çerçevesi, bu etkileşimleri sistematik biçimde ele almanın iki farklı yolunu sunar.</w:t>
      </w:r>
    </w:p>
    <w:p>
      <w:pPr>
        <w:pStyle w:val="Heading1"/>
        <w:spacing w:before="280" w:after="120"/>
      </w:pPr>
      <w:r>
        <w:rPr>
          <w:rFonts w:ascii="Times New Roman" w:hAnsi="Times New Roman" w:eastAsia="Times New Roman"/>
          <w:b/>
          <w:color w:val="1A1A1A"/>
          <w:sz w:val="28"/>
        </w:rPr>
        <w:t>7. ENERJİ VERİMLİLİĞİ STANDARTLARI VE İYİLEŞTİRME STRATEJİLERİ</w:t>
      </w:r>
    </w:p>
    <w:p>
      <w:pPr>
        <w:spacing w:after="120" w:before="0" w:line="276" w:lineRule="auto"/>
        <w:jc w:val="both"/>
      </w:pPr>
      <w:r>
        <w:rPr>
          <w:rFonts w:ascii="Times New Roman" w:hAnsi="Times New Roman" w:eastAsia="Times New Roman"/>
          <w:b w:val="0"/>
          <w:i w:val="0"/>
          <w:sz w:val="22"/>
        </w:rPr>
        <w:t>Fırın tasarımında sıcaklık homojenliği tek başına yeterli değildir; ürünün pazara girebilmesi için enerji verimliliği sınırlarını da karşılaması gerekir.</w:t>
      </w:r>
    </w:p>
    <w:p>
      <w:pPr>
        <w:pStyle w:val="Heading2"/>
        <w:spacing w:before="200" w:after="120"/>
      </w:pPr>
      <w:r>
        <w:rPr>
          <w:rFonts w:ascii="Times New Roman" w:hAnsi="Times New Roman" w:eastAsia="Times New Roman"/>
          <w:b/>
          <w:color w:val="1A1A1A"/>
          <w:sz w:val="24"/>
        </w:rPr>
        <w:t>7.1. Düzenleyici çerçeve ve EEI</w:t>
      </w:r>
    </w:p>
    <w:p>
      <w:pPr>
        <w:spacing w:after="120" w:before="0" w:line="276" w:lineRule="auto"/>
        <w:jc w:val="both"/>
      </w:pPr>
      <w:r>
        <w:rPr>
          <w:rFonts w:ascii="Times New Roman" w:hAnsi="Times New Roman" w:eastAsia="Times New Roman"/>
          <w:b w:val="0"/>
          <w:i w:val="0"/>
          <w:sz w:val="22"/>
        </w:rPr>
        <w:t>Avrupa Birliği, 2009/125/EC sayılı Ekotasarım Direktifi'ni uygulayan Komisyon Tüzüğü (AB) No 66/2014 ile ev tipi fırınlara yönelik enerji tüketim sınırlarını kademeli olarak sıkılaştırdı [3]. Tüzük 20 Şubat 2014'te yürürlüğe girdi, gereklilikler 20 Şubat 2015'ten itibaren uygulanmaya başladı ve yürürlüğe girişten beş yıl sonra (2019) daha sıkı bir EEI kademesi devreye girdi. Elektrikli ev tipi fırınlar için bu kademede aranan koşul, kavite Enerji Verimlilik İndeksi'nin 96'nın altında kalmasıdır. Çok kaviteli fırınlarda en az bir kavitenin bu sıkı sınıra, diğerlerinin iki yıl sonrası için tanımlanan sınıra uyması gerekir [3]. Tüketiciye sunulan enerji etiketi ve ürün fişi bilgileri ise Komisyon Delege Tüzüğü (AB) No 65/2014 ile düzenlenmiştir [4].</w:t>
      </w:r>
    </w:p>
    <w:p>
      <w:pPr>
        <w:spacing w:after="120" w:before="0" w:line="276" w:lineRule="auto"/>
        <w:jc w:val="both"/>
      </w:pPr>
      <w:r>
        <w:rPr>
          <w:rFonts w:ascii="Times New Roman" w:hAnsi="Times New Roman" w:eastAsia="Times New Roman"/>
          <w:b w:val="0"/>
          <w:i w:val="0"/>
          <w:sz w:val="22"/>
        </w:rPr>
        <w:t>EEI hesaplamasının temeli EN IEC 60350-1 standardıdır [5]. Standartta belirli boyut ve nem içeriğine sahip ıslak tuğla yük blokları fırında hedef sıcaklığa kadar ısıtılır ve bu süreçte harcanan enerji ölçülür. Ölçüm kavite hacmine göre normalize edilip referans enerji tüketimiyle oranlanır; düşük EEI daha verimli fırın demektir.</w:t>
      </w:r>
    </w:p>
    <w:p>
      <w:pPr>
        <w:spacing w:after="120" w:before="0" w:line="276" w:lineRule="auto"/>
        <w:jc w:val="both"/>
      </w:pPr>
      <w:r>
        <w:rPr>
          <w:rFonts w:ascii="Times New Roman" w:hAnsi="Times New Roman" w:eastAsia="Times New Roman"/>
          <w:b w:val="0"/>
          <w:i w:val="0"/>
          <w:sz w:val="22"/>
        </w:rPr>
        <w:t>Pratikte bunun anlamı şudur: üreticiler yalnızca fırının pişirme performansını değil, bunu ne kadar enerjiyle başardığını da kanıtlamak durumundadır. HAD simülasyonları bu süreçte enerji tüketimini prototip üretmeden tahmin etme olanağı sunar. Simülasyonun güvenilir olması için ise ısı kayıplarının (duvarlar, kapak, sızdırmazlık) doğru modellenmesi şarttır.</w:t>
      </w:r>
    </w:p>
    <w:p>
      <w:pPr>
        <w:spacing w:after="120" w:before="0" w:line="276" w:lineRule="auto"/>
        <w:jc w:val="both"/>
      </w:pPr>
      <w:r>
        <w:rPr>
          <w:rFonts w:ascii="Times New Roman" w:hAnsi="Times New Roman" w:eastAsia="Times New Roman"/>
          <w:b w:val="0"/>
          <w:i w:val="0"/>
          <w:sz w:val="22"/>
        </w:rPr>
        <w:t>Yürürlük takvimi ve EEI kademeleri Şekil 6'da gösterilmiştir.</w:t>
      </w:r>
    </w:p>
    <w:p>
      <w:pPr>
        <w:jc w:val="center"/>
        <w:spacing w:before="80" w:after="60"/>
      </w:pPr>
      <w:r>
        <w:drawing>
          <wp:inline xmlns:wp="http://schemas.openxmlformats.org/drawingml/2006/wordprocessingDrawing" distT="0" distB="0" distL="0" distR="0">
            <wp:extent cx="5760000" cy="1597935"/>
            <wp:effectExtent l="0" t="0" r="0" b="0"/>
            <wp:docPr id="2197" name="Şekil 6"/>
            <wp:cNvGraphicFramePr/>
            <a:graphic xmlns:a="http://schemas.openxmlformats.org/drawingml/2006/main">
              <a:graphicData uri="http://schemas.microsoft.com/office/word/2010/wordprocessingGroup">
                <wpg:wgp xmlns:wpg="http://schemas.microsoft.com/office/word/2010/wordprocessingGroup" xmlns:wps="http://schemas.microsoft.com/office/word/2010/wordprocessingShape">
                  <wpg:cNvGrpSpPr/>
                  <wpg:grpSpPr>
                    <a:xfrm>
                      <a:off x="0" y="0"/>
                      <a:ext cx="5760000" cy="1597935"/>
                      <a:chOff x="0" y="0"/>
                      <a:chExt cx="620" cy="172"/>
                    </a:xfrm>
                  </wpg:grpSpPr>
                  <wps:wsp>
                    <wps:cNvPr id="2161" name="Sekil-2162"/>
                    <wps:cNvSpPr/>
                    <wps:spPr>
                      <a:xfrm>
                        <a:off x="470" y="20"/>
                        <a:ext cx="150" cy="130"/>
                      </a:xfrm>
                      <a:prstGeom prst="rect">
                        <a:avLst/>
                      </a:prstGeom>
                      <a:solidFill>
                        <a:srgbClr val="F4E3DA"/>
                      </a:solidFill>
                      <a:ln>
                        <a:noFill/>
                      </a:ln>
                    </wps:spPr>
                    <wps:bodyPr rot="0" anchor="ctr" lIns="9000" tIns="0" rIns="9000" bIns="0" wrap="square">
                      <a:noAutofit/>
                    </wps:bodyPr>
                  </wps:wsp>
                  <wps:wsp>
                    <wps:cNvPr id="2163" name="Sekil-2164"/>
                    <wps:cNvSpPr/>
                    <wps:spPr>
                      <a:xfrm>
                        <a:off x="30" y="84"/>
                        <a:ext cx="570" cy="0"/>
                      </a:xfrm>
                      <a:prstGeom prst="line">
                        <a:avLst/>
                      </a:prstGeom>
                      <a:noFill/>
                      <a:ln w="20000" cap="rnd">
                        <a:solidFill>
                          <a:srgbClr val="DCDCD8"/>
                        </a:solidFill>
                      </a:ln>
                    </wps:spPr>
                    <wps:bodyPr rot="0" anchor="ctr" lIns="9000" tIns="0" rIns="9000" bIns="0" wrap="square">
                      <a:noAutofit/>
                    </wps:bodyPr>
                  </wps:wsp>
                  <wps:wsp>
                    <wps:cNvPr id="2165" name="Sekil-2166"/>
                    <wps:cNvSpPr/>
                    <wps:spPr>
                      <a:xfrm>
                        <a:off x="61" y="75"/>
                        <a:ext cx="18" cy="18"/>
                      </a:xfrm>
                      <a:prstGeom prst="ellipse">
                        <a:avLst/>
                      </a:prstGeom>
                      <a:solidFill>
                        <a:srgbClr val="2A78D6"/>
                      </a:solidFill>
                      <a:ln w="10000" cap="rnd">
                        <a:solidFill>
                          <a:srgbClr val="FCFCFB"/>
                        </a:solidFill>
                      </a:ln>
                    </wps:spPr>
                    <wps:bodyPr rot="0" anchor="ctr" lIns="9000" tIns="0" rIns="9000" bIns="0" wrap="square">
                      <a:noAutofit/>
                    </wps:bodyPr>
                  </wps:wsp>
                  <wps:wsp>
                    <wps:cNvPr id="2167" name="Sekil-2168"/>
                    <wps:cNvSpPr txBox="1"/>
                    <wps:spPr>
                      <a:xfrm>
                        <a:off x="-20" y="22"/>
                        <a:ext cx="180" cy="16"/>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true"/>
                              <w:color w:val="0B0B0B"/>
                              <w:sz w:val="17"/>
                            </w:rPr>
                          </w:pPr>
                          <w:r>
                            <w:rPr>
                              <w:rFonts w:ascii="Times New Roman" w:hAnsi="Times New Roman"/>
                              <w:b w:val="true"/>
                              <w:color w:val="0B0B0B"/>
                              <w:sz w:val="17"/>
                            </w:rPr>
                            <w:t xml:space="preserve">20 Şubat 2014</w:t>
                          </w:r>
                        </w:p>
                      </w:txbxContent>
                    </wps:txbx>
                    <wps:bodyPr rot="0" anchor="ctr" lIns="9000" tIns="0" rIns="9000" bIns="0" wrap="square">
                      <a:noAutofit/>
                    </wps:bodyPr>
                  </wps:wsp>
                  <wps:wsp>
                    <wps:cNvPr id="2169" name="Sekil-2170"/>
                    <wps:cNvSpPr txBox="1"/>
                    <wps:spPr>
                      <a:xfrm>
                        <a:off x="-20" y="38"/>
                        <a:ext cx="180" cy="32"/>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Yürürlüğe giriş</w:t>
                          </w:r>
                        </w:p>
                      </w:txbxContent>
                    </wps:txbx>
                    <wps:bodyPr rot="0" anchor="ctr" lIns="9000" tIns="0" rIns="9000" bIns="0" wrap="square">
                      <a:noAutofit/>
                    </wps:bodyPr>
                  </wps:wsp>
                  <wps:wsp>
                    <wps:cNvPr id="2171" name="Sekil-2172"/>
                    <wps:cNvSpPr/>
                    <wps:spPr>
                      <a:xfrm>
                        <a:off x="141" y="75"/>
                        <a:ext cx="18" cy="18"/>
                      </a:xfrm>
                      <a:prstGeom prst="ellipse">
                        <a:avLst/>
                      </a:prstGeom>
                      <a:solidFill>
                        <a:srgbClr val="2A78D6"/>
                      </a:solidFill>
                      <a:ln w="10000" cap="rnd">
                        <a:solidFill>
                          <a:srgbClr val="FCFCFB"/>
                        </a:solidFill>
                      </a:ln>
                    </wps:spPr>
                    <wps:bodyPr rot="0" anchor="ctr" lIns="9000" tIns="0" rIns="9000" bIns="0" wrap="square">
                      <a:noAutofit/>
                    </wps:bodyPr>
                  </wps:wsp>
                  <wps:wsp>
                    <wps:cNvPr id="2173" name="Sekil-2174"/>
                    <wps:cNvSpPr txBox="1"/>
                    <wps:spPr>
                      <a:xfrm>
                        <a:off x="60" y="98"/>
                        <a:ext cx="180" cy="16"/>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true"/>
                              <w:color w:val="0B0B0B"/>
                              <w:sz w:val="17"/>
                            </w:rPr>
                          </w:pPr>
                          <w:r>
                            <w:rPr>
                              <w:rFonts w:ascii="Times New Roman" w:hAnsi="Times New Roman"/>
                              <w:b w:val="true"/>
                              <w:color w:val="0B0B0B"/>
                              <w:sz w:val="17"/>
                            </w:rPr>
                            <w:t xml:space="preserve">20 Şubat 2015</w:t>
                          </w:r>
                        </w:p>
                      </w:txbxContent>
                    </wps:txbx>
                    <wps:bodyPr rot="0" anchor="ctr" lIns="9000" tIns="0" rIns="9000" bIns="0" wrap="square">
                      <a:noAutofit/>
                    </wps:bodyPr>
                  </wps:wsp>
                  <wps:wsp>
                    <wps:cNvPr id="2175" name="Sekil-2176"/>
                    <wps:cNvSpPr txBox="1"/>
                    <wps:spPr>
                      <a:xfrm>
                        <a:off x="60" y="114"/>
                        <a:ext cx="180" cy="32"/>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Gerekliliklerin</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uygulanmaya başlaması</w:t>
                          </w:r>
                        </w:p>
                      </w:txbxContent>
                    </wps:txbx>
                    <wps:bodyPr rot="0" anchor="ctr" lIns="9000" tIns="0" rIns="9000" bIns="0" wrap="square">
                      <a:noAutofit/>
                    </wps:bodyPr>
                  </wps:wsp>
                  <wps:wsp>
                    <wps:cNvPr id="2177" name="Sekil-2178"/>
                    <wps:cNvSpPr/>
                    <wps:spPr>
                      <a:xfrm>
                        <a:off x="461" y="75"/>
                        <a:ext cx="18" cy="18"/>
                      </a:xfrm>
                      <a:prstGeom prst="ellipse">
                        <a:avLst/>
                      </a:prstGeom>
                      <a:solidFill>
                        <a:srgbClr val="EB6834"/>
                      </a:solidFill>
                      <a:ln w="10000" cap="rnd">
                        <a:solidFill>
                          <a:srgbClr val="FCFCFB"/>
                        </a:solidFill>
                      </a:ln>
                    </wps:spPr>
                    <wps:bodyPr rot="0" anchor="ctr" lIns="9000" tIns="0" rIns="9000" bIns="0" wrap="square">
                      <a:noAutofit/>
                    </wps:bodyPr>
                  </wps:wsp>
                  <wps:wsp>
                    <wps:cNvPr id="2179" name="Sekil-2180"/>
                    <wps:cNvSpPr txBox="1"/>
                    <wps:spPr>
                      <a:xfrm>
                        <a:off x="380" y="22"/>
                        <a:ext cx="180" cy="16"/>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true"/>
                              <w:color w:val="0B0B0B"/>
                              <w:sz w:val="17"/>
                            </w:rPr>
                          </w:pPr>
                          <w:r>
                            <w:rPr>
                              <w:rFonts w:ascii="Times New Roman" w:hAnsi="Times New Roman"/>
                              <w:b w:val="true"/>
                              <w:color w:val="0B0B0B"/>
                              <w:sz w:val="17"/>
                            </w:rPr>
                            <w:t xml:space="preserve">20 Şubat 2019</w:t>
                          </w:r>
                        </w:p>
                      </w:txbxContent>
                    </wps:txbx>
                    <wps:bodyPr rot="0" anchor="ctr" lIns="9000" tIns="0" rIns="9000" bIns="0" wrap="square">
                      <a:noAutofit/>
                    </wps:bodyPr>
                  </wps:wsp>
                  <wps:wsp>
                    <wps:cNvPr id="2181" name="Sekil-2182"/>
                    <wps:cNvSpPr txBox="1"/>
                    <wps:spPr>
                      <a:xfrm>
                        <a:off x="380" y="38"/>
                        <a:ext cx="180" cy="32"/>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Sıkı kademe:</w:t>
                          </w:r>
                        </w:p>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EEI kavite &lt; 96</w:t>
                          </w:r>
                        </w:p>
                      </w:txbxContent>
                    </wps:txbx>
                    <wps:bodyPr rot="0" anchor="ctr" lIns="9000" tIns="0" rIns="9000" bIns="0" wrap="square">
                      <a:noAutofit/>
                    </wps:bodyPr>
                  </wps:wsp>
                  <wps:wsp>
                    <wps:cNvPr id="2183" name="Sekil-2184"/>
                    <wps:cNvSpPr txBox="1"/>
                    <wps:spPr>
                      <a:xfrm>
                        <a:off x="470" y="110"/>
                        <a:ext cx="150" cy="30"/>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EB6834"/>
                              <w:sz w:val="16"/>
                            </w:rPr>
                          </w:pPr>
                          <w:r>
                            <w:rPr>
                              <w:rFonts w:ascii="Times New Roman" w:hAnsi="Times New Roman"/>
                              <w:b w:val="false"/>
                              <w:color w:val="EB6834"/>
                              <w:sz w:val="16"/>
                            </w:rPr>
                            <w:t xml:space="preserve">EEI &lt; 96 zorunlu</w:t>
                          </w:r>
                        </w:p>
                      </w:txbxContent>
                    </wps:txbx>
                    <wps:bodyPr rot="0" anchor="ctr" lIns="9000" tIns="0" rIns="9000" bIns="0" wrap="square">
                      <a:noAutofit/>
                    </wps:bodyPr>
                  </wps:wsp>
                  <wps:wsp>
                    <wps:cNvPr id="2185" name="Sekil-2186"/>
                    <wps:cNvSpPr txBox="1"/>
                    <wps:spPr>
                      <a:xfrm>
                        <a:off x="40" y="152"/>
                        <a:ext cx="60" cy="14"/>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2014</w:t>
                          </w:r>
                        </w:p>
                      </w:txbxContent>
                    </wps:txbx>
                    <wps:bodyPr rot="0" anchor="ctr" lIns="9000" tIns="0" rIns="9000" bIns="0" wrap="square">
                      <a:noAutofit/>
                    </wps:bodyPr>
                  </wps:wsp>
                  <wps:wsp>
                    <wps:cNvPr id="2187" name="Sekil-2188"/>
                    <wps:cNvSpPr txBox="1"/>
                    <wps:spPr>
                      <a:xfrm>
                        <a:off x="120" y="152"/>
                        <a:ext cx="60" cy="14"/>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2015</w:t>
                          </w:r>
                        </w:p>
                      </w:txbxContent>
                    </wps:txbx>
                    <wps:bodyPr rot="0" anchor="ctr" lIns="9000" tIns="0" rIns="9000" bIns="0" wrap="square">
                      <a:noAutofit/>
                    </wps:bodyPr>
                  </wps:wsp>
                  <wps:wsp>
                    <wps:cNvPr id="2189" name="Sekil-2190"/>
                    <wps:cNvSpPr txBox="1"/>
                    <wps:spPr>
                      <a:xfrm>
                        <a:off x="200" y="152"/>
                        <a:ext cx="60" cy="14"/>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2016</w:t>
                          </w:r>
                        </w:p>
                      </w:txbxContent>
                    </wps:txbx>
                    <wps:bodyPr rot="0" anchor="ctr" lIns="9000" tIns="0" rIns="9000" bIns="0" wrap="square">
                      <a:noAutofit/>
                    </wps:bodyPr>
                  </wps:wsp>
                  <wps:wsp>
                    <wps:cNvPr id="2191" name="Sekil-2192"/>
                    <wps:cNvSpPr txBox="1"/>
                    <wps:spPr>
                      <a:xfrm>
                        <a:off x="280" y="152"/>
                        <a:ext cx="60" cy="14"/>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2017</w:t>
                          </w:r>
                        </w:p>
                      </w:txbxContent>
                    </wps:txbx>
                    <wps:bodyPr rot="0" anchor="ctr" lIns="9000" tIns="0" rIns="9000" bIns="0" wrap="square">
                      <a:noAutofit/>
                    </wps:bodyPr>
                  </wps:wsp>
                  <wps:wsp>
                    <wps:cNvPr id="2193" name="Sekil-2194"/>
                    <wps:cNvSpPr txBox="1"/>
                    <wps:spPr>
                      <a:xfrm>
                        <a:off x="360" y="152"/>
                        <a:ext cx="60" cy="14"/>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2018</w:t>
                          </w:r>
                        </w:p>
                      </w:txbxContent>
                    </wps:txbx>
                    <wps:bodyPr rot="0" anchor="ctr" lIns="9000" tIns="0" rIns="9000" bIns="0" wrap="square">
                      <a:noAutofit/>
                    </wps:bodyPr>
                  </wps:wsp>
                  <wps:wsp>
                    <wps:cNvPr id="2195" name="Sekil-2196"/>
                    <wps:cNvSpPr txBox="1"/>
                    <wps:spPr>
                      <a:xfrm>
                        <a:off x="440" y="152"/>
                        <a:ext cx="60" cy="14"/>
                      </a:xfrm>
                      <a:prstGeom prst="rect">
                        <a:avLst/>
                      </a:prstGeom>
                      <a:noFill/>
                      <a:ln>
                        <a:noFill/>
                      </a:ln>
                    </wps:spPr>
                    <wps:txbx>
                      <w:txbxContent xmlns:w="http://schemas.openxmlformats.org/wordprocessingml/2006/main">
                        <w:p>
                          <w:pPr>
                            <w:spacing w:before="0" w:after="0" w:line="240" w:lineRule="auto"/>
                            <w:jc w:val="center"/>
                            <w:rPr>
                              <w:rFonts w:ascii="Times New Roman" w:hAnsi="Times New Roman"/>
                              <w:b w:val="false"/>
                              <w:color w:val="52514E"/>
                              <w:sz w:val="16"/>
                            </w:rPr>
                          </w:pPr>
                          <w:r>
                            <w:rPr>
                              <w:rFonts w:ascii="Times New Roman" w:hAnsi="Times New Roman"/>
                              <w:b w:val="false"/>
                              <w:color w:val="52514E"/>
                              <w:sz w:val="16"/>
                            </w:rPr>
                            <w:t xml:space="preserve">2019</w:t>
                          </w:r>
                        </w:p>
                      </w:txbxContent>
                    </wps:txbx>
                    <wps:bodyPr rot="0" anchor="ctr" lIns="9000" tIns="0" rIns="9000" bIns="0" wrap="square">
                      <a:noAutofit/>
                    </wps:bodyPr>
                  </wps:wsp>
                </wpg:wgp>
              </a:graphicData>
            </a:graphic>
          </wp:inline>
        </w:drawing>
      </w:r>
    </w:p>
    <w:p>
      <w:pPr>
        <w:spacing w:after="200" w:before="0" w:line="276" w:lineRule="auto"/>
        <w:jc w:val="center"/>
      </w:pPr>
      <w:r>
        <w:rPr>
          <w:rFonts w:ascii="Times New Roman" w:hAnsi="Times New Roman" w:eastAsia="Times New Roman"/>
          <w:b w:val="0"/>
          <w:i/>
          <w:sz w:val="18"/>
        </w:rPr>
        <w:t>Şekil 6. Ev tipi fırınlar için AB ekotasarım gerekliliklerinin yürürlük takvimi ve 2019'da devreye giren sıkı EEI kademesi [3]. Enerji etiketlemesi aynı tarihlerde Komisyon Delege Tüzüğü (AB) No 65/2014 ile düzenlenmiştir [4].</w:t>
      </w:r>
    </w:p>
    <w:p>
      <w:pPr>
        <w:pStyle w:val="Heading2"/>
        <w:spacing w:before="200" w:after="120"/>
      </w:pPr>
      <w:r>
        <w:rPr>
          <w:rFonts w:ascii="Times New Roman" w:hAnsi="Times New Roman" w:eastAsia="Times New Roman"/>
          <w:b/>
          <w:color w:val="1A1A1A"/>
          <w:sz w:val="24"/>
        </w:rPr>
        <w:t>7.2. Enerji tüketimini etkileyen tasarım faktörleri</w:t>
      </w:r>
    </w:p>
    <w:p>
      <w:pPr>
        <w:spacing w:after="120" w:before="0" w:line="276" w:lineRule="auto"/>
        <w:jc w:val="both"/>
      </w:pPr>
      <w:r>
        <w:rPr>
          <w:rFonts w:ascii="Times New Roman" w:hAnsi="Times New Roman" w:eastAsia="Times New Roman"/>
          <w:b w:val="0"/>
          <w:i w:val="0"/>
          <w:sz w:val="22"/>
        </w:rPr>
        <w:t>Fırının enerji tüketimini yalnızca rezistans gücü belirlemez; kaviteden dışarıya kaçan ısının büyüklüğü ve dağılımı da en az o kadar etkilidir.</w:t>
      </w:r>
    </w:p>
    <w:p>
      <w:pPr>
        <w:spacing w:after="120" w:before="0" w:line="276" w:lineRule="auto"/>
        <w:jc w:val="both"/>
      </w:pPr>
      <w:r>
        <w:rPr>
          <w:rFonts w:ascii="Times New Roman" w:hAnsi="Times New Roman" w:eastAsia="Times New Roman"/>
          <w:b w:val="0"/>
          <w:i w:val="0"/>
          <w:sz w:val="22"/>
        </w:rPr>
        <w:t>Altun ve ark. [7] fırın kapağının enerji tüketimine etkisini deneysel olarak inceledi. Kapak camı sayısı, cam arası boşluk ve sızdırmazlık kalitesi tüketime yansır; çalışmada ön cam iç yüzeyine uygulanan alüminyum kaplamayla ölçülebilir bir enerji tasarrufu ve EEI iyileşmesi elde edildi. Kayıp kalemleri arasındaki ayrım burada önemlidir: kapaktan ışınımla kaçan enerji, duvarlardan iletimle kaçan enerji ve sızıntı (infiltrasyon) kayıpları farklı tasarım müdahalelerine yanıt verir ve etkileri toplanabilir değildir. Smolka ve ark. [44] yalıtımlı duvarlardaki iletimi, kavite havasındaki taşınımı ve duvarlar arası ışınımı tek bir modelde birleştirerek bu kalemlerin ayrıştırılabileceğini gösterdi; duvar emisivitelerini ve U biçimli rezistansların sınır sıcaklıklarını deneysel olarak belirleyerek modeli doğruladı.</w:t>
      </w:r>
    </w:p>
    <w:p>
      <w:pPr>
        <w:spacing w:after="120" w:before="0" w:line="276" w:lineRule="auto"/>
        <w:jc w:val="both"/>
      </w:pPr>
      <w:r>
        <w:rPr>
          <w:rFonts w:ascii="Times New Roman" w:hAnsi="Times New Roman" w:eastAsia="Times New Roman"/>
          <w:b w:val="0"/>
          <w:i w:val="0"/>
          <w:sz w:val="22"/>
        </w:rPr>
        <w:t>Burhan ve ark. [14] farklı gövde yalıtım malzemelerinin kabin içi sıcaklık dağılımı üzerindeki etkisini inceledi. Yalıtım malzemesi yalnızca ısı kaybını azaltmaz, kavite duvar sıcaklıklarını da değiştirir. Duvar sıcaklığı değişince ışınım alışverişi de değişir, dolayısıyla sıcaklık homojenliği etkilenir. Enerji verimliliği ile sıcaklık homojenliği arasındaki ilişki, görüldüğü gibi, tek yönlü değildir. Homojenliği artıran bir tasarım değişikliği bazen enerji tüketimini de düşürür, bazen ek maliyet getirir. Keyfoğlu ve Kırmızıgöl [6] da ısıl verimlilik odaklı çalışmalarında ısı kayıplarının ve yüzey emisivitelerinin EEI üzerindeki etkisini sayısal olarak gösterdi.</w:t>
      </w:r>
    </w:p>
    <w:p>
      <w:pPr>
        <w:spacing w:after="120" w:before="0" w:line="276" w:lineRule="auto"/>
        <w:jc w:val="both"/>
      </w:pPr>
      <w:r>
        <w:rPr>
          <w:rFonts w:ascii="Times New Roman" w:hAnsi="Times New Roman" w:eastAsia="Times New Roman"/>
          <w:b w:val="0"/>
          <w:i w:val="0"/>
          <w:sz w:val="22"/>
        </w:rPr>
        <w:t>Smolka ve ark. [30] aynı deneysel olarak doğrulanmış üç boyutlu HAD modeli [44] üzerinden genetik algoritma ile kavite geometrisini optimize etti. Hava giriş-çıkış noktalarını ve kavite şeklini değiştirerek, fan olmadan daha homojen bir sıcaklık alanı elde ettiler. Fansız çalışmanın enerji açısından avantajı açıktır: fan motorunun kendisi de enerji harcar ve bu tüketim toplam EEI hesabına dâhildir. Şahin [29] ise Taguchi yöntemiyle tasarım parametrelerini sistematik biçimde değerlendirerek hem enerji tüketimini hem sıcaklık homojenliğini eş zamanlı iyileştirmeyi amaçladı; çok amaçlı yaklaşımın tek metriğe odaklanan çalışmalara göre daha dengeli sonuçlar ürettiğini gösterdi. Khatir ve ark. [32] ticari ekmek pişirme hatlarında enerji ısıl yönetimini Pareto tabanlı bir çerçevede ele alarak aynı ilkeyi endüstriyel ölçekte uyguladı.</w:t>
      </w:r>
    </w:p>
    <w:p>
      <w:pPr>
        <w:pStyle w:val="Heading2"/>
        <w:spacing w:before="200" w:after="120"/>
      </w:pPr>
      <w:r>
        <w:rPr>
          <w:rFonts w:ascii="Times New Roman" w:hAnsi="Times New Roman" w:eastAsia="Times New Roman"/>
          <w:b/>
          <w:color w:val="1A1A1A"/>
          <w:sz w:val="24"/>
        </w:rPr>
        <w:t>7.3. HAD'a tamamlayıcı yaklaşım: düşük mertebeli dinamik modeller</w:t>
      </w:r>
    </w:p>
    <w:p>
      <w:pPr>
        <w:spacing w:after="120" w:before="0" w:line="276" w:lineRule="auto"/>
        <w:jc w:val="both"/>
      </w:pPr>
      <w:r>
        <w:rPr>
          <w:rFonts w:ascii="Times New Roman" w:hAnsi="Times New Roman" w:eastAsia="Times New Roman"/>
          <w:b w:val="0"/>
          <w:i w:val="0"/>
          <w:sz w:val="22"/>
        </w:rPr>
        <w:t>Enerji tüketiminin bir pişirme çevrimi boyunca zamana bağlı analizi HAD ile yapıldığında hesaplama maliyeti ağırdır. Ramirez-Laboreo ve ark. [39] elektrikli bir fırın ile içindeki yükü toplu parametreli (lumped) bir yapıyla temsil eden dinamik bir ısı ve kütle transferi modeli önerdi. Model, cihazın ve yükün ana bileşenlerini ayrıştırarak rezistansların ve ürün içinin ısıl dinamiğini yeniden üretir. Bu tür modeller kavite içi alan bilgisi vermez; buna karşılık kontrol stratejisi geliştirme, çevrim düzeyinde enerji analizi ve EEI testinin sanal ortamda tekrarlanması gibi görevlerde HAD'a güçlü bir tamamlayıcıdır. HAD ile elde edilen yerel ısı taşınım katsayısı alanlarının bu düşük mertebeli modellere girdi olarak aktarılması, literatürde henüz sistematik biçimde denenmemiş verimli bir birleşim önerisidir (bkz. Bölüm 10).</w:t>
      </w:r>
    </w:p>
    <w:p>
      <w:pPr>
        <w:pStyle w:val="Heading1"/>
        <w:spacing w:before="280" w:after="120"/>
      </w:pPr>
      <w:r>
        <w:rPr>
          <w:rFonts w:ascii="Times New Roman" w:hAnsi="Times New Roman" w:eastAsia="Times New Roman"/>
          <w:b/>
          <w:color w:val="1A1A1A"/>
          <w:sz w:val="28"/>
        </w:rPr>
        <w:t>8. SICAKLIK HOMOJENLİĞİ METRİKLERİ</w:t>
      </w:r>
    </w:p>
    <w:p>
      <w:pPr>
        <w:spacing w:after="120" w:before="0" w:line="276" w:lineRule="auto"/>
        <w:jc w:val="both"/>
      </w:pPr>
      <w:r>
        <w:rPr>
          <w:rFonts w:ascii="Times New Roman" w:hAnsi="Times New Roman" w:eastAsia="Times New Roman"/>
          <w:b w:val="0"/>
          <w:i w:val="0"/>
          <w:sz w:val="22"/>
        </w:rPr>
        <w:t>Fırın performansını değerlendirmek için sayısal bir ölçüte ihtiyaç vardır. Sıcaklık homojenliği sezgisel olarak anlaşılır bir kavram olsa da farklı çalışmalar bunu farklı biçimlerde nicelleştirmiştir.</w:t>
      </w:r>
    </w:p>
    <w:p>
      <w:pPr>
        <w:pStyle w:val="Heading2"/>
        <w:spacing w:before="200" w:after="120"/>
      </w:pPr>
      <w:r>
        <w:rPr>
          <w:rFonts w:ascii="Times New Roman" w:hAnsi="Times New Roman" w:eastAsia="Times New Roman"/>
          <w:b/>
          <w:color w:val="1A1A1A"/>
          <w:sz w:val="24"/>
        </w:rPr>
        <w:t>8.1. Sıcaklık tabanlı ölçütler</w:t>
      </w:r>
    </w:p>
    <w:p>
      <w:pPr>
        <w:spacing w:after="120" w:before="0" w:line="276" w:lineRule="auto"/>
        <w:jc w:val="both"/>
      </w:pPr>
      <w:r>
        <w:rPr>
          <w:rFonts w:ascii="Times New Roman" w:hAnsi="Times New Roman" w:eastAsia="Times New Roman"/>
          <w:b w:val="0"/>
          <w:i w:val="0"/>
          <w:sz w:val="22"/>
        </w:rPr>
        <w:t>En temel yaklaşım kavite içinde birden fazla noktadan sıcaklık ölçüp bu değerlerin standart sapmasını hesaplamaktır. Yang ve ark. [8] 13 noktadan ölçüm alarak noktalar arası farkın 10 °C'yi aşabildiğini saptadı. Pala ve ark. [10] ise farklı raflardaki tepsiler arasında, kaynakta bağıl sapma olarak bildirilen %12,76 düzeyinde bir fark kaydetti.</w:t>
      </w:r>
    </w:p>
    <w:p>
      <w:pPr>
        <w:spacing w:after="120" w:before="0" w:line="276" w:lineRule="auto"/>
        <w:jc w:val="both"/>
      </w:pPr>
      <w:r>
        <w:rPr>
          <w:rFonts w:ascii="Times New Roman" w:hAnsi="Times New Roman" w:eastAsia="Times New Roman"/>
          <w:b w:val="0"/>
          <w:i w:val="0"/>
          <w:sz w:val="22"/>
        </w:rPr>
        <w:t>Standart sapma yaygın kullanılır fakat tek başına yeterli değildir; sıcaklık dağılımının mekânsal yapısını yansıtmaz. Aynı standart sapmaya sahip iki kavite tamamen farklı pişirme sonuçları verebilir: birinde sıcak ve soğuk bölgeler büyük alanlar hâlinde ayrışırken, diğerinde küçük ve dağınık olabilir. Önal ve ark. [13] bu sınırlamayı göz önünde bulundurarak sıcaklık homojenliğini hem standart sapma hem ortalamadan sapma yüzdesi üzerinden değerlendirdi.</w:t>
      </w:r>
    </w:p>
    <w:p>
      <w:pPr>
        <w:spacing w:after="120" w:before="0" w:line="276" w:lineRule="auto"/>
        <w:jc w:val="both"/>
      </w:pPr>
      <w:r>
        <w:rPr>
          <w:rFonts w:ascii="Times New Roman" w:hAnsi="Times New Roman" w:eastAsia="Times New Roman"/>
          <w:b w:val="0"/>
          <w:i w:val="0"/>
          <w:sz w:val="22"/>
        </w:rPr>
        <w:t>HAD simülasyonlarının burada deneysel ölçümlere göre belirgin bir avantajı vardır. Deneyde kaviteye ancak sınırlı sayıda termokupl yerleştirilebilir, bu yüzden ölçüm noktaları arasındaki bölgeler hakkında doğrudan bilgi elde edilemez. Simülasyonda ise kavite hacminin tamamında sıcaklık alanı hesaplanır ve bu alan üzerinden standart sapma, varyasyon katsayısı, maksimum-minimum fark ve homojenlik indeksi gibi metriklerin hepsi hesaplanabilir [8], [13].</w:t>
      </w:r>
    </w:p>
    <w:p>
      <w:pPr>
        <w:pStyle w:val="Heading2"/>
        <w:spacing w:before="200" w:after="120"/>
      </w:pPr>
      <w:r>
        <w:rPr>
          <w:rFonts w:ascii="Times New Roman" w:hAnsi="Times New Roman" w:eastAsia="Times New Roman"/>
          <w:b/>
          <w:color w:val="1A1A1A"/>
          <w:sz w:val="24"/>
        </w:rPr>
        <w:t>8.2. Pişirme tabanlı ölçütler</w:t>
      </w:r>
    </w:p>
    <w:p>
      <w:pPr>
        <w:spacing w:after="120" w:before="0" w:line="276" w:lineRule="auto"/>
        <w:jc w:val="both"/>
      </w:pPr>
      <w:r>
        <w:rPr>
          <w:rFonts w:ascii="Times New Roman" w:hAnsi="Times New Roman" w:eastAsia="Times New Roman"/>
          <w:b w:val="0"/>
          <w:i w:val="0"/>
          <w:sz w:val="22"/>
        </w:rPr>
        <w:t>Park ve Lee [17] sıcaklık ölçümlerine dayanmak yerine pişirme sonucunu ölçen bir metrik kullandı. Esmerleşme homojenliği indeksi (UBI), ekmek yüzeyindeki renk dağılımının ne kadar düzgün olduğunu nicelleştirir ve sonlu elemanlar analiziyle deneysel değerlendirme maliyetini düşürmeyi amaçlar.</w:t>
      </w:r>
    </w:p>
    <w:p>
      <w:pPr>
        <w:spacing w:after="120" w:before="0" w:line="276" w:lineRule="auto"/>
        <w:jc w:val="both"/>
      </w:pPr>
      <w:r>
        <w:rPr>
          <w:rFonts w:ascii="Times New Roman" w:hAnsi="Times New Roman" w:eastAsia="Times New Roman"/>
          <w:b w:val="0"/>
          <w:i w:val="0"/>
          <w:sz w:val="22"/>
        </w:rPr>
        <w:t>UBI'nin sıcaklık tabanlı metriklere göre üstünlüğü, nihai ürün kalitesini birebir yansıtmasıdır. Kavite içinde sıcaklık dağılımı düzgün görünse bile, akış yapısı nedeniyle gıda yüzeyindeki konvektif katsayı homojen olmayabilir; gıda yüzeyinin her noktası aynı ısı akısını almaz ve bu fark sıcaklık homojenliği metriklerinde görünmeyebilir. Purlis [38] esmerleşmenin sıcaklık, nem ve süreye bağlı bir kinetik süreç olduğunu göstererek bu ayrımın kimyasal temelini ortaya koydu: yüzey rengi, anlık sıcaklığın değil, maruz kalınan ısı ve kütle transferi geçmişinin bir fonksiyonudur.</w:t>
      </w:r>
    </w:p>
    <w:p>
      <w:pPr>
        <w:spacing w:after="120" w:before="0" w:line="276" w:lineRule="auto"/>
        <w:jc w:val="both"/>
      </w:pPr>
      <w:r>
        <w:rPr>
          <w:rFonts w:ascii="Times New Roman" w:hAnsi="Times New Roman" w:eastAsia="Times New Roman"/>
          <w:b w:val="0"/>
          <w:i w:val="0"/>
          <w:sz w:val="22"/>
        </w:rPr>
        <w:t>Timur ve ark. [9] ticari fırınlarda fan parametrelerinin pişirme sürecine etkisini değerlendirirken hem termokupl ölçümlerini hem pişirme testlerini birlikte kullandı. Bilen ve ark. [16] da FKS tasarım değişikliklerinin kek pişirme performansına etkisini gözlemledi. Her iki çalışma sıcaklık verisinin tek başına pişirme kalitesini öngöremeyeceğini ortaya koyar. Kapsamlı bir performans değerlendirmesi bu nedenle hem sıcaklık tabanlı hem pişirme tabanlı metrikleri içermelidir.</w:t>
      </w:r>
    </w:p>
    <w:p>
      <w:pPr>
        <w:spacing w:after="120" w:before="0" w:line="276" w:lineRule="auto"/>
        <w:jc w:val="both"/>
      </w:pPr>
      <w:r>
        <w:rPr>
          <w:rFonts w:ascii="Times New Roman" w:hAnsi="Times New Roman" w:eastAsia="Times New Roman"/>
          <w:b w:val="0"/>
          <w:i w:val="0"/>
          <w:sz w:val="22"/>
        </w:rPr>
        <w:t>EN IEC 60350-1 standardındaki ıslak tuğla ısıtma testi de bir performans ölçütü olarak kullanılabilir [5]. Standart koşullarda belirli bir sıcaklığa ulaşmak için harcanan enerji ve süre ölçülür; test hem enerji verimliliği hem ısıtma performansı hakkında bilgi verir. Altun ve ark. [7] tasarım değişikliklerinin etkisini bu standart test üzerinden değerlendirdi.</w:t>
      </w:r>
    </w:p>
    <w:p>
      <w:pPr>
        <w:pStyle w:val="Heading2"/>
        <w:spacing w:before="200" w:after="120"/>
      </w:pPr>
      <w:r>
        <w:rPr>
          <w:rFonts w:ascii="Times New Roman" w:hAnsi="Times New Roman" w:eastAsia="Times New Roman"/>
          <w:b/>
          <w:color w:val="1A1A1A"/>
          <w:sz w:val="24"/>
        </w:rPr>
        <w:t>8.3. Metrik seçiminin optimizasyon sonucuna etkisi</w:t>
      </w:r>
    </w:p>
    <w:p>
      <w:pPr>
        <w:spacing w:after="120" w:before="0" w:line="276" w:lineRule="auto"/>
        <w:jc w:val="both"/>
      </w:pPr>
      <w:r>
        <w:rPr>
          <w:rFonts w:ascii="Times New Roman" w:hAnsi="Times New Roman" w:eastAsia="Times New Roman"/>
          <w:b w:val="0"/>
          <w:i w:val="0"/>
          <w:sz w:val="22"/>
        </w:rPr>
        <w:t>Amaç fonksiyonu seçimi optimizasyon sonucunu belirler. Yalnızca standart sapma minimize edilirse homojenlik artabilir ama ortalama sıcaklık hedeften sapabilir; yalnızca ortalama sıcaklık hedeflenirse dağılımın yapısı gözden kaçar. Yang ve ark. [8] sıcaklık homojenliği indeksini amaç fonksiyonu olarak kullanarak fan devir sayısı ile kavite geometrisini bu indeksi minimize edecek biçimde ayarladı. Khatir ve ark. [31] ise en az üç hedefi (homojenlik, enerji, üretilebilirlik) aynı anda gözeterek Pareto cephesi üreten bir çerçeve kurdu; bu yaklaşımda tasarımcıya tek bir optimum değil, hedefler arasındaki ödünleşmeyi gösteren bir çözüm kümesi sunulur.</w:t>
      </w:r>
    </w:p>
    <w:p>
      <w:pPr>
        <w:spacing w:after="120" w:before="0" w:line="276" w:lineRule="auto"/>
        <w:jc w:val="both"/>
      </w:pPr>
      <w:r>
        <w:rPr>
          <w:rFonts w:ascii="Times New Roman" w:hAnsi="Times New Roman" w:eastAsia="Times New Roman"/>
          <w:b w:val="0"/>
          <w:i w:val="0"/>
          <w:sz w:val="22"/>
        </w:rPr>
        <w:t>Pratik öneri şudur: sıcaklık tabanlı bir metrik optimizasyon döngüsünde amaç fonksiyonu olarak, pişirme tabanlı bir metrik ise nihai doğrulamada kabul ölçütü olarak kullanılmalıdır. Sıcaklık metrikleri ucuz ve türevlenebilirdir, dolayısıyla arama sürecine uygundur. UBI gibi pişirme metrikleri pahalıdır ancak kullanıcının algıladığı kaliteyle birebir ilişkilidir.</w:t>
      </w:r>
    </w:p>
    <w:p>
      <w:pPr>
        <w:spacing w:after="120" w:before="0" w:line="276" w:lineRule="auto"/>
        <w:jc w:val="both"/>
      </w:pPr>
      <w:r>
        <w:rPr>
          <w:rFonts w:ascii="Times New Roman" w:hAnsi="Times New Roman" w:eastAsia="Times New Roman"/>
          <w:b w:val="0"/>
          <w:i w:val="0"/>
          <w:sz w:val="22"/>
        </w:rPr>
        <w:t>Bu bölümde ele alınan metriklerin karşılaştırması Tablo 7'dedir.</w:t>
      </w:r>
    </w:p>
    <w:p>
      <w:pPr>
        <w:spacing w:after="60" w:before="160" w:line="276" w:lineRule="auto"/>
      </w:pPr>
      <w:r>
        <w:rPr>
          <w:rFonts w:ascii="Times New Roman" w:hAnsi="Times New Roman" w:eastAsia="Times New Roman"/>
          <w:b/>
          <w:i w:val="0"/>
          <w:sz w:val="18"/>
        </w:rPr>
        <w:t>Tablo 7. Sıcaklık homojenliği ve pişirme performansı metriklerinin karşılaştırması.</w:t>
      </w:r>
    </w:p>
    <w:tbl>
      <w:tblPr>
        <w:tblW w:type="auto" w:w="0"/>
        <w:jc w:val="center"/>
        <w:tblLayout w:type="fixed"/>
        <w:tblLook w:firstColumn="1" w:firstRow="1" w:lastColumn="0" w:lastRow="0" w:noHBand="0" w:noVBand="1" w:val="04A0"/>
      </w:tblPr>
      <w:tblGrid>
        <w:gridCol w:w="1587"/>
        <w:gridCol w:w="2041"/>
        <w:gridCol w:w="1814"/>
        <w:gridCol w:w="1927"/>
        <w:gridCol w:w="1701"/>
      </w:tblGrid>
      <w:tr>
        <w:tc>
          <w:tcPr>
            <w:tcW w:type="dxa" w:w="158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Metrik</w:t>
            </w:r>
          </w:p>
        </w:tc>
        <w:tc>
          <w:tcPr>
            <w:tcW w:type="dxa" w:w="204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Nasıl elde edilir</w:t>
            </w:r>
          </w:p>
        </w:tc>
        <w:tc>
          <w:tcPr>
            <w:tcW w:type="dxa" w:w="181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Güçlü yönü</w:t>
            </w:r>
          </w:p>
        </w:tc>
        <w:tc>
          <w:tcPr>
            <w:tcW w:type="dxa" w:w="1928"/>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Sınırlılığı</w:t>
            </w:r>
          </w:p>
        </w:tc>
        <w:tc>
          <w:tcPr>
            <w:tcW w:type="dxa" w:w="170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Bu derlemede kullanan</w:t>
            </w:r>
          </w:p>
        </w:tc>
      </w:tr>
      <w:tr>
        <w:tc>
          <w:tcPr>
            <w:tcW w:type="dxa" w:w="158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Noktalar arası maksimum fark</w:t>
            </w:r>
          </w:p>
        </w:tc>
        <w:tc>
          <w:tcPr>
            <w:tcW w:type="dxa" w:w="204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 dizisinden en yüksek ve en düşük değerin farkı</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Yorumu kolay, doğrudan ölçülebilir</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Yalnızca iki uç noktaya duyarlıdır</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[8]</w:t>
            </w:r>
          </w:p>
        </w:tc>
      </w:tr>
      <w:tr>
        <w:tc>
          <w:tcPr>
            <w:tcW w:type="dxa" w:w="158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Standart sapma</w:t>
            </w:r>
          </w:p>
        </w:tc>
        <w:tc>
          <w:tcPr>
            <w:tcW w:type="dxa" w:w="204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Ölçüm noktalarından veya HAD sıcaklık alanından</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Yaygın, çalışmalar arası karşılaştırılabilir</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Dağılımın mekânsal yapısını yansıtmaz</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[8], [13]</w:t>
            </w:r>
          </w:p>
        </w:tc>
      </w:tr>
      <w:tr>
        <w:tc>
          <w:tcPr>
            <w:tcW w:type="dxa" w:w="158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Ortalamadan bağıl sapma</w:t>
            </w:r>
          </w:p>
        </w:tc>
        <w:tc>
          <w:tcPr>
            <w:tcW w:type="dxa" w:w="204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Sapmanın ortalama sıcaklığa oranı</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Ölçekten bağımsız</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Referansın tanımına duyarlıdır</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[13], [10]</w:t>
            </w:r>
          </w:p>
        </w:tc>
      </w:tr>
      <w:tr>
        <w:tc>
          <w:tcPr>
            <w:tcW w:type="dxa" w:w="158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Sıcaklık homojenliği indeksi</w:t>
            </w:r>
          </w:p>
        </w:tc>
        <w:tc>
          <w:tcPr>
            <w:tcW w:type="dxa" w:w="204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HAD hacim alanından türetilir</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Optimizasyonda amaç fonksiyonu olabilir</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Tanımı çalışmadan çalışmaya değişir</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[8]</w:t>
            </w:r>
          </w:p>
        </w:tc>
      </w:tr>
      <w:tr>
        <w:tc>
          <w:tcPr>
            <w:tcW w:type="dxa" w:w="158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Esmerleşme homojenliği indeksi (UBI)</w:t>
            </w:r>
          </w:p>
        </w:tc>
        <w:tc>
          <w:tcPr>
            <w:tcW w:type="dxa" w:w="204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Ürün yüzeyindeki renk dağılımından</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Nihai ürün kalitesini birebir yansıtır</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Pahalı; hammadde değişkenliğine açık</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[17], [38]</w:t>
            </w:r>
          </w:p>
        </w:tc>
      </w:tr>
      <w:tr>
        <w:tc>
          <w:tcPr>
            <w:tcW w:type="dxa" w:w="158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 IEC 60350-1 ıslak tuğla testi</w:t>
            </w:r>
          </w:p>
        </w:tc>
        <w:tc>
          <w:tcPr>
            <w:tcW w:type="dxa" w:w="204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Standart yükü ısıtmak için harcanan enerji ve süre</w:t>
            </w:r>
          </w:p>
        </w:tc>
        <w:tc>
          <w:tcPr>
            <w:tcW w:type="dxa" w:w="181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Laboratuvarlar arası karşılaştırılabilir</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Homojenliği değil enerji tüketimini ölçer</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[5], [7]</w:t>
            </w:r>
          </w:p>
        </w:tc>
      </w:tr>
    </w:tbl>
    <w:p>
      <w:pPr>
        <w:spacing w:after="160" w:before="0" w:line="276" w:lineRule="auto"/>
      </w:pPr>
    </w:p>
    <w:p>
      <w:pPr>
        <w:pStyle w:val="Heading1"/>
        <w:spacing w:before="280" w:after="120"/>
      </w:pPr>
      <w:r>
        <w:rPr>
          <w:rFonts w:ascii="Times New Roman" w:hAnsi="Times New Roman" w:eastAsia="Times New Roman"/>
          <w:b/>
          <w:color w:val="1A1A1A"/>
          <w:sz w:val="28"/>
        </w:rPr>
        <w:t>9. DENEYSEL DOĞRULAMA YÖNTEMLERİ</w:t>
      </w:r>
    </w:p>
    <w:p>
      <w:pPr>
        <w:spacing w:after="120" w:before="0" w:line="276" w:lineRule="auto"/>
        <w:jc w:val="both"/>
      </w:pPr>
      <w:r>
        <w:rPr>
          <w:rFonts w:ascii="Times New Roman" w:hAnsi="Times New Roman" w:eastAsia="Times New Roman"/>
          <w:b w:val="0"/>
          <w:i w:val="0"/>
          <w:sz w:val="22"/>
        </w:rPr>
        <w:t>HAD sonuçlarının mühendislik kararlarına temel oluşturabilmesi, modelin deneysel verilerle karşılaştırılmasına bağlıdır. Bu bölümde taranan literatürde kullanılan doğrulama yöntemleri ve bunların sınırlılıkları ele alınmaktadır.</w:t>
      </w:r>
    </w:p>
    <w:p>
      <w:pPr>
        <w:pStyle w:val="Heading2"/>
        <w:spacing w:before="200" w:after="120"/>
      </w:pPr>
      <w:r>
        <w:rPr>
          <w:rFonts w:ascii="Times New Roman" w:hAnsi="Times New Roman" w:eastAsia="Times New Roman"/>
          <w:b/>
          <w:color w:val="1A1A1A"/>
          <w:sz w:val="24"/>
        </w:rPr>
        <w:t>9.1. Sıcaklık ölçümü: termokupl yerleşimi ve belirsizlik</w:t>
      </w:r>
    </w:p>
    <w:p>
      <w:pPr>
        <w:spacing w:after="120" w:before="0" w:line="276" w:lineRule="auto"/>
        <w:jc w:val="both"/>
      </w:pPr>
      <w:r>
        <w:rPr>
          <w:rFonts w:ascii="Times New Roman" w:hAnsi="Times New Roman" w:eastAsia="Times New Roman"/>
          <w:b w:val="0"/>
          <w:i w:val="0"/>
          <w:sz w:val="22"/>
        </w:rPr>
        <w:t>Fırın doğrulama çalışmalarının neredeyse tamamı termokupl (genellikle K tipi) ölçümüne dayanır [8], [13], [15], [18]. Yöntemin yaygınlığı ucuzluğundan ve kolay uygulanabilirliğinden gelir. Üç sınırlılığı vardır.</w:t>
      </w:r>
    </w:p>
    <w:p>
      <w:pPr>
        <w:spacing w:after="120" w:before="0" w:line="276" w:lineRule="auto"/>
        <w:jc w:val="both"/>
      </w:pPr>
      <w:r>
        <w:rPr>
          <w:rFonts w:ascii="Times New Roman" w:hAnsi="Times New Roman" w:eastAsia="Times New Roman"/>
          <w:b w:val="0"/>
          <w:i w:val="0"/>
          <w:sz w:val="22"/>
        </w:rPr>
        <w:t>Birincisi uzamsal örnekleme sorunudur. Kaviteye yerleştirilebilen termokupl sayısı pratikte 5-15 arasındadır; Yang ve ark.'nın [8] 13 noktalı dizisi literatürdeki en yoğun örneklemelerden biridir. Bu, bir metreküpün onda biri mertebesindeki bir hacimde son derece seyrek bir örneklemedir ve ölü hacimler ile jet çarpma bölgeleri gibi keskin gradyanlı yapıların gözden kaçmasına yol açabilir. Modelin bu noktalarda deneyle uyuşması, tüm alanın doğru olduğu anlamına gelmez.</w:t>
      </w:r>
    </w:p>
    <w:p>
      <w:pPr>
        <w:spacing w:after="120" w:before="0" w:line="276" w:lineRule="auto"/>
        <w:jc w:val="both"/>
      </w:pPr>
      <w:r>
        <w:rPr>
          <w:rFonts w:ascii="Times New Roman" w:hAnsi="Times New Roman" w:eastAsia="Times New Roman"/>
          <w:b w:val="0"/>
          <w:i w:val="0"/>
          <w:sz w:val="22"/>
        </w:rPr>
        <w:t>İkincisi ışınım hatasıdır. Çıplak bir termokupl ucu, çevresindeki sıcak yüzeylerle (rezistanslar, kavite duvarları) ışınım alışverişine girer ve hava sıcaklığından sapan bir denge sıcaklığına ulaşır. 200 °C üzerindeki kavitelerde bu sapma birkaç dereceyi bulabilir. Kalkanlı veya emme tipi termokupllar hatayı azaltır, ancak taranan çalışmaların çoğunda kalkan kullanımı raporlanmamıştır.</w:t>
      </w:r>
    </w:p>
    <w:p>
      <w:pPr>
        <w:spacing w:after="120" w:before="0" w:line="276" w:lineRule="auto"/>
        <w:jc w:val="both"/>
      </w:pPr>
      <w:r>
        <w:rPr>
          <w:rFonts w:ascii="Times New Roman" w:hAnsi="Times New Roman" w:eastAsia="Times New Roman"/>
          <w:b w:val="0"/>
          <w:i w:val="0"/>
          <w:sz w:val="22"/>
        </w:rPr>
        <w:t>Üçüncüsü termokupl varlığının akışı bozmasıdır. Ölçüm probu ve kabloları, özellikle dar geçiş boşluklarında yerel akışı değiştirebilir.</w:t>
      </w:r>
    </w:p>
    <w:p>
      <w:pPr>
        <w:spacing w:after="120" w:before="0" w:line="276" w:lineRule="auto"/>
        <w:jc w:val="both"/>
      </w:pPr>
      <w:r>
        <w:rPr>
          <w:rFonts w:ascii="Times New Roman" w:hAnsi="Times New Roman" w:eastAsia="Times New Roman"/>
          <w:b w:val="0"/>
          <w:i w:val="0"/>
          <w:sz w:val="22"/>
        </w:rPr>
        <w:t>Sıcaklık ölçümüne dayalı doğrulamalarda bu nedenle ölçüm belirsizliğinin (termokupl sınıfı, veri toplayıcı çözünürlüğü, ışınım düzeltmesi, tekrarlanabilirlik) açıkça raporlanması ve model-deney farkının bu belirsizlik bandıyla birlikte sunulması gerekir.</w:t>
      </w:r>
    </w:p>
    <w:p>
      <w:pPr>
        <w:pStyle w:val="Heading2"/>
        <w:spacing w:before="200" w:after="120"/>
      </w:pPr>
      <w:r>
        <w:rPr>
          <w:rFonts w:ascii="Times New Roman" w:hAnsi="Times New Roman" w:eastAsia="Times New Roman"/>
          <w:b/>
          <w:color w:val="1A1A1A"/>
          <w:sz w:val="24"/>
        </w:rPr>
        <w:t>9.2. Hız alanı ölçümü</w:t>
      </w:r>
    </w:p>
    <w:p>
      <w:pPr>
        <w:spacing w:after="120" w:before="0" w:line="276" w:lineRule="auto"/>
        <w:jc w:val="both"/>
      </w:pPr>
      <w:r>
        <w:rPr>
          <w:rFonts w:ascii="Times New Roman" w:hAnsi="Times New Roman" w:eastAsia="Times New Roman"/>
          <w:b w:val="0"/>
          <w:i w:val="0"/>
          <w:sz w:val="22"/>
        </w:rPr>
        <w:t>Sıcaklık, akış alanının bir sonucudur; dolayısıyla sıcaklık uyumu tek başına akış modelinin doğruluğunu kanıtlamaz. Farklı türbülans modelleri birbirinden hayli farklı hız alanları üretirken benzer ortalama sıcaklıklar verebilir. Hız alanının bağımsız olarak doğrulanması bu yüzden önemlidir.</w:t>
      </w:r>
    </w:p>
    <w:p>
      <w:pPr>
        <w:spacing w:after="120" w:before="0" w:line="276" w:lineRule="auto"/>
        <w:jc w:val="both"/>
      </w:pPr>
      <w:r>
        <w:rPr>
          <w:rFonts w:ascii="Times New Roman" w:hAnsi="Times New Roman" w:eastAsia="Times New Roman"/>
          <w:b w:val="0"/>
          <w:i w:val="0"/>
          <w:sz w:val="22"/>
        </w:rPr>
        <w:t>Verboven ve ark. [21] izotermal akış alanını yönsel olarak kalibre edilmiş sıcak-film hız sensörüyle nokta nokta ölçerek doğruladı ve fan basınç-debi karakteristiğinin, fan çıkışındaki dönme (swirl) bileşeninin ve kavite geometrisinin modelin en kritik girdileri olduğunu gösterdi. Çalışmanın metodolojik değeri, sıcaklık alanını [22] ayrı bir makalede ele alarak izotermal akış doğrulaması ile ısıl doğrulamayı birbirinden ayırmasıdır. İzleyen literatürde bu ayrımı koruyan çalışma sayısı azdır.</w:t>
      </w:r>
    </w:p>
    <w:p>
      <w:pPr>
        <w:spacing w:after="120" w:before="0" w:line="276" w:lineRule="auto"/>
        <w:jc w:val="both"/>
      </w:pPr>
      <w:r>
        <w:rPr>
          <w:rFonts w:ascii="Times New Roman" w:hAnsi="Times New Roman" w:eastAsia="Times New Roman"/>
          <w:b w:val="0"/>
          <w:i w:val="0"/>
          <w:sz w:val="22"/>
        </w:rPr>
        <w:t>Parçacık Görüntülemeli Hız Ölçümü (PIV) gibi alan tabanlı optik teknikler kavitenin tamamında hız alanı verisi sağlayabilir ve doğrulama için termokupl ölçümünden çok daha bilgilendiricidir. Yüksek sıcaklık, optik erişim kısıtı ve tohumlama parçacıklarının gıdayla temas etmemesi gerekliliği bu tekniklerin fırın kavitelerinde uygulanmasını güçleştirir. Taranan literatürde fırın kavitesi içinde PIV ölçümüne dayanan bir doğrulama çalışmasına rastlanmadı.</w:t>
      </w:r>
    </w:p>
    <w:p>
      <w:pPr>
        <w:pStyle w:val="Heading2"/>
        <w:spacing w:before="200" w:after="120"/>
      </w:pPr>
      <w:r>
        <w:rPr>
          <w:rFonts w:ascii="Times New Roman" w:hAnsi="Times New Roman" w:eastAsia="Times New Roman"/>
          <w:b/>
          <w:color w:val="1A1A1A"/>
          <w:sz w:val="24"/>
        </w:rPr>
        <w:t>9.3. Isı akısı ve ısı taşınım katsayısı ölçümü</w:t>
      </w:r>
    </w:p>
    <w:p>
      <w:pPr>
        <w:spacing w:after="120" w:before="0" w:line="276" w:lineRule="auto"/>
        <w:jc w:val="both"/>
      </w:pPr>
      <w:r>
        <w:rPr>
          <w:rFonts w:ascii="Times New Roman" w:hAnsi="Times New Roman" w:eastAsia="Times New Roman"/>
          <w:b w:val="0"/>
          <w:i w:val="0"/>
          <w:sz w:val="22"/>
        </w:rPr>
        <w:t>Doğrulamanın en dolaysız biçimi, modelin öngördüğü yüzey ısı akısını ölçülen değerle karşılaştırmaktır. Boulet ve ark. [34] ısı akısı ölçüm cihazını modellenen geometrinin içine koyarak bu karşılaştırmayı yaptı; Ploteau ve ark. [37] kesikli bir ekmek fırınında ısı akısı ve sıcaklık ölçümlerini birlikte kullanarak sayısal-deneysel karakterizasyon gerçekleştirdi.</w:t>
      </w:r>
    </w:p>
    <w:p>
      <w:pPr>
        <w:spacing w:after="120" w:before="0" w:line="276" w:lineRule="auto"/>
        <w:jc w:val="both"/>
      </w:pPr>
      <w:r>
        <w:rPr>
          <w:rFonts w:ascii="Times New Roman" w:hAnsi="Times New Roman" w:eastAsia="Times New Roman"/>
          <w:b w:val="0"/>
          <w:i w:val="0"/>
          <w:sz w:val="22"/>
        </w:rPr>
        <w:t>Isı taşınım katsayısının kendisi de bir doğrulama büyüklüğü olarak kullanılabilir. Carson ve ark. [43] dört bağımsız yöntemi (geçici rejim sıcaklık verisinden geri hesaplama, ısı akısı sensörü, kütle kaybı hızı ve psikrometrik yöntem) karşılaştırmalı olarak uyguladı ve yöntemler arası tutarlılığı inceledi; tek bir ölçüm tekniğine güvenmenin risklerini gösteren örnek bir çalışmadır. Sakin ve ark. [42] ise 70-220 °C aralığında fanlı ve fansız modlar için birleşik yüzey ısı taşınım katsayısını belirleyerek, model sınır koşullarının kalibrasyonunda kullanılabilecek bir referans veri seti üretti.</w:t>
      </w:r>
    </w:p>
    <w:p>
      <w:pPr>
        <w:spacing w:after="120" w:before="0" w:line="276" w:lineRule="auto"/>
        <w:jc w:val="both"/>
      </w:pPr>
      <w:r>
        <w:rPr>
          <w:rFonts w:ascii="Times New Roman" w:hAnsi="Times New Roman" w:eastAsia="Times New Roman"/>
          <w:b w:val="0"/>
          <w:i w:val="0"/>
          <w:sz w:val="22"/>
        </w:rPr>
        <w:t>Kızılötesi (IR) termografi, kavite yüzeylerinin ve yükün yüzey sıcaklık alanını temassız olarak haritalamayı sağlar. Mistry ve ark. [26] gaz fırınında IR ölçümlerini termokupl verileriyle birlikte kullandı. IR'nin başlıca zorluğu emisivite kalibrasyonu ve fırın kapağından optik erişim gerekliliğidir; kapağın açılması ise ölçülmek istenen ısıl durumu bozar.</w:t>
      </w:r>
    </w:p>
    <w:p>
      <w:pPr>
        <w:pStyle w:val="Heading2"/>
        <w:spacing w:before="200" w:after="120"/>
      </w:pPr>
      <w:r>
        <w:rPr>
          <w:rFonts w:ascii="Times New Roman" w:hAnsi="Times New Roman" w:eastAsia="Times New Roman"/>
          <w:b/>
          <w:color w:val="1A1A1A"/>
          <w:sz w:val="24"/>
        </w:rPr>
        <w:t>9.4. Standart yük testleri ve pişirme testleri</w:t>
      </w:r>
    </w:p>
    <w:p>
      <w:pPr>
        <w:spacing w:after="120" w:before="0" w:line="276" w:lineRule="auto"/>
        <w:jc w:val="both"/>
      </w:pPr>
      <w:r>
        <w:rPr>
          <w:rFonts w:ascii="Times New Roman" w:hAnsi="Times New Roman" w:eastAsia="Times New Roman"/>
          <w:b w:val="0"/>
          <w:i w:val="0"/>
          <w:sz w:val="22"/>
        </w:rPr>
        <w:t>Sistem düzeyinde doğrulama için standartlaştırılmış yük testleri kullanılır. EN IEC 60350-1 [5] kapsamındaki ıslak tuğla testi tekrarlanabilir bir ısıl yük tanımlar ve farklı laboratuvarlar arasında karşılaştırılabilir sonuç üretir; Altun ve ark. [7] tasarım değişikliklerini bu test üzerinden değerlendirdi. Ramirez-Laboreo ve ark. [39] ise bu standart testi düşük mertebeli bir dinamik modelle sanal ortamda yeniden üretmenin mümkün olduğunu gösterdi.</w:t>
      </w:r>
    </w:p>
    <w:p>
      <w:pPr>
        <w:spacing w:after="120" w:before="0" w:line="276" w:lineRule="auto"/>
        <w:jc w:val="both"/>
      </w:pPr>
      <w:r>
        <w:rPr>
          <w:rFonts w:ascii="Times New Roman" w:hAnsi="Times New Roman" w:eastAsia="Times New Roman"/>
          <w:b w:val="0"/>
          <w:i w:val="0"/>
          <w:sz w:val="22"/>
        </w:rPr>
        <w:t>Gerçek gıdayla yapılan pişirme testleri (kek, ekmek, kurabiye) nihai kabul ölçütüdür. Bilen ve ark. [16] tepsi üzerindeki keklerin sıcaklık dağılımını, Park ve Lee [17] ekmek yüzeyinin esmerleşme homojenliğini, Timur ve ark. [9] ise ticari fırınlarda pişirme sonuçlarını doğrulama verisi olarak kullandı. Bu testlerin dezavantajı, hammadde değişkenliği ve öznel değerlendirme riski nedeniyle tekrarlanabilirliğinin düşük olmasıdır. Purlis'in [38] ortaya koyduğu esmerleşme kinetiği çerçevesi, renk ölçümünü öznellikten kurtarmanın kuramsal temelini sağlar.</w:t>
      </w:r>
    </w:p>
    <w:p>
      <w:pPr>
        <w:pStyle w:val="Heading2"/>
        <w:spacing w:before="200" w:after="120"/>
      </w:pPr>
      <w:r>
        <w:rPr>
          <w:rFonts w:ascii="Times New Roman" w:hAnsi="Times New Roman" w:eastAsia="Times New Roman"/>
          <w:b/>
          <w:color w:val="1A1A1A"/>
          <w:sz w:val="24"/>
        </w:rPr>
        <w:t>9.5. Doğrulama raporlamasında iyi uygulama</w:t>
      </w:r>
    </w:p>
    <w:p>
      <w:pPr>
        <w:spacing w:after="120" w:before="0" w:line="276" w:lineRule="auto"/>
        <w:jc w:val="both"/>
      </w:pPr>
      <w:r>
        <w:rPr>
          <w:rFonts w:ascii="Times New Roman" w:hAnsi="Times New Roman" w:eastAsia="Times New Roman"/>
          <w:b w:val="0"/>
          <w:i w:val="0"/>
          <w:sz w:val="22"/>
        </w:rPr>
        <w:t>Taranan literatürün karşılaştırmalı değerlendirmesinden, fırın HAD çalışmalarında doğrulama raporlaması için altı maddelik bir asgari çerçeve önerilmektedir. Ağ yakınsama belirsizliği en az üç ağ seviyesi üzerinden GCI ile nicelenmeli ve raporlanmalıdır [40], [41]. Akış alanı ve sıcaklık alanı ayrı ayrı doğrulanmalı, izotermal akış doğrulaması ısıl doğrulamadan önce yapılmalıdır [21], [22]. Ölçüm belirsizliği (termokupl sınıfı, ışınım düzeltmesi, konumlandırma toleransı, tekrar sayısı) açıkça verilmelidir. Karşılaştırma noktaları yalnızca modelin iyi çalıştığı bölgelerden değil, ölü hacimler ve jet çarpma bölgeleri gibi zorlayıcı bölgelerden de seçilmelidir. Sapma, tek bir yüzde değeri yerine noktalar arası dağılım (ortalama mutlak hata, maksimum hata, RMS) biçiminde sunulmalıdır. Son olarak sınır koşulları (rezistans gücü profili, duvar emisiviteleri, dış ortam sıcaklığı, sızdırmazlık kaçakları) tam olarak raporlanmalı, böylece çalışma bağımsız olarak yeniden üretilebilir olmalıdır.</w:t>
      </w:r>
    </w:p>
    <w:p>
      <w:pPr>
        <w:spacing w:after="120" w:before="0" w:line="276" w:lineRule="auto"/>
        <w:jc w:val="both"/>
      </w:pPr>
      <w:r>
        <w:rPr>
          <w:rFonts w:ascii="Times New Roman" w:hAnsi="Times New Roman" w:eastAsia="Times New Roman"/>
          <w:b w:val="0"/>
          <w:i w:val="0"/>
          <w:sz w:val="22"/>
        </w:rPr>
        <w:t>Bölümde geçen ölçüm teknikleri, uzamsal kapsamları ve başlıca hata kaynakları Tablo 8'de toplanmıştır.</w:t>
      </w:r>
    </w:p>
    <w:p>
      <w:pPr>
        <w:spacing w:after="60" w:before="160" w:line="276" w:lineRule="auto"/>
      </w:pPr>
      <w:r>
        <w:rPr>
          <w:rFonts w:ascii="Times New Roman" w:hAnsi="Times New Roman" w:eastAsia="Times New Roman"/>
          <w:b/>
          <w:i w:val="0"/>
          <w:sz w:val="18"/>
        </w:rPr>
        <w:t>Tablo 8. Fırın HAD çalışmalarında kullanılan deneysel doğrulama tekniklerinin karşılaştırması.</w:t>
      </w:r>
    </w:p>
    <w:tbl>
      <w:tblPr>
        <w:tblW w:type="auto" w:w="0"/>
        <w:jc w:val="center"/>
        <w:tblLayout w:type="fixed"/>
        <w:tblLook w:firstColumn="1" w:firstRow="1" w:lastColumn="0" w:lastRow="0" w:noHBand="0" w:noVBand="1" w:val="04A0"/>
      </w:tblPr>
      <w:tblGrid>
        <w:gridCol w:w="1701"/>
        <w:gridCol w:w="1701"/>
        <w:gridCol w:w="1247"/>
        <w:gridCol w:w="2268"/>
        <w:gridCol w:w="2154"/>
      </w:tblGrid>
      <w:tr>
        <w:tc>
          <w:tcPr>
            <w:tcW w:type="dxa" w:w="170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Teknik</w:t>
            </w:r>
          </w:p>
        </w:tc>
        <w:tc>
          <w:tcPr>
            <w:tcW w:type="dxa" w:w="1701"/>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Ölçtüğü büyüklük</w:t>
            </w:r>
          </w:p>
        </w:tc>
        <w:tc>
          <w:tcPr>
            <w:tcW w:type="dxa" w:w="124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Uzamsal kapsam</w:t>
            </w:r>
          </w:p>
        </w:tc>
        <w:tc>
          <w:tcPr>
            <w:tcW w:type="dxa" w:w="2268"/>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Başlıca hata kaynağı</w:t>
            </w:r>
          </w:p>
        </w:tc>
        <w:tc>
          <w:tcPr>
            <w:tcW w:type="dxa" w:w="2154"/>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Bu derlemede kullanan</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Termokupl dizisi</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Nokta sıcaklığı</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5-15 nokta</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Işınım hatası; probun yerel akışı bozması</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[8], [13], [15], [18]</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Sıcak-tel / sıcak-film anemometre</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Nokta hızı</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Nokta</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Yönsel kalibrasyon; yüksek sıcaklıkta sürüklenme</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[21], [19]</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Isı akısı sensörü</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Yüzey ısı akısı</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Nokta</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Sensörün yerel akışı ve ısıl alanı bozması</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[34], [37], [43]</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Kütle kaybı hızı</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Görünür ısı taşınım katsayısı</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Bütünsel</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Buharlaşma varsayımları</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[43]</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Psikrometrik yöntem</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Görünür ısı taşınım katsayısı</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Bütünsel</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Nem ölçüm belirsizliği</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[43]</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IR termografi</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Yüzey sıcaklık alanı</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Alan</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Emisivite kalibrasyonu; optik erişim gereği</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[26]</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PIV</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Hız alanı</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Alan</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Yüksek sıcaklık, optik erişim, tohumlama kısıtı</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Taranan literatürde kullanılmamış</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Standart yük (ıslak tuğla) testi</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Enerji ve süre</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Bütünsel</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Standarda uygunluk koşulları</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[5], [7]</w:t>
            </w:r>
          </w:p>
        </w:tc>
      </w:tr>
      <w:tr>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Pişirme testi</w:t>
            </w:r>
          </w:p>
        </w:tc>
        <w:tc>
          <w:tcPr>
            <w:tcW w:type="dxa" w:w="1701"/>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Ürün kalitesi</w:t>
            </w:r>
          </w:p>
        </w:tc>
        <w:tc>
          <w:tcPr>
            <w:tcW w:type="dxa" w:w="124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Ürün yüzeyi</w:t>
            </w:r>
          </w:p>
        </w:tc>
        <w:tc>
          <w:tcPr>
            <w:tcW w:type="dxa" w:w="226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Hammadde değişkenliği; öznel değerlendirme</w:t>
            </w:r>
          </w:p>
        </w:tc>
        <w:tc>
          <w:tcPr>
            <w:tcW w:type="dxa" w:w="2154"/>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[16], [17], [9]</w:t>
            </w:r>
          </w:p>
        </w:tc>
      </w:tr>
    </w:tbl>
    <w:p>
      <w:pPr>
        <w:spacing w:after="160" w:before="0" w:line="276" w:lineRule="auto"/>
      </w:pPr>
    </w:p>
    <w:p>
      <w:pPr>
        <w:pStyle w:val="Heading1"/>
        <w:spacing w:before="280" w:after="120"/>
      </w:pPr>
      <w:r>
        <w:rPr>
          <w:rFonts w:ascii="Times New Roman" w:hAnsi="Times New Roman" w:eastAsia="Times New Roman"/>
          <w:b/>
          <w:color w:val="1A1A1A"/>
          <w:sz w:val="28"/>
        </w:rPr>
        <w:t>10. ARAŞTIRMA BOŞLUKLARI VE GELECEK ÇALIŞMA ÖNERİLERİ</w:t>
      </w:r>
    </w:p>
    <w:p>
      <w:pPr>
        <w:spacing w:after="120" w:before="0" w:line="276" w:lineRule="auto"/>
        <w:jc w:val="both"/>
      </w:pPr>
      <w:r>
        <w:rPr>
          <w:rFonts w:ascii="Times New Roman" w:hAnsi="Times New Roman" w:eastAsia="Times New Roman"/>
          <w:b w:val="0"/>
          <w:i w:val="0"/>
          <w:sz w:val="22"/>
        </w:rPr>
        <w:t>Taranan literatürün sentezinden birbirini tamamlayan sekiz araştırma boşluğu belirlendi.</w:t>
      </w:r>
    </w:p>
    <w:p>
      <w:pPr>
        <w:spacing w:after="120" w:before="0" w:line="276" w:lineRule="auto"/>
        <w:jc w:val="both"/>
      </w:pPr>
      <w:r>
        <w:rPr>
          <w:rFonts w:ascii="Times New Roman" w:hAnsi="Times New Roman" w:eastAsia="Times New Roman"/>
          <w:b w:val="0"/>
          <w:i w:val="0"/>
          <w:sz w:val="22"/>
        </w:rPr>
        <w:t>Boşluklar, dayandıkları kanıt ve önerilen yaklaşımlar Tablo 9'da özetlenmiştir.</w:t>
      </w:r>
    </w:p>
    <w:p>
      <w:pPr>
        <w:spacing w:after="60" w:before="160" w:line="276" w:lineRule="auto"/>
      </w:pPr>
      <w:r>
        <w:rPr>
          <w:rFonts w:ascii="Times New Roman" w:hAnsi="Times New Roman" w:eastAsia="Times New Roman"/>
          <w:b/>
          <w:i w:val="0"/>
          <w:sz w:val="18"/>
        </w:rPr>
        <w:t>Tablo 9. Belirlenen araştırma boşluklarının özeti.</w:t>
      </w:r>
    </w:p>
    <w:tbl>
      <w:tblPr>
        <w:tblW w:type="auto" w:w="0"/>
        <w:jc w:val="center"/>
        <w:tblLayout w:type="fixed"/>
        <w:tblLook w:firstColumn="1" w:firstRow="1" w:lastColumn="0" w:lastRow="0" w:noHBand="0" w:noVBand="1" w:val="04A0"/>
      </w:tblPr>
      <w:tblGrid>
        <w:gridCol w:w="737"/>
        <w:gridCol w:w="1927"/>
        <w:gridCol w:w="3005"/>
        <w:gridCol w:w="3402"/>
      </w:tblGrid>
      <w:tr>
        <w:tc>
          <w:tcPr>
            <w:tcW w:type="dxa" w:w="737"/>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Bölüm</w:t>
            </w:r>
          </w:p>
        </w:tc>
        <w:tc>
          <w:tcPr>
            <w:tcW w:type="dxa" w:w="1928"/>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Boşluk</w:t>
            </w:r>
          </w:p>
        </w:tc>
        <w:tc>
          <w:tcPr>
            <w:tcW w:type="dxa" w:w="3005"/>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Bu derlemedeki kanıt</w:t>
            </w:r>
          </w:p>
        </w:tc>
        <w:tc>
          <w:tcPr>
            <w:tcW w:type="dxa" w:w="3402"/>
            <w:tcBorders>
              <w:top w:val="single" w:sz="4" w:space="0" w:color="9AA3AE"/>
              <w:left w:val="single" w:sz="4" w:space="0" w:color="9AA3AE"/>
              <w:bottom w:val="single" w:sz="4" w:space="0" w:color="9AA3AE"/>
              <w:right w:val="single" w:sz="4" w:space="0" w:color="9AA3AE"/>
            </w:tcBorders>
            <w:shd w:val="clear" w:color="auto" w:fill="E8EDF5"/>
          </w:tcPr>
          <w:p>
            <w:pPr>
              <w:spacing w:after="40" w:before="40"/>
            </w:pPr>
            <w:r/>
            <w:r>
              <w:rPr>
                <w:rFonts w:ascii="Times New Roman" w:hAnsi="Times New Roman" w:eastAsia="Times New Roman"/>
                <w:b/>
                <w:i w:val="0"/>
                <w:sz w:val="17"/>
              </w:rPr>
              <w:t>Önerilen yaklaşım</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10.1</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Sayısal belirsizlik nicelenmiyor</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Tablo 5'teki 19 sayısal çalışmanın hiçbiri GCI raporlamıyor (Şekil 4)</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 az üç ağ seviyesinde GCI raporlaması [40], [41]</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10.2</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Fan, FKS ve kanal etkileşimi taranmıyor</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Çalışmalar bir seferde tek bileşeni değiştiriyor [2], [14], [16], [18]</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Etkileşim terimlerini kestiren yanıt yüzeyi veya Taguchi tasarımı [29]</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10.3</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Çok amaçlı optimizasyon ev tipine uyarlanmamış</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Pareto çerçeveleri yalnızca ticari ekmek fırınlarında [31], [32]</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EEI ve TS EN 60335 kısıtlarıyla birlikte Pareto çalışması [2]</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10.4</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Zamana bağlı çalışma stratejileri incelenmemiş</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Dönüş yönü statik değişken olarak ele alınıyor [9], [13]</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Kayan Ağ veya zamana bağlı MRF ile periyodik yön değişimi</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10.5</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Hız alanı doğrulaması terk edilmiş</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İzotermal akış doğrulaması yalnızca [21]'de; PIV kullanan yok (Tablo 8)</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Optik erişimli model kavitede PIV; en az nokta hız ölçümü</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10.6</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HAD ile düşük mertebeli modeller birleştirilmemiş</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Enerji analizi ayrı bir literatür olarak gelişiyor [39]</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 xml:space="preserve">HAD'dan çıkan yerel </w:t>
            </w:r>
            <w:r>
              <w:rPr>
                <w:rFonts w:ascii="Times New Roman" w:hAnsi="Times New Roman" w:eastAsia="Times New Roman"/>
                <w:b w:val="0"/>
                <w:i/>
                <w:sz w:val="17"/>
              </w:rPr>
              <w:t>h</w:t>
            </w:r>
            <w:r>
              <w:rPr>
                <w:rFonts w:ascii="Times New Roman" w:hAnsi="Times New Roman" w:eastAsia="Times New Roman"/>
                <w:b w:val="0"/>
                <w:i w:val="0"/>
                <w:sz w:val="17"/>
              </w:rPr>
              <w:t xml:space="preserve"> alanını toplu parametreli modele girdi vermek</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10.7</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Pişirme metrikleri optimizasyona girmiyor</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Amaç fonksiyonları sıcaklık tabanlı [8], [13]; UBI yalnızca değerlendirmede [17]</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Vekil model üzerinden esmerleşme tabanlı amaç fonksiyonu [38]</w:t>
            </w:r>
          </w:p>
        </w:tc>
      </w:tr>
      <w:tr>
        <w:tc>
          <w:tcPr>
            <w:tcW w:type="dxa" w:w="737"/>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10.8</w:t>
            </w:r>
          </w:p>
        </w:tc>
        <w:tc>
          <w:tcPr>
            <w:tcW w:type="dxa" w:w="1928"/>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Buhar ve nem taşınımı ihmal ediliyor</w:t>
            </w:r>
          </w:p>
        </w:tc>
        <w:tc>
          <w:tcPr>
            <w:tcW w:type="dxa" w:w="3005"/>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Kavite havası kuru hava olarak modelleniyor</w:t>
            </w:r>
          </w:p>
        </w:tc>
        <w:tc>
          <w:tcPr>
            <w:tcW w:type="dxa" w:w="3402"/>
            <w:tcBorders>
              <w:top w:val="single" w:sz="4" w:space="0" w:color="9AA3AE"/>
              <w:left w:val="single" w:sz="4" w:space="0" w:color="9AA3AE"/>
              <w:bottom w:val="single" w:sz="4" w:space="0" w:color="9AA3AE"/>
              <w:right w:val="single" w:sz="4" w:space="0" w:color="9AA3AE"/>
            </w:tcBorders>
          </w:tcPr>
          <w:p>
            <w:pPr>
              <w:spacing w:after="40" w:before="40"/>
            </w:pPr>
            <w:r/>
            <w:r>
              <w:rPr>
                <w:rFonts w:ascii="Times New Roman" w:hAnsi="Times New Roman" w:eastAsia="Times New Roman"/>
                <w:b w:val="0"/>
                <w:i w:val="0"/>
                <w:sz w:val="17"/>
              </w:rPr>
              <w:t>Tür taşınımı içeren modellerin fan ve FKS optimizasyonuna dâhil edilmesi</w:t>
            </w:r>
          </w:p>
        </w:tc>
      </w:tr>
    </w:tbl>
    <w:p>
      <w:pPr>
        <w:spacing w:after="160" w:before="0" w:line="276" w:lineRule="auto"/>
      </w:pPr>
    </w:p>
    <w:p>
      <w:pPr>
        <w:pStyle w:val="Heading2"/>
        <w:spacing w:before="200" w:after="120"/>
      </w:pPr>
      <w:r>
        <w:rPr>
          <w:rFonts w:ascii="Times New Roman" w:hAnsi="Times New Roman" w:eastAsia="Times New Roman"/>
          <w:b/>
          <w:color w:val="1A1A1A"/>
          <w:sz w:val="24"/>
        </w:rPr>
        <w:t>10.1. Sayısal belirsizliğin nicelenmemesi</w:t>
      </w:r>
    </w:p>
    <w:p>
      <w:pPr>
        <w:spacing w:after="120" w:before="0" w:line="276" w:lineRule="auto"/>
        <w:jc w:val="both"/>
      </w:pPr>
      <w:r>
        <w:rPr>
          <w:rFonts w:ascii="Times New Roman" w:hAnsi="Times New Roman" w:eastAsia="Times New Roman"/>
          <w:b w:val="0"/>
          <w:i w:val="0"/>
          <w:sz w:val="22"/>
        </w:rPr>
        <w:t>Fırın HAD literatüründe deneysel doğrulama yaygın olmasına karşın, ağ yakınsama belirsizliğinin GCI ile nicel raporlanması istisnasız biçimde eksiktir [40], [41]. Bu, farklı çalışmaların sonuçlarının karşılaştırılmasını güçleştirir: bir çalışmanın bildirdiği yüzde birkaçlık deneysel sapma, sayısal belirsizliğin büyüklüğü bilinmeden anlamlandırılamaz. Sapma ayrıklaştırma hatasından küçükse uyum tesadüfi bile olabilir. Alandaki her yeni çalışma en az üç ağ seviyesinde GCI raporlamalı, dergiler bunu bir kabul koşulu olarak benimsemelidir.</w:t>
      </w:r>
    </w:p>
    <w:p>
      <w:pPr>
        <w:pStyle w:val="Heading2"/>
        <w:spacing w:before="200" w:after="120"/>
      </w:pPr>
      <w:r>
        <w:rPr>
          <w:rFonts w:ascii="Times New Roman" w:hAnsi="Times New Roman" w:eastAsia="Times New Roman"/>
          <w:b/>
          <w:color w:val="1A1A1A"/>
          <w:sz w:val="24"/>
        </w:rPr>
        <w:t>10.2. Fan, FKS ve kanal etkileşiminin sistematik taranmaması</w:t>
      </w:r>
    </w:p>
    <w:p>
      <w:pPr>
        <w:spacing w:after="120" w:before="0" w:line="276" w:lineRule="auto"/>
        <w:jc w:val="both"/>
      </w:pPr>
      <w:r>
        <w:rPr>
          <w:rFonts w:ascii="Times New Roman" w:hAnsi="Times New Roman" w:eastAsia="Times New Roman"/>
          <w:b w:val="0"/>
          <w:i w:val="0"/>
          <w:sz w:val="22"/>
        </w:rPr>
        <w:t>Bölüm 6.3'te gösterildiği gibi bu üç bileşen seri bir akış direnci zinciri oluşturur. Buna karşılık literatürdeki çalışmaların büyük çoğunluğu bir seferde tek bileşeni değiştirmektedir [2], [14], [16], [18]. Fan çalışma noktasını, FKS delik alanı ile desenini ve kanal çıkış geometrisini aynı deney tasarımı içinde ele alan, etkileşim terimlerini de kestiren yanıt yüzeyi veya Taguchi tabanlı çalışmalar [29] yürütülmelidir.</w:t>
      </w:r>
    </w:p>
    <w:p>
      <w:pPr>
        <w:pStyle w:val="Heading2"/>
        <w:spacing w:before="200" w:after="120"/>
      </w:pPr>
      <w:r>
        <w:rPr>
          <w:rFonts w:ascii="Times New Roman" w:hAnsi="Times New Roman" w:eastAsia="Times New Roman"/>
          <w:b/>
          <w:color w:val="1A1A1A"/>
          <w:sz w:val="24"/>
        </w:rPr>
        <w:t>10.3. Çok amaçlı optimizasyonun ev tipi fırınlara uyarlanmaması</w:t>
      </w:r>
    </w:p>
    <w:p>
      <w:pPr>
        <w:spacing w:after="120" w:before="0" w:line="276" w:lineRule="auto"/>
        <w:jc w:val="both"/>
      </w:pPr>
      <w:r>
        <w:rPr>
          <w:rFonts w:ascii="Times New Roman" w:hAnsi="Times New Roman" w:eastAsia="Times New Roman"/>
          <w:b w:val="0"/>
          <w:i w:val="0"/>
          <w:sz w:val="22"/>
        </w:rPr>
        <w:t>Pareto tabanlı çok amaçlı çerçeveler ticari ekmek fırınları için olgunlaşmıştır [31], [32]. Ancak ev tipi ankastre fırın geometrilerine, EEI kısıtı ve TS EN 60335 güvenlik sınırları [2] ile birlikte uyarlanmış bir uygulamaya rastlanmadı. Amaç fonksiyonları sıcaklık homojenliği, EEI, FKS yüzey sıcaklığı ve üretilebilirlik olan bir Pareto çalışması, alandaki en yüksek katma değerli boşluklardan biridir.</w:t>
      </w:r>
    </w:p>
    <w:p>
      <w:pPr>
        <w:pStyle w:val="Heading2"/>
        <w:spacing w:before="200" w:after="120"/>
      </w:pPr>
      <w:r>
        <w:rPr>
          <w:rFonts w:ascii="Times New Roman" w:hAnsi="Times New Roman" w:eastAsia="Times New Roman"/>
          <w:b/>
          <w:color w:val="1A1A1A"/>
          <w:sz w:val="24"/>
        </w:rPr>
        <w:t>10.4. Zamana bağlı çalışma stratejilerinin incelenmemesi</w:t>
      </w:r>
    </w:p>
    <w:p>
      <w:pPr>
        <w:spacing w:after="120" w:before="0" w:line="276" w:lineRule="auto"/>
        <w:jc w:val="both"/>
      </w:pPr>
      <w:r>
        <w:rPr>
          <w:rFonts w:ascii="Times New Roman" w:hAnsi="Times New Roman" w:eastAsia="Times New Roman"/>
          <w:b w:val="0"/>
          <w:i w:val="0"/>
          <w:sz w:val="22"/>
        </w:rPr>
        <w:t>Fan dönüş yönünün çevrim boyunca periyodik olarak değiştirilmesi bazı ticari ürünlerde uygulanmakla birlikte, bu stratejinin sıcaklık homojenliği üzerindeki zaman-ortalamalı etkisi HAD ile sistematik olarak incelenmemiştir. Mevcut çalışmalar dönüş yönünü statik bir tasarım değişkeni olarak ele alır [9], [13]. Kayan ağ veya zamana bağlı MRF ile periyodik yön değişiminin etkisini niceleyen geçici rejim çalışmaları bu boşluğu kapatabilir.</w:t>
      </w:r>
    </w:p>
    <w:p>
      <w:pPr>
        <w:pStyle w:val="Heading2"/>
        <w:spacing w:before="200" w:after="120"/>
      </w:pPr>
      <w:r>
        <w:rPr>
          <w:rFonts w:ascii="Times New Roman" w:hAnsi="Times New Roman" w:eastAsia="Times New Roman"/>
          <w:b/>
          <w:color w:val="1A1A1A"/>
          <w:sz w:val="24"/>
        </w:rPr>
        <w:t>10.5. Hız alanı doğrulamasının terk edilmesi</w:t>
      </w:r>
    </w:p>
    <w:p>
      <w:pPr>
        <w:spacing w:after="120" w:before="0" w:line="276" w:lineRule="auto"/>
        <w:jc w:val="both"/>
      </w:pPr>
      <w:r>
        <w:rPr>
          <w:rFonts w:ascii="Times New Roman" w:hAnsi="Times New Roman" w:eastAsia="Times New Roman"/>
          <w:b w:val="0"/>
          <w:i w:val="0"/>
          <w:sz w:val="22"/>
        </w:rPr>
        <w:t>Verboven ve ark.'nın [21] izotermal akış doğrulaması alanın metodolojik altın standardı olmasına rağmen izleyen literatürde büyük ölçüde sürdürülmemiş, doğrulama pratiği termokupl ölçümüne indirgenmiştir. Optik erişimli model kaviteler üzerinde PIV tabanlı doğrulama çalışmaları yapılmalı, en azından fan çıkışı ve FKS jet bölgeleri için nokta hız ölçümleri standart hâline getirilmelidir.</w:t>
      </w:r>
    </w:p>
    <w:p>
      <w:pPr>
        <w:pStyle w:val="Heading2"/>
        <w:spacing w:before="200" w:after="120"/>
      </w:pPr>
      <w:r>
        <w:rPr>
          <w:rFonts w:ascii="Times New Roman" w:hAnsi="Times New Roman" w:eastAsia="Times New Roman"/>
          <w:b/>
          <w:color w:val="1A1A1A"/>
          <w:sz w:val="24"/>
        </w:rPr>
        <w:t>10.6. HAD ile düşük mertebeli modellerin birleştirilmemesi</w:t>
      </w:r>
    </w:p>
    <w:p>
      <w:pPr>
        <w:spacing w:after="120" w:before="0" w:line="276" w:lineRule="auto"/>
        <w:jc w:val="both"/>
      </w:pPr>
      <w:r>
        <w:rPr>
          <w:rFonts w:ascii="Times New Roman" w:hAnsi="Times New Roman" w:eastAsia="Times New Roman"/>
          <w:b w:val="0"/>
          <w:i w:val="0"/>
          <w:sz w:val="22"/>
        </w:rPr>
        <w:t>HAD, kavite içi yerel ısı taşınım katsayısı alanını üretebilir; düşük mertebeli dinamik modeller [39] ise çevrim boyunca enerji analizini ucuza yapabilir. Bu ikisinin bağlanması, yani HAD'dan çıkan konum bağımlı katsayı alanının toplu parametreli modele girdi olarak verilmesi, literatürde denenmemiştir. Hibrit bir HAD ve düşük mertebeli model çerçevesiyle EEI testinin sanal ortamda tekrarlanması mümkündür.</w:t>
      </w:r>
    </w:p>
    <w:p>
      <w:pPr>
        <w:pStyle w:val="Heading2"/>
        <w:spacing w:before="200" w:after="120"/>
      </w:pPr>
      <w:r>
        <w:rPr>
          <w:rFonts w:ascii="Times New Roman" w:hAnsi="Times New Roman" w:eastAsia="Times New Roman"/>
          <w:b/>
          <w:color w:val="1A1A1A"/>
          <w:sz w:val="24"/>
        </w:rPr>
        <w:t>10.7. Pişirme tabanlı metriklerin optimizasyon döngüsüne girmemesi</w:t>
      </w:r>
    </w:p>
    <w:p>
      <w:pPr>
        <w:spacing w:after="120" w:before="0" w:line="276" w:lineRule="auto"/>
        <w:jc w:val="both"/>
      </w:pPr>
      <w:r>
        <w:rPr>
          <w:rFonts w:ascii="Times New Roman" w:hAnsi="Times New Roman" w:eastAsia="Times New Roman"/>
          <w:b w:val="0"/>
          <w:i w:val="0"/>
          <w:sz w:val="22"/>
        </w:rPr>
        <w:t>UBI [17] ve esmerleşme kinetiği [38] literatürde mevcuttur; ancak bu metrikler optimizasyon çalışmalarında amaç fonksiyonu olarak neredeyse hiç kullanılmamış, değerlendirme ağırlıklı olarak sıcaklık standart sapması üzerinden yapılmıştır [8], [13]. Vekil (surrogate) modeller aracılığıyla esmerleşme tabanlı bir amaç fonksiyonunun optimizasyon döngüsüne dâhil edilmesi bu boşluğu kapatır.</w:t>
      </w:r>
    </w:p>
    <w:p>
      <w:pPr>
        <w:pStyle w:val="Heading2"/>
        <w:spacing w:before="200" w:after="120"/>
      </w:pPr>
      <w:r>
        <w:rPr>
          <w:rFonts w:ascii="Times New Roman" w:hAnsi="Times New Roman" w:eastAsia="Times New Roman"/>
          <w:b/>
          <w:color w:val="1A1A1A"/>
          <w:sz w:val="24"/>
        </w:rPr>
        <w:t>10.8. Buhar ve nem taşınımının ihmal edilmesi</w:t>
      </w:r>
    </w:p>
    <w:p>
      <w:pPr>
        <w:spacing w:after="120" w:before="0" w:line="276" w:lineRule="auto"/>
        <w:jc w:val="both"/>
      </w:pPr>
      <w:r>
        <w:rPr>
          <w:rFonts w:ascii="Times New Roman" w:hAnsi="Times New Roman" w:eastAsia="Times New Roman"/>
          <w:b w:val="0"/>
          <w:i w:val="0"/>
          <w:sz w:val="22"/>
        </w:rPr>
        <w:t>Taranan fırın optimizasyon çalışmalarının hemen tamamı kavite havasını kuru hava olarak modellemektedir. Oysa pişirme sırasında üründen buharlaşan su, kavite havasının ısıl özelliklerini, ışınım katılımını ve yüzey ısı-kütle transferini değiştirir. Purlis [38] esmerleşmenin nem geçmişine bağlılığını, Ploteau ve ark. [37] ise ısı akısının pişirme sürecinde nasıl değiştiğini göstermiştir. Tür taşınımı (species transport) içeren, buhar dağılımını da çözen modellerin fan ve FKS optimizasyonuna dâhil edilmesi gerekir.</w:t>
      </w:r>
    </w:p>
    <w:p>
      <w:pPr>
        <w:spacing w:after="120" w:before="0" w:line="276" w:lineRule="auto"/>
        <w:jc w:val="both"/>
      </w:pPr>
      <w:r>
        <w:rPr>
          <w:rFonts w:ascii="Times New Roman" w:hAnsi="Times New Roman" w:eastAsia="Times New Roman"/>
          <w:b w:val="0"/>
          <w:i w:val="0"/>
          <w:sz w:val="22"/>
        </w:rPr>
        <w:t>Bu boşlukların ortak paydası şudur: alan, tekil parametre iyileştirmesinden bütünleşik ve belirsizliği nicelenmiş tasarım optimizasyonuna geçiş aşamasındadır ve bu geçişi henüz tamamlamamıştır.</w:t>
      </w:r>
    </w:p>
    <w:p>
      <w:pPr>
        <w:pStyle w:val="Heading1"/>
        <w:spacing w:before="280" w:after="120"/>
      </w:pPr>
      <w:r>
        <w:rPr>
          <w:rFonts w:ascii="Times New Roman" w:hAnsi="Times New Roman" w:eastAsia="Times New Roman"/>
          <w:b/>
          <w:color w:val="1A1A1A"/>
          <w:sz w:val="28"/>
        </w:rPr>
        <w:t>11. SONUÇ</w:t>
      </w:r>
    </w:p>
    <w:p>
      <w:pPr>
        <w:spacing w:after="120" w:before="0" w:line="276" w:lineRule="auto"/>
        <w:jc w:val="both"/>
      </w:pPr>
      <w:r>
        <w:rPr>
          <w:rFonts w:ascii="Times New Roman" w:hAnsi="Times New Roman" w:eastAsia="Times New Roman"/>
          <w:b w:val="0"/>
          <w:i w:val="0"/>
          <w:sz w:val="22"/>
        </w:rPr>
        <w:t>Bu derlemede, ev tipi ve endüstriyel fırınlarda fan ve hava kanalı geometrisinin HAD ile optimizasyonu konusundaki literatür 44 kaynaklık bir havuz üzerinden incelendi. Başlıca sonuçlar şunlardır.</w:t>
      </w:r>
    </w:p>
    <w:p>
      <w:pPr>
        <w:spacing w:after="120" w:before="0" w:line="276" w:lineRule="auto"/>
        <w:jc w:val="both"/>
      </w:pPr>
      <w:r>
        <w:rPr>
          <w:rFonts w:ascii="Times New Roman" w:hAnsi="Times New Roman" w:eastAsia="Times New Roman"/>
          <w:b w:val="0"/>
          <w:i w:val="0"/>
          <w:sz w:val="22"/>
        </w:rPr>
        <w:t>Kavitedeki sıcak ve soğuk noktalar, jet çarpma bölgeleri ile ölü hacimlerin izdüşümünden başka bir şey değildir [8], [18], [19]. Sıcaklık homojenliği bu nedenle bir ısıl problemden çok bir akış tasarımı problemi olarak ele alınmalıdır.</w:t>
      </w:r>
    </w:p>
    <w:p>
      <w:pPr>
        <w:spacing w:after="120" w:before="0" w:line="276" w:lineRule="auto"/>
        <w:jc w:val="both"/>
      </w:pPr>
      <w:r>
        <w:rPr>
          <w:rFonts w:ascii="Times New Roman" w:hAnsi="Times New Roman" w:eastAsia="Times New Roman"/>
          <w:b w:val="0"/>
          <w:i w:val="0"/>
          <w:sz w:val="22"/>
        </w:rPr>
        <w:t>Fan, FKS ve hava kanalı seri bir akış direnci zinciri oluşturur ve bağımsız optimize edilemez; birinde yapılan değişiklik diğer ikisinin çalışma noktasını kaydırır [2], [10], [16], [18].</w:t>
      </w:r>
    </w:p>
    <w:p>
      <w:pPr>
        <w:spacing w:after="120" w:before="0" w:line="276" w:lineRule="auto"/>
        <w:jc w:val="both"/>
      </w:pPr>
      <w:r>
        <w:rPr>
          <w:rFonts w:ascii="Times New Roman" w:hAnsi="Times New Roman" w:eastAsia="Times New Roman"/>
          <w:b w:val="0"/>
          <w:i w:val="0"/>
          <w:sz w:val="22"/>
        </w:rPr>
        <w:t>Fan devri doygun bir tasarım değişkenidir. Belirli bir devrin ötesinde homojenlik iyileşmez, hatta kötüleşebilir; buna karşılık motor tüketimi EEI'yi artırır [3], [13].</w:t>
      </w:r>
    </w:p>
    <w:p>
      <w:pPr>
        <w:spacing w:after="120" w:before="0" w:line="276" w:lineRule="auto"/>
        <w:jc w:val="both"/>
      </w:pPr>
      <w:r>
        <w:rPr>
          <w:rFonts w:ascii="Times New Roman" w:hAnsi="Times New Roman" w:eastAsia="Times New Roman"/>
          <w:b w:val="0"/>
          <w:i w:val="0"/>
          <w:sz w:val="22"/>
        </w:rPr>
        <w:t>Türbülans modeli seçimi sorulan soruya bağlıdır. Kavite ortalaması büyüklükler için k-ε ailesi yeterlidir; ayrılma, geri sirkülasyon ve yerel ısı akısı hedefleniyorsa k-ω SST gerekir [13], [15], [23]-[25].</w:t>
      </w:r>
    </w:p>
    <w:p>
      <w:pPr>
        <w:spacing w:after="120" w:before="0" w:line="276" w:lineRule="auto"/>
        <w:jc w:val="both"/>
      </w:pPr>
      <w:r>
        <w:rPr>
          <w:rFonts w:ascii="Times New Roman" w:hAnsi="Times New Roman" w:eastAsia="Times New Roman"/>
          <w:b w:val="0"/>
          <w:i w:val="0"/>
          <w:sz w:val="22"/>
        </w:rPr>
        <w:t>Işınım ihmal edilemez, ancak model seçimi yakıt tipine bağlıdır: elektrikli fırınlarda S2S yeterli, gazlı fırınlarda DO gereklidir [11], [26], [28].</w:t>
      </w:r>
    </w:p>
    <w:p>
      <w:pPr>
        <w:spacing w:after="120" w:before="0" w:line="276" w:lineRule="auto"/>
        <w:jc w:val="both"/>
      </w:pPr>
      <w:r>
        <w:rPr>
          <w:rFonts w:ascii="Times New Roman" w:hAnsi="Times New Roman" w:eastAsia="Times New Roman"/>
          <w:b w:val="0"/>
          <w:i w:val="0"/>
          <w:sz w:val="22"/>
        </w:rPr>
        <w:t>Fan modellemesinde MRF, pişirme çevriminin zaman ölçekleri göz önüne alındığında savunulabilir bir ödünleşmedir; kayan ağ yalnızca anlık jet yapısı veya akustik ilgi konusu olduğunda gerekir [8], [15].</w:t>
      </w:r>
    </w:p>
    <w:p>
      <w:pPr>
        <w:spacing w:after="120" w:before="0" w:line="276" w:lineRule="auto"/>
        <w:jc w:val="both"/>
      </w:pPr>
      <w:r>
        <w:rPr>
          <w:rFonts w:ascii="Times New Roman" w:hAnsi="Times New Roman" w:eastAsia="Times New Roman"/>
          <w:b w:val="0"/>
          <w:i w:val="0"/>
          <w:sz w:val="22"/>
        </w:rPr>
        <w:t>Performans değerlendirmesi çift katmanlı olmalıdır: optimizasyon döngüsünde sıcaklık tabanlı metrikler, nihai kabulde pişirme tabanlı metrikler (UBI) kullanılmalıdır [17], [38].</w:t>
      </w:r>
    </w:p>
    <w:p>
      <w:pPr>
        <w:spacing w:after="120" w:before="0" w:line="276" w:lineRule="auto"/>
        <w:jc w:val="both"/>
      </w:pPr>
      <w:r>
        <w:rPr>
          <w:rFonts w:ascii="Times New Roman" w:hAnsi="Times New Roman" w:eastAsia="Times New Roman"/>
          <w:b w:val="0"/>
          <w:i w:val="0"/>
          <w:sz w:val="22"/>
        </w:rPr>
        <w:t>Alanın en belirgin metodolojik eksiği sayısal belirsizliğin nicelenmemesidir. Deneysel doğrulama yaygınken GCI raporlaması yoktur [40], [41].</w:t>
      </w:r>
    </w:p>
    <w:p>
      <w:pPr>
        <w:spacing w:after="120" w:before="0" w:line="276" w:lineRule="auto"/>
        <w:jc w:val="both"/>
      </w:pPr>
      <w:r>
        <w:rPr>
          <w:rFonts w:ascii="Times New Roman" w:hAnsi="Times New Roman" w:eastAsia="Times New Roman"/>
          <w:b w:val="0"/>
          <w:i w:val="0"/>
          <w:sz w:val="22"/>
        </w:rPr>
        <w:t>Bu sonuçlar, fırın tasarımında HAD'ın artık bir doğrulama aracı olmaktan çıkıp bir tasarım üretme aracına dönüştüğünü gösterir. Dönüşümün metodolojik altyapısı, yani belirsizlik niceleme, çok amaçlı optimizasyon ve pişirme tabanlı amaç fonksiyonları, henüz tamamlanmamıştır.</w:t>
      </w:r>
    </w:p>
    <w:p>
      <w:pPr>
        <w:pStyle w:val="Heading1"/>
        <w:spacing w:before="280" w:after="120"/>
      </w:pPr>
      <w:r>
        <w:rPr>
          <w:rFonts w:ascii="Times New Roman" w:hAnsi="Times New Roman" w:eastAsia="Times New Roman"/>
          <w:b/>
          <w:color w:val="1A1A1A"/>
          <w:sz w:val="28"/>
        </w:rPr>
        <w:t>KAYNAKLAR</w:t>
      </w:r>
    </w:p>
    <w:p>
      <w:pPr>
        <w:spacing w:after="80" w:before="0" w:line="276" w:lineRule="auto"/>
        <w:ind w:left="510" w:hanging="510"/>
      </w:pPr>
      <w:r>
        <w:rPr>
          <w:rFonts w:ascii="Times New Roman" w:hAnsi="Times New Roman" w:eastAsia="Times New Roman"/>
          <w:b w:val="0"/>
          <w:i w:val="0"/>
          <w:sz w:val="19"/>
        </w:rPr>
        <w:t xml:space="preserve">[1] H. Doğan ve N. Yılankırkan, "Türkiye'nin enerji verimliliği potansiyeli ve projeksiyonu," </w:t>
      </w:r>
      <w:r>
        <w:rPr>
          <w:rFonts w:ascii="Times New Roman" w:hAnsi="Times New Roman" w:eastAsia="Times New Roman"/>
          <w:b w:val="0"/>
          <w:i/>
          <w:sz w:val="19"/>
        </w:rPr>
        <w:t>Gazi Üniversitesi Fen Bilimleri Dergisi Part C: Tasarım ve Teknoloji</w:t>
      </w:r>
      <w:r>
        <w:rPr>
          <w:rFonts w:ascii="Times New Roman" w:hAnsi="Times New Roman" w:eastAsia="Times New Roman"/>
          <w:b w:val="0"/>
          <w:i w:val="0"/>
          <w:sz w:val="19"/>
        </w:rPr>
        <w:t>, c. 3, s. 1, ss. 375-384, 2015.</w:t>
      </w:r>
    </w:p>
    <w:p>
      <w:pPr>
        <w:spacing w:after="80" w:before="0" w:line="276" w:lineRule="auto"/>
        <w:ind w:left="510" w:hanging="510"/>
      </w:pPr>
      <w:r>
        <w:rPr>
          <w:rFonts w:ascii="Times New Roman" w:hAnsi="Times New Roman" w:eastAsia="Times New Roman"/>
          <w:b w:val="0"/>
          <w:i w:val="0"/>
          <w:sz w:val="19"/>
        </w:rPr>
        <w:t>[2] O. Gün, "Ankastre fırınlarda fan koruma sacının performans ve güvenliğe etkisinin incelenmesi," Yüksek Lisans Tezi, Fen Bilimleri Enstitüsü, Amasya Üniversitesi, Amasya, 2023.</w:t>
      </w:r>
    </w:p>
    <w:p>
      <w:pPr>
        <w:spacing w:after="80" w:before="0" w:line="276" w:lineRule="auto"/>
        <w:ind w:left="510" w:hanging="510"/>
      </w:pPr>
      <w:r>
        <w:rPr>
          <w:rFonts w:ascii="Times New Roman" w:hAnsi="Times New Roman" w:eastAsia="Times New Roman"/>
          <w:b w:val="0"/>
          <w:i w:val="0"/>
          <w:sz w:val="19"/>
        </w:rPr>
        <w:t xml:space="preserve">[3] Komisyon Tüzüğü (AB) No 66/2014, 14 Ocak 2014, </w:t>
      </w:r>
      <w:r>
        <w:rPr>
          <w:rFonts w:ascii="Times New Roman" w:hAnsi="Times New Roman" w:eastAsia="Times New Roman"/>
          <w:b w:val="0"/>
          <w:i/>
          <w:sz w:val="19"/>
        </w:rPr>
        <w:t>Ev tipi fırınlar, ocaklar ve davlumbazlar için ekotasarım gerekliliklerine ilişkin olarak 2009/125/EC sayılı Direktifi uygulayan Tüzük</w:t>
      </w:r>
      <w:r>
        <w:rPr>
          <w:rFonts w:ascii="Times New Roman" w:hAnsi="Times New Roman" w:eastAsia="Times New Roman"/>
          <w:b w:val="0"/>
          <w:i w:val="0"/>
          <w:sz w:val="19"/>
        </w:rPr>
        <w:t>, OJ L 29, 31.01.2014, s. 33.</w:t>
      </w:r>
    </w:p>
    <w:p>
      <w:pPr>
        <w:spacing w:after="80" w:before="0" w:line="276" w:lineRule="auto"/>
        <w:ind w:left="510" w:hanging="510"/>
      </w:pPr>
      <w:r>
        <w:rPr>
          <w:rFonts w:ascii="Times New Roman" w:hAnsi="Times New Roman" w:eastAsia="Times New Roman"/>
          <w:b w:val="0"/>
          <w:i w:val="0"/>
          <w:sz w:val="19"/>
        </w:rPr>
        <w:t xml:space="preserve">[4] Komisyon Delege Tüzüğü (AB) No 65/2014, 1 Ekim 2013, </w:t>
      </w:r>
      <w:r>
        <w:rPr>
          <w:rFonts w:ascii="Times New Roman" w:hAnsi="Times New Roman" w:eastAsia="Times New Roman"/>
          <w:b w:val="0"/>
          <w:i/>
          <w:sz w:val="19"/>
        </w:rPr>
        <w:t>Ev tipi fırınların ve davlumbazların enerji etiketlemesine ilişkin olarak 2010/30/EU sayılı Direktifi tamamlayan Tüzük</w:t>
      </w:r>
      <w:r>
        <w:rPr>
          <w:rFonts w:ascii="Times New Roman" w:hAnsi="Times New Roman" w:eastAsia="Times New Roman"/>
          <w:b w:val="0"/>
          <w:i w:val="0"/>
          <w:sz w:val="19"/>
        </w:rPr>
        <w:t>, OJ L 29, 31.01.2014, s. 1.</w:t>
      </w:r>
    </w:p>
    <w:p>
      <w:pPr>
        <w:spacing w:after="80" w:before="0" w:line="276" w:lineRule="auto"/>
        <w:ind w:left="510" w:hanging="510"/>
      </w:pPr>
      <w:r>
        <w:rPr>
          <w:rFonts w:ascii="Times New Roman" w:hAnsi="Times New Roman" w:eastAsia="Times New Roman"/>
          <w:b w:val="0"/>
          <w:i w:val="0"/>
          <w:sz w:val="19"/>
        </w:rPr>
        <w:t xml:space="preserve">[5] EN IEC 60350-1:2023, </w:t>
      </w:r>
      <w:r>
        <w:rPr>
          <w:rFonts w:ascii="Times New Roman" w:hAnsi="Times New Roman" w:eastAsia="Times New Roman"/>
          <w:b w:val="0"/>
          <w:i/>
          <w:sz w:val="19"/>
        </w:rPr>
        <w:t>Household electric cooking appliances — Part 1: Ranges, ovens, steam ovens and grills — Methods for measuring performance</w:t>
      </w:r>
      <w:r>
        <w:rPr>
          <w:rFonts w:ascii="Times New Roman" w:hAnsi="Times New Roman" w:eastAsia="Times New Roman"/>
          <w:b w:val="0"/>
          <w:i w:val="0"/>
          <w:sz w:val="19"/>
        </w:rPr>
        <w:t>, CENELEC, Brüksel, 2023.</w:t>
      </w:r>
    </w:p>
    <w:p>
      <w:pPr>
        <w:spacing w:after="80" w:before="0" w:line="276" w:lineRule="auto"/>
        <w:ind w:left="510" w:hanging="510"/>
      </w:pPr>
      <w:r>
        <w:rPr>
          <w:rFonts w:ascii="Times New Roman" w:hAnsi="Times New Roman" w:eastAsia="Times New Roman"/>
          <w:b w:val="0"/>
          <w:i w:val="0"/>
          <w:sz w:val="19"/>
        </w:rPr>
        <w:t xml:space="preserve">[6] M. Keyfoğlu ve S. F. Kırmızıgöl, "Sürdürebilirliği sağlamak amacıyla ankastre fırınlarda ısıl verimlilik artırma," </w:t>
      </w:r>
      <w:r>
        <w:rPr>
          <w:rFonts w:ascii="Times New Roman" w:hAnsi="Times New Roman" w:eastAsia="Times New Roman"/>
          <w:b w:val="0"/>
          <w:i/>
          <w:sz w:val="19"/>
        </w:rPr>
        <w:t>Eskişehir Osmangazi Üniversitesi Mühendislik ve Mimarlık Fakültesi Dergisi</w:t>
      </w:r>
      <w:r>
        <w:rPr>
          <w:rFonts w:ascii="Times New Roman" w:hAnsi="Times New Roman" w:eastAsia="Times New Roman"/>
          <w:b w:val="0"/>
          <w:i w:val="0"/>
          <w:sz w:val="19"/>
        </w:rPr>
        <w:t>, c. 33, s. 1, ss. 1679-1694, 2025, doi: 10.31796/ogummf.1433107.</w:t>
      </w:r>
    </w:p>
    <w:p>
      <w:pPr>
        <w:spacing w:after="80" w:before="0" w:line="276" w:lineRule="auto"/>
        <w:ind w:left="510" w:hanging="510"/>
      </w:pPr>
      <w:r>
        <w:rPr>
          <w:rFonts w:ascii="Times New Roman" w:hAnsi="Times New Roman" w:eastAsia="Times New Roman"/>
          <w:b w:val="0"/>
          <w:i w:val="0"/>
          <w:sz w:val="19"/>
        </w:rPr>
        <w:t xml:space="preserve">[7] Ö. Altun, Ş. Yıldız ve T. Anık, "Ankastre ev tipi fırınlarda fırın kapağının enerji tüketimi ve enerji seviyesine etkisinin deneysel olarak incelenmesi," </w:t>
      </w:r>
      <w:r>
        <w:rPr>
          <w:rFonts w:ascii="Times New Roman" w:hAnsi="Times New Roman" w:eastAsia="Times New Roman"/>
          <w:b w:val="0"/>
          <w:i/>
          <w:sz w:val="19"/>
        </w:rPr>
        <w:t>Pamukkale Üniversitesi Mühendislik Bilimleri Dergisi</w:t>
      </w:r>
      <w:r>
        <w:rPr>
          <w:rFonts w:ascii="Times New Roman" w:hAnsi="Times New Roman" w:eastAsia="Times New Roman"/>
          <w:b w:val="0"/>
          <w:i w:val="0"/>
          <w:sz w:val="19"/>
        </w:rPr>
        <w:t>, c. 25, s. 4, ss. 403-409, 2019.</w:t>
      </w:r>
    </w:p>
    <w:p>
      <w:pPr>
        <w:spacing w:after="80" w:before="0" w:line="276" w:lineRule="auto"/>
        <w:ind w:left="510" w:hanging="510"/>
      </w:pPr>
      <w:r>
        <w:rPr>
          <w:rFonts w:ascii="Times New Roman" w:hAnsi="Times New Roman" w:eastAsia="Times New Roman"/>
          <w:b w:val="0"/>
          <w:i w:val="0"/>
          <w:sz w:val="19"/>
        </w:rPr>
        <w:t xml:space="preserve">[8] Z. Yang, D. Cheng, B. Su, C. Ji, J. Huang, H. Li ve K. Zhang, "Study on the optimization of temperature uniformity in the oven under the forced convection mode," </w:t>
      </w:r>
      <w:r>
        <w:rPr>
          <w:rFonts w:ascii="Times New Roman" w:hAnsi="Times New Roman" w:eastAsia="Times New Roman"/>
          <w:b w:val="0"/>
          <w:i/>
          <w:sz w:val="19"/>
        </w:rPr>
        <w:t>Scientific Reports</w:t>
      </w:r>
      <w:r>
        <w:rPr>
          <w:rFonts w:ascii="Times New Roman" w:hAnsi="Times New Roman" w:eastAsia="Times New Roman"/>
          <w:b w:val="0"/>
          <w:i w:val="0"/>
          <w:sz w:val="19"/>
        </w:rPr>
        <w:t>, c. 13, mak. no. 12486, 2023, doi: 10.1038/s41598-023-39317-w.</w:t>
      </w:r>
    </w:p>
    <w:p>
      <w:pPr>
        <w:spacing w:after="80" w:before="0" w:line="276" w:lineRule="auto"/>
        <w:ind w:left="510" w:hanging="510"/>
      </w:pPr>
      <w:r>
        <w:rPr>
          <w:rFonts w:ascii="Times New Roman" w:hAnsi="Times New Roman" w:eastAsia="Times New Roman"/>
          <w:b w:val="0"/>
          <w:i w:val="0"/>
          <w:sz w:val="19"/>
        </w:rPr>
        <w:t xml:space="preserve">[9] R. Timur, Z. Kahraman, M. Hacı ve H. S. Soyhan, "Evaluation of the effects of various fan parameters on the cooking process in commercial cooking ovens," </w:t>
      </w:r>
      <w:r>
        <w:rPr>
          <w:rFonts w:ascii="Times New Roman" w:hAnsi="Times New Roman" w:eastAsia="Times New Roman"/>
          <w:b w:val="0"/>
          <w:i/>
          <w:sz w:val="19"/>
        </w:rPr>
        <w:t>Journal of Physics: Conference Series</w:t>
      </w:r>
      <w:r>
        <w:rPr>
          <w:rFonts w:ascii="Times New Roman" w:hAnsi="Times New Roman" w:eastAsia="Times New Roman"/>
          <w:b w:val="0"/>
          <w:i w:val="0"/>
          <w:sz w:val="19"/>
        </w:rPr>
        <w:t>, c. 2766, s. 1, mak. no. 012016, 2024.</w:t>
      </w:r>
    </w:p>
    <w:p>
      <w:pPr>
        <w:spacing w:after="80" w:before="0" w:line="276" w:lineRule="auto"/>
        <w:ind w:left="510" w:hanging="510"/>
      </w:pPr>
      <w:r>
        <w:rPr>
          <w:rFonts w:ascii="Times New Roman" w:hAnsi="Times New Roman" w:eastAsia="Times New Roman"/>
          <w:b w:val="0"/>
          <w:i w:val="0"/>
          <w:sz w:val="19"/>
        </w:rPr>
        <w:t xml:space="preserve">[10] B. Pala, T. Karamahmutoğlu ve R. Yüce, "Endüstriyel fırınlarda CFD analizleri ile hava perdesi tasarımı," </w:t>
      </w:r>
      <w:r>
        <w:rPr>
          <w:rFonts w:ascii="Times New Roman" w:hAnsi="Times New Roman" w:eastAsia="Times New Roman"/>
          <w:b w:val="0"/>
          <w:i/>
          <w:sz w:val="19"/>
        </w:rPr>
        <w:t>Akdeniz Mühendislik Dergisi</w:t>
      </w:r>
      <w:r>
        <w:rPr>
          <w:rFonts w:ascii="Times New Roman" w:hAnsi="Times New Roman" w:eastAsia="Times New Roman"/>
          <w:b w:val="0"/>
          <w:i w:val="0"/>
          <w:sz w:val="19"/>
        </w:rPr>
        <w:t>, c. 3, s. 2, ss. 172-183, 2025.</w:t>
      </w:r>
    </w:p>
    <w:p>
      <w:pPr>
        <w:spacing w:after="80" w:before="0" w:line="276" w:lineRule="auto"/>
        <w:ind w:left="510" w:hanging="510"/>
      </w:pPr>
      <w:r>
        <w:rPr>
          <w:rFonts w:ascii="Times New Roman" w:hAnsi="Times New Roman" w:eastAsia="Times New Roman"/>
          <w:b w:val="0"/>
          <w:i w:val="0"/>
          <w:sz w:val="19"/>
        </w:rPr>
        <w:t xml:space="preserve">[11] N. H. Hassan, R. M. Salleh ve U. K. Ibrahim, "Effect of convection mode on radiation heat transfer distribution in domestic baking oven," </w:t>
      </w:r>
      <w:r>
        <w:rPr>
          <w:rFonts w:ascii="Times New Roman" w:hAnsi="Times New Roman" w:eastAsia="Times New Roman"/>
          <w:b w:val="0"/>
          <w:i/>
          <w:sz w:val="19"/>
        </w:rPr>
        <w:t>International Journal of Chemical Engineering and Applications</w:t>
      </w:r>
      <w:r>
        <w:rPr>
          <w:rFonts w:ascii="Times New Roman" w:hAnsi="Times New Roman" w:eastAsia="Times New Roman"/>
          <w:b w:val="0"/>
          <w:i w:val="0"/>
          <w:sz w:val="19"/>
        </w:rPr>
        <w:t>, c. 3, s. 6, ss. 404-406, 2012.</w:t>
      </w:r>
    </w:p>
    <w:p>
      <w:pPr>
        <w:spacing w:after="80" w:before="0" w:line="276" w:lineRule="auto"/>
        <w:ind w:left="510" w:hanging="510"/>
      </w:pPr>
      <w:r>
        <w:rPr>
          <w:rFonts w:ascii="Times New Roman" w:hAnsi="Times New Roman" w:eastAsia="Times New Roman"/>
          <w:b w:val="0"/>
          <w:i w:val="0"/>
          <w:sz w:val="19"/>
        </w:rPr>
        <w:t xml:space="preserve">[12] F. F. Hincapié ve M. J. García, "A surrogate model of heat transfer mechanism in a domestic gas oven: A numerical simulation approach for premixed flames," </w:t>
      </w:r>
      <w:r>
        <w:rPr>
          <w:rFonts w:ascii="Times New Roman" w:hAnsi="Times New Roman" w:eastAsia="Times New Roman"/>
          <w:b w:val="0"/>
          <w:i/>
          <w:sz w:val="19"/>
        </w:rPr>
        <w:t>Applied Mechanics</w:t>
      </w:r>
      <w:r>
        <w:rPr>
          <w:rFonts w:ascii="Times New Roman" w:hAnsi="Times New Roman" w:eastAsia="Times New Roman"/>
          <w:b w:val="0"/>
          <w:i w:val="0"/>
          <w:sz w:val="19"/>
        </w:rPr>
        <w:t>, c. 5, s. 2, ss. 391-404, 2024, doi: 10.3390/applmech5020023.</w:t>
      </w:r>
    </w:p>
    <w:p>
      <w:pPr>
        <w:spacing w:after="80" w:before="0" w:line="276" w:lineRule="auto"/>
        <w:ind w:left="510" w:hanging="510"/>
      </w:pPr>
      <w:r>
        <w:rPr>
          <w:rFonts w:ascii="Times New Roman" w:hAnsi="Times New Roman" w:eastAsia="Times New Roman"/>
          <w:b w:val="0"/>
          <w:i w:val="0"/>
          <w:sz w:val="19"/>
        </w:rPr>
        <w:t xml:space="preserve">[13] M. Önal, Ö. Ağra ve M. K. Sevindir, "Fanlı pişirici cihazlarda motor dönüş devri ve yönünün kavite içi hız ve sıcaklık dağılımına etkisinin sayısal ve deneysel incelenmesi," </w:t>
      </w:r>
      <w:r>
        <w:rPr>
          <w:rFonts w:ascii="Times New Roman" w:hAnsi="Times New Roman" w:eastAsia="Times New Roman"/>
          <w:b w:val="0"/>
          <w:i/>
          <w:sz w:val="19"/>
        </w:rPr>
        <w:t>Gazi Üniversitesi Mühendislik Mimarlık Fakültesi Dergisi</w:t>
      </w:r>
      <w:r>
        <w:rPr>
          <w:rFonts w:ascii="Times New Roman" w:hAnsi="Times New Roman" w:eastAsia="Times New Roman"/>
          <w:b w:val="0"/>
          <w:i w:val="0"/>
          <w:sz w:val="19"/>
        </w:rPr>
        <w:t>, c. 40, s. 3, ss. 1771-1786, 2025.</w:t>
      </w:r>
    </w:p>
    <w:p>
      <w:pPr>
        <w:spacing w:after="80" w:before="0" w:line="276" w:lineRule="auto"/>
        <w:ind w:left="510" w:hanging="510"/>
      </w:pPr>
      <w:r>
        <w:rPr>
          <w:rFonts w:ascii="Times New Roman" w:hAnsi="Times New Roman" w:eastAsia="Times New Roman"/>
          <w:b w:val="0"/>
          <w:i w:val="0"/>
          <w:sz w:val="19"/>
        </w:rPr>
        <w:t xml:space="preserve">[14] M. Burhan, B. Kişin, A. A. Özalp ve E. Efeler, "Turbo kuzine fırınlarının radyal ve tanjansiyel fan ile farklı kanat açıları ve gövde izolasyonları kullanarak, kabin içi sıcaklık dağılımlarının deneysel ve nümerik olarak incelenmesi," </w:t>
      </w:r>
      <w:r>
        <w:rPr>
          <w:rFonts w:ascii="Times New Roman" w:hAnsi="Times New Roman" w:eastAsia="Times New Roman"/>
          <w:b w:val="0"/>
          <w:i/>
          <w:sz w:val="19"/>
        </w:rPr>
        <w:t>Uluslararası Bilim Teknoloji ve Tasarım Dergisi</w:t>
      </w:r>
      <w:r>
        <w:rPr>
          <w:rFonts w:ascii="Times New Roman" w:hAnsi="Times New Roman" w:eastAsia="Times New Roman"/>
          <w:b w:val="0"/>
          <w:i w:val="0"/>
          <w:sz w:val="19"/>
        </w:rPr>
        <w:t>, c. 3, s. 2, ss. 116-129, 2022.</w:t>
      </w:r>
    </w:p>
    <w:p>
      <w:pPr>
        <w:spacing w:after="80" w:before="0" w:line="276" w:lineRule="auto"/>
        <w:ind w:left="510" w:hanging="510"/>
      </w:pPr>
      <w:r>
        <w:rPr>
          <w:rFonts w:ascii="Times New Roman" w:hAnsi="Times New Roman" w:eastAsia="Times New Roman"/>
          <w:b w:val="0"/>
          <w:i w:val="0"/>
          <w:sz w:val="19"/>
        </w:rPr>
        <w:t xml:space="preserve">[15] Z. Rek, M. Rudolf ve I. Žun, "Application of CFD simulation in the development of a new generation heating oven," </w:t>
      </w:r>
      <w:r>
        <w:rPr>
          <w:rFonts w:ascii="Times New Roman" w:hAnsi="Times New Roman" w:eastAsia="Times New Roman"/>
          <w:b w:val="0"/>
          <w:i/>
          <w:sz w:val="19"/>
        </w:rPr>
        <w:t>Strojniški vestnik — Journal of Mechanical Engineering</w:t>
      </w:r>
      <w:r>
        <w:rPr>
          <w:rFonts w:ascii="Times New Roman" w:hAnsi="Times New Roman" w:eastAsia="Times New Roman"/>
          <w:b w:val="0"/>
          <w:i w:val="0"/>
          <w:sz w:val="19"/>
        </w:rPr>
        <w:t>, c. 58, s. 2, ss. 134-144, 2012, doi: 10.5545/sv-jme.2011.163.</w:t>
      </w:r>
    </w:p>
    <w:p>
      <w:pPr>
        <w:spacing w:after="80" w:before="0" w:line="276" w:lineRule="auto"/>
        <w:ind w:left="510" w:hanging="510"/>
      </w:pPr>
      <w:r>
        <w:rPr>
          <w:rFonts w:ascii="Times New Roman" w:hAnsi="Times New Roman" w:eastAsia="Times New Roman"/>
          <w:b w:val="0"/>
          <w:i w:val="0"/>
          <w:sz w:val="19"/>
        </w:rPr>
        <w:t xml:space="preserve">[16] F. Bilen ve ark., "Cooking performance optimization with new types of fan baffles in domestic built-in ovens," </w:t>
      </w:r>
      <w:r>
        <w:rPr>
          <w:rFonts w:ascii="Times New Roman" w:hAnsi="Times New Roman" w:eastAsia="Times New Roman"/>
          <w:b w:val="0"/>
          <w:i/>
          <w:sz w:val="19"/>
        </w:rPr>
        <w:t>Proceedings of the International Conference on Experimental and Numerical Flow and Heat Transfer (ENFHT'23)</w:t>
      </w:r>
      <w:r>
        <w:rPr>
          <w:rFonts w:ascii="Times New Roman" w:hAnsi="Times New Roman" w:eastAsia="Times New Roman"/>
          <w:b w:val="0"/>
          <w:i w:val="0"/>
          <w:sz w:val="19"/>
        </w:rPr>
        <w:t>, Lizbon, Portekiz, 26-28 Mart 2023, Bildiri No. ENFHT 168, doi: 10.11159/enfht23.168.</w:t>
      </w:r>
    </w:p>
    <w:p>
      <w:pPr>
        <w:spacing w:after="80" w:before="0" w:line="276" w:lineRule="auto"/>
        <w:ind w:left="510" w:hanging="510"/>
      </w:pPr>
      <w:r>
        <w:rPr>
          <w:rFonts w:ascii="Times New Roman" w:hAnsi="Times New Roman" w:eastAsia="Times New Roman"/>
          <w:b w:val="0"/>
          <w:i w:val="0"/>
          <w:sz w:val="19"/>
        </w:rPr>
        <w:t xml:space="preserve">[17] S.-K. Park ve D.-K. Lee, "Design of domestic electric oven using uniformity of browning index of bread in baking process," </w:t>
      </w:r>
      <w:r>
        <w:rPr>
          <w:rFonts w:ascii="Times New Roman" w:hAnsi="Times New Roman" w:eastAsia="Times New Roman"/>
          <w:b w:val="0"/>
          <w:i/>
          <w:sz w:val="19"/>
        </w:rPr>
        <w:t>Journal of Mechanical Science and Technology</w:t>
      </w:r>
      <w:r>
        <w:rPr>
          <w:rFonts w:ascii="Times New Roman" w:hAnsi="Times New Roman" w:eastAsia="Times New Roman"/>
          <w:b w:val="0"/>
          <w:i w:val="0"/>
          <w:sz w:val="19"/>
        </w:rPr>
        <w:t>, c. 33, s. 9, 2019, doi: 10.1007/s12206-019-0827-7.</w:t>
      </w:r>
    </w:p>
    <w:p>
      <w:pPr>
        <w:spacing w:after="80" w:before="0" w:line="276" w:lineRule="auto"/>
        <w:ind w:left="510" w:hanging="510"/>
      </w:pPr>
      <w:r>
        <w:rPr>
          <w:rFonts w:ascii="Times New Roman" w:hAnsi="Times New Roman" w:eastAsia="Times New Roman"/>
          <w:b w:val="0"/>
          <w:i w:val="0"/>
          <w:sz w:val="19"/>
        </w:rPr>
        <w:t xml:space="preserve">[18] B. Kişin, M. Burhan, O. Dede, K. İleri, C. Çelik ve A. A. Özalp, "Fırın içi momentum ve ısı transferi mekanizmalarının nümerik incelenmesi," </w:t>
      </w:r>
      <w:r>
        <w:rPr>
          <w:rFonts w:ascii="Times New Roman" w:hAnsi="Times New Roman" w:eastAsia="Times New Roman"/>
          <w:b w:val="0"/>
          <w:i/>
          <w:sz w:val="19"/>
        </w:rPr>
        <w:t>14. Ulusal Tesisat Mühendisliği Kongresi (TESKON 2019)</w:t>
      </w:r>
      <w:r>
        <w:rPr>
          <w:rFonts w:ascii="Times New Roman" w:hAnsi="Times New Roman" w:eastAsia="Times New Roman"/>
          <w:b w:val="0"/>
          <w:i w:val="0"/>
          <w:sz w:val="19"/>
        </w:rPr>
        <w:t>, İzmir, 2019, ss. 1127-1140.</w:t>
      </w:r>
    </w:p>
    <w:p>
      <w:pPr>
        <w:spacing w:after="80" w:before="0" w:line="276" w:lineRule="auto"/>
        <w:ind w:left="510" w:hanging="510"/>
      </w:pPr>
      <w:r>
        <w:rPr>
          <w:rFonts w:ascii="Times New Roman" w:hAnsi="Times New Roman" w:eastAsia="Times New Roman"/>
          <w:b w:val="0"/>
          <w:i w:val="0"/>
          <w:sz w:val="19"/>
        </w:rPr>
        <w:t xml:space="preserve">[19] M. Fahey, S. Wakes ve C. Shaw, "Use of computational fluid dynamics in domestic oven design," </w:t>
      </w:r>
      <w:r>
        <w:rPr>
          <w:rFonts w:ascii="Times New Roman" w:hAnsi="Times New Roman" w:eastAsia="Times New Roman"/>
          <w:b w:val="0"/>
          <w:i/>
          <w:sz w:val="19"/>
        </w:rPr>
        <w:t>International Journal of Multiphysics</w:t>
      </w:r>
      <w:r>
        <w:rPr>
          <w:rFonts w:ascii="Times New Roman" w:hAnsi="Times New Roman" w:eastAsia="Times New Roman"/>
          <w:b w:val="0"/>
          <w:i w:val="0"/>
          <w:sz w:val="19"/>
        </w:rPr>
        <w:t>, c. 2, s. 1, ss. 37-58, 2008, doi: 10.1260/175095408784300216.</w:t>
      </w:r>
    </w:p>
    <w:p>
      <w:pPr>
        <w:spacing w:after="80" w:before="0" w:line="276" w:lineRule="auto"/>
        <w:ind w:left="510" w:hanging="510"/>
      </w:pPr>
      <w:r>
        <w:rPr>
          <w:rFonts w:ascii="Times New Roman" w:hAnsi="Times New Roman" w:eastAsia="Times New Roman"/>
          <w:b w:val="0"/>
          <w:i w:val="0"/>
          <w:sz w:val="19"/>
        </w:rPr>
        <w:t xml:space="preserve">[20] N. Chhanwal, A. Tank, K. S. M. S. Raghavarao ve C. Anandharamakrishnan, "Computational fluid dynamics (CFD) modeling for bread baking process — A review," </w:t>
      </w:r>
      <w:r>
        <w:rPr>
          <w:rFonts w:ascii="Times New Roman" w:hAnsi="Times New Roman" w:eastAsia="Times New Roman"/>
          <w:b w:val="0"/>
          <w:i/>
          <w:sz w:val="19"/>
        </w:rPr>
        <w:t>Food and Bioprocess Technology</w:t>
      </w:r>
      <w:r>
        <w:rPr>
          <w:rFonts w:ascii="Times New Roman" w:hAnsi="Times New Roman" w:eastAsia="Times New Roman"/>
          <w:b w:val="0"/>
          <w:i w:val="0"/>
          <w:sz w:val="19"/>
        </w:rPr>
        <w:t>, c. 5, ss. 1157-1172, 2012, doi: 10.1007/s11947-012-0804-y.</w:t>
      </w:r>
    </w:p>
    <w:p>
      <w:pPr>
        <w:spacing w:after="80" w:before="0" w:line="276" w:lineRule="auto"/>
        <w:ind w:left="510" w:hanging="510"/>
      </w:pPr>
      <w:r>
        <w:rPr>
          <w:rFonts w:ascii="Times New Roman" w:hAnsi="Times New Roman" w:eastAsia="Times New Roman"/>
          <w:b w:val="0"/>
          <w:i w:val="0"/>
          <w:sz w:val="19"/>
        </w:rPr>
        <w:t xml:space="preserve">[21] P. Verboven, N. Scheerlinck, J. De Baerdemaeker ve B. M. Nicolaï, "Computational fluid dynamics modelling and validation of the isothermal airflow in a forced convection oven," </w:t>
      </w:r>
      <w:r>
        <w:rPr>
          <w:rFonts w:ascii="Times New Roman" w:hAnsi="Times New Roman" w:eastAsia="Times New Roman"/>
          <w:b w:val="0"/>
          <w:i/>
          <w:sz w:val="19"/>
        </w:rPr>
        <w:t>Journal of Food Engineering</w:t>
      </w:r>
      <w:r>
        <w:rPr>
          <w:rFonts w:ascii="Times New Roman" w:hAnsi="Times New Roman" w:eastAsia="Times New Roman"/>
          <w:b w:val="0"/>
          <w:i w:val="0"/>
          <w:sz w:val="19"/>
        </w:rPr>
        <w:t>, c. 43, ss. 41-53, 2000.</w:t>
      </w:r>
    </w:p>
    <w:p>
      <w:pPr>
        <w:spacing w:after="80" w:before="0" w:line="276" w:lineRule="auto"/>
        <w:ind w:left="510" w:hanging="510"/>
      </w:pPr>
      <w:r>
        <w:rPr>
          <w:rFonts w:ascii="Times New Roman" w:hAnsi="Times New Roman" w:eastAsia="Times New Roman"/>
          <w:b w:val="0"/>
          <w:i w:val="0"/>
          <w:sz w:val="19"/>
        </w:rPr>
        <w:t xml:space="preserve">[22] P. Verboven, N. Scheerlinck, J. De Baerdemaeker ve B. M. Nicolaï, "Computational fluid dynamics modelling and validation of the temperature distribution in a forced convection oven," </w:t>
      </w:r>
      <w:r>
        <w:rPr>
          <w:rFonts w:ascii="Times New Roman" w:hAnsi="Times New Roman" w:eastAsia="Times New Roman"/>
          <w:b w:val="0"/>
          <w:i/>
          <w:sz w:val="19"/>
        </w:rPr>
        <w:t>Journal of Food Engineering</w:t>
      </w:r>
      <w:r>
        <w:rPr>
          <w:rFonts w:ascii="Times New Roman" w:hAnsi="Times New Roman" w:eastAsia="Times New Roman"/>
          <w:b w:val="0"/>
          <w:i w:val="0"/>
          <w:sz w:val="19"/>
        </w:rPr>
        <w:t>, c. 43, ss. 61-73, 2000.</w:t>
      </w:r>
    </w:p>
    <w:p>
      <w:pPr>
        <w:spacing w:after="80" w:before="0" w:line="276" w:lineRule="auto"/>
        <w:ind w:left="510" w:hanging="510"/>
      </w:pPr>
      <w:r>
        <w:rPr>
          <w:rFonts w:ascii="Times New Roman" w:hAnsi="Times New Roman" w:eastAsia="Times New Roman"/>
          <w:b w:val="0"/>
          <w:i w:val="0"/>
          <w:sz w:val="19"/>
        </w:rPr>
        <w:t xml:space="preserve">[23] B. E. Launder ve D. B. Spalding, "The numerical computation of turbulent flows," </w:t>
      </w:r>
      <w:r>
        <w:rPr>
          <w:rFonts w:ascii="Times New Roman" w:hAnsi="Times New Roman" w:eastAsia="Times New Roman"/>
          <w:b w:val="0"/>
          <w:i/>
          <w:sz w:val="19"/>
        </w:rPr>
        <w:t>Computer Methods in Applied Mechanics and Engineering</w:t>
      </w:r>
      <w:r>
        <w:rPr>
          <w:rFonts w:ascii="Times New Roman" w:hAnsi="Times New Roman" w:eastAsia="Times New Roman"/>
          <w:b w:val="0"/>
          <w:i w:val="0"/>
          <w:sz w:val="19"/>
        </w:rPr>
        <w:t>, c. 3, s. 2, ss. 269-289, 1974.</w:t>
      </w:r>
    </w:p>
    <w:p>
      <w:pPr>
        <w:spacing w:after="80" w:before="0" w:line="276" w:lineRule="auto"/>
        <w:ind w:left="510" w:hanging="510"/>
      </w:pPr>
      <w:r>
        <w:rPr>
          <w:rFonts w:ascii="Times New Roman" w:hAnsi="Times New Roman" w:eastAsia="Times New Roman"/>
          <w:b w:val="0"/>
          <w:i w:val="0"/>
          <w:sz w:val="19"/>
        </w:rPr>
        <w:t xml:space="preserve">[24] T.-H. Shih, W. W. Liou, A. Shabbir, Z. Yang ve J. Zhu, "A new k-ε eddy viscosity model for high Reynolds number turbulent flows," </w:t>
      </w:r>
      <w:r>
        <w:rPr>
          <w:rFonts w:ascii="Times New Roman" w:hAnsi="Times New Roman" w:eastAsia="Times New Roman"/>
          <w:b w:val="0"/>
          <w:i/>
          <w:sz w:val="19"/>
        </w:rPr>
        <w:t>Computers &amp; Fluids</w:t>
      </w:r>
      <w:r>
        <w:rPr>
          <w:rFonts w:ascii="Times New Roman" w:hAnsi="Times New Roman" w:eastAsia="Times New Roman"/>
          <w:b w:val="0"/>
          <w:i w:val="0"/>
          <w:sz w:val="19"/>
        </w:rPr>
        <w:t>, c. 24, s. 3, ss. 227-238, 1995.</w:t>
      </w:r>
    </w:p>
    <w:p>
      <w:pPr>
        <w:spacing w:after="80" w:before="0" w:line="276" w:lineRule="auto"/>
        <w:ind w:left="510" w:hanging="510"/>
      </w:pPr>
      <w:r>
        <w:rPr>
          <w:rFonts w:ascii="Times New Roman" w:hAnsi="Times New Roman" w:eastAsia="Times New Roman"/>
          <w:b w:val="0"/>
          <w:i w:val="0"/>
          <w:sz w:val="19"/>
        </w:rPr>
        <w:t xml:space="preserve">[25] F. R. Menter, "Two-equation eddy-viscosity turbulence models for engineering applications," </w:t>
      </w:r>
      <w:r>
        <w:rPr>
          <w:rFonts w:ascii="Times New Roman" w:hAnsi="Times New Roman" w:eastAsia="Times New Roman"/>
          <w:b w:val="0"/>
          <w:i/>
          <w:sz w:val="19"/>
        </w:rPr>
        <w:t>AIAA Journal</w:t>
      </w:r>
      <w:r>
        <w:rPr>
          <w:rFonts w:ascii="Times New Roman" w:hAnsi="Times New Roman" w:eastAsia="Times New Roman"/>
          <w:b w:val="0"/>
          <w:i w:val="0"/>
          <w:sz w:val="19"/>
        </w:rPr>
        <w:t>, c. 32, s. 8, ss. 1598-1605, 1994, doi: 10.2514/3.12149.</w:t>
      </w:r>
    </w:p>
    <w:p>
      <w:pPr>
        <w:spacing w:after="80" w:before="0" w:line="276" w:lineRule="auto"/>
        <w:ind w:left="510" w:hanging="510"/>
      </w:pPr>
      <w:r>
        <w:rPr>
          <w:rFonts w:ascii="Times New Roman" w:hAnsi="Times New Roman" w:eastAsia="Times New Roman"/>
          <w:b w:val="0"/>
          <w:i w:val="0"/>
          <w:sz w:val="19"/>
        </w:rPr>
        <w:t xml:space="preserve">[26] H. Mistry, S. Ganapathisubbu, S. Dey, P. Bishnoi ve J. L. Castillo, "A methodology to model flow-thermals inside a domestic gas oven," </w:t>
      </w:r>
      <w:r>
        <w:rPr>
          <w:rFonts w:ascii="Times New Roman" w:hAnsi="Times New Roman" w:eastAsia="Times New Roman"/>
          <w:b w:val="0"/>
          <w:i/>
          <w:sz w:val="19"/>
        </w:rPr>
        <w:t>Applied Thermal Engineering</w:t>
      </w:r>
      <w:r>
        <w:rPr>
          <w:rFonts w:ascii="Times New Roman" w:hAnsi="Times New Roman" w:eastAsia="Times New Roman"/>
          <w:b w:val="0"/>
          <w:i w:val="0"/>
          <w:sz w:val="19"/>
        </w:rPr>
        <w:t>, c. 31, s. 1, ss. 103-111, 2011.</w:t>
      </w:r>
    </w:p>
    <w:p>
      <w:pPr>
        <w:spacing w:after="80" w:before="0" w:line="276" w:lineRule="auto"/>
        <w:ind w:left="510" w:hanging="510"/>
      </w:pPr>
      <w:r>
        <w:rPr>
          <w:rFonts w:ascii="Times New Roman" w:hAnsi="Times New Roman" w:eastAsia="Times New Roman"/>
          <w:b w:val="0"/>
          <w:i w:val="0"/>
          <w:sz w:val="19"/>
        </w:rPr>
        <w:t xml:space="preserve">[27] R. S. Reddy, D. Arepally ve A. K. Datta, "View factor computation and radiation energy analysis in baking oven with obstructions: Analytical and numerical method," </w:t>
      </w:r>
      <w:r>
        <w:rPr>
          <w:rFonts w:ascii="Times New Roman" w:hAnsi="Times New Roman" w:eastAsia="Times New Roman"/>
          <w:b w:val="0"/>
          <w:i/>
          <w:sz w:val="19"/>
        </w:rPr>
        <w:t>Journal of Food Process Engineering</w:t>
      </w:r>
      <w:r>
        <w:rPr>
          <w:rFonts w:ascii="Times New Roman" w:hAnsi="Times New Roman" w:eastAsia="Times New Roman"/>
          <w:b w:val="0"/>
          <w:i w:val="0"/>
          <w:sz w:val="19"/>
        </w:rPr>
        <w:t>, c. 46, s. 3, mak. no. e14270, 2023, doi: 10.1111/jfpe.14270.</w:t>
      </w:r>
    </w:p>
    <w:p>
      <w:pPr>
        <w:spacing w:after="80" w:before="0" w:line="276" w:lineRule="auto"/>
        <w:ind w:left="510" w:hanging="510"/>
      </w:pPr>
      <w:r>
        <w:rPr>
          <w:rFonts w:ascii="Times New Roman" w:hAnsi="Times New Roman" w:eastAsia="Times New Roman"/>
          <w:b w:val="0"/>
          <w:i w:val="0"/>
          <w:sz w:val="19"/>
        </w:rPr>
        <w:t xml:space="preserve">[28] V. Jovicic, A. Zbogar-Rasic, B. Burjakow ve A. Delgado, "Role of individual heat transfer mechanisms within a model baking oven heated by porous volumetric ceramic burners," </w:t>
      </w:r>
      <w:r>
        <w:rPr>
          <w:rFonts w:ascii="Times New Roman" w:hAnsi="Times New Roman" w:eastAsia="Times New Roman"/>
          <w:b w:val="0"/>
          <w:i/>
          <w:sz w:val="19"/>
        </w:rPr>
        <w:t>Frontiers in Chemistry</w:t>
      </w:r>
      <w:r>
        <w:rPr>
          <w:rFonts w:ascii="Times New Roman" w:hAnsi="Times New Roman" w:eastAsia="Times New Roman"/>
          <w:b w:val="0"/>
          <w:i w:val="0"/>
          <w:sz w:val="19"/>
        </w:rPr>
        <w:t>, c. 8, mak. no. 511012, 2020, doi: 10.3389/fchem.2020.511012.</w:t>
      </w:r>
    </w:p>
    <w:p>
      <w:pPr>
        <w:spacing w:after="80" w:before="0" w:line="276" w:lineRule="auto"/>
        <w:ind w:left="510" w:hanging="510"/>
      </w:pPr>
      <w:r>
        <w:rPr>
          <w:rFonts w:ascii="Times New Roman" w:hAnsi="Times New Roman" w:eastAsia="Times New Roman"/>
          <w:b w:val="0"/>
          <w:i w:val="0"/>
          <w:sz w:val="19"/>
        </w:rPr>
        <w:t xml:space="preserve">[29] S. Şahin, "A systematic approach to numerical analysis and validation for industrial oven design and optimization — A case study," </w:t>
      </w:r>
      <w:r>
        <w:rPr>
          <w:rFonts w:ascii="Times New Roman" w:hAnsi="Times New Roman" w:eastAsia="Times New Roman"/>
          <w:b w:val="0"/>
          <w:i/>
          <w:sz w:val="19"/>
        </w:rPr>
        <w:t>Isı Bilimi ve Tekniği Dergisi (Journal of Thermal Science and Technology)</w:t>
      </w:r>
      <w:r>
        <w:rPr>
          <w:rFonts w:ascii="Times New Roman" w:hAnsi="Times New Roman" w:eastAsia="Times New Roman"/>
          <w:b w:val="0"/>
          <w:i w:val="0"/>
          <w:sz w:val="19"/>
        </w:rPr>
        <w:t>, c. 45, s. 1, ss. 36-46, 2025, doi: 10.47480/isibted.1505298.</w:t>
      </w:r>
    </w:p>
    <w:p>
      <w:pPr>
        <w:spacing w:after="80" w:before="0" w:line="276" w:lineRule="auto"/>
        <w:ind w:left="510" w:hanging="510"/>
      </w:pPr>
      <w:r>
        <w:rPr>
          <w:rFonts w:ascii="Times New Roman" w:hAnsi="Times New Roman" w:eastAsia="Times New Roman"/>
          <w:b w:val="0"/>
          <w:i w:val="0"/>
          <w:sz w:val="19"/>
        </w:rPr>
        <w:t xml:space="preserve">[30] J. Smolka, Z. Buliński ve A. J. Nowak, "Genetic algorithm shape optimisation of a natural air circulation heating oven based on an experimentally validated 3-D CFD model," </w:t>
      </w:r>
      <w:r>
        <w:rPr>
          <w:rFonts w:ascii="Times New Roman" w:hAnsi="Times New Roman" w:eastAsia="Times New Roman"/>
          <w:b w:val="0"/>
          <w:i/>
          <w:sz w:val="19"/>
        </w:rPr>
        <w:t>International Journal of Thermal Sciences</w:t>
      </w:r>
      <w:r>
        <w:rPr>
          <w:rFonts w:ascii="Times New Roman" w:hAnsi="Times New Roman" w:eastAsia="Times New Roman"/>
          <w:b w:val="0"/>
          <w:i w:val="0"/>
          <w:sz w:val="19"/>
        </w:rPr>
        <w:t>, 2013.</w:t>
      </w:r>
    </w:p>
    <w:p>
      <w:pPr>
        <w:spacing w:after="80" w:before="0" w:line="276" w:lineRule="auto"/>
        <w:ind w:left="510" w:hanging="510"/>
      </w:pPr>
      <w:r>
        <w:rPr>
          <w:rFonts w:ascii="Times New Roman" w:hAnsi="Times New Roman" w:eastAsia="Times New Roman"/>
          <w:b w:val="0"/>
          <w:i w:val="0"/>
          <w:sz w:val="19"/>
        </w:rPr>
        <w:t xml:space="preserve">[31] Z. Khatir, H. M. Thompson, N. Kapur, V. Toropov ve J. Paton, "Multi-objective computational fluid dynamics (CFD) design optimisation in commercial bread-baking," </w:t>
      </w:r>
      <w:r>
        <w:rPr>
          <w:rFonts w:ascii="Times New Roman" w:hAnsi="Times New Roman" w:eastAsia="Times New Roman"/>
          <w:b w:val="0"/>
          <w:i/>
          <w:sz w:val="19"/>
        </w:rPr>
        <w:t>Applied Thermal Engineering</w:t>
      </w:r>
      <w:r>
        <w:rPr>
          <w:rFonts w:ascii="Times New Roman" w:hAnsi="Times New Roman" w:eastAsia="Times New Roman"/>
          <w:b w:val="0"/>
          <w:i w:val="0"/>
          <w:sz w:val="19"/>
        </w:rPr>
        <w:t>, c. 60, ss. 480-486, 2013.</w:t>
      </w:r>
    </w:p>
    <w:p>
      <w:pPr>
        <w:spacing w:after="80" w:before="0" w:line="276" w:lineRule="auto"/>
        <w:ind w:left="510" w:hanging="510"/>
      </w:pPr>
      <w:r>
        <w:rPr>
          <w:rFonts w:ascii="Times New Roman" w:hAnsi="Times New Roman" w:eastAsia="Times New Roman"/>
          <w:b w:val="0"/>
          <w:i w:val="0"/>
          <w:sz w:val="19"/>
        </w:rPr>
        <w:t xml:space="preserve">[32] Z. Khatir, A. R. Taherkhani, J. Paton, H. Thompson, N. Kapur ve V. Toropov, "Energy thermal management in commercial bread-baking using a multi-objective optimisation framework," </w:t>
      </w:r>
      <w:r>
        <w:rPr>
          <w:rFonts w:ascii="Times New Roman" w:hAnsi="Times New Roman" w:eastAsia="Times New Roman"/>
          <w:b w:val="0"/>
          <w:i/>
          <w:sz w:val="19"/>
        </w:rPr>
        <w:t>Applied Thermal Engineering</w:t>
      </w:r>
      <w:r>
        <w:rPr>
          <w:rFonts w:ascii="Times New Roman" w:hAnsi="Times New Roman" w:eastAsia="Times New Roman"/>
          <w:b w:val="0"/>
          <w:i w:val="0"/>
          <w:sz w:val="19"/>
        </w:rPr>
        <w:t>, c. 80, ss. 141-149, 2015, doi: 10.1016/j.applthermaleng.2015.01.042.</w:t>
      </w:r>
    </w:p>
    <w:p>
      <w:pPr>
        <w:spacing w:after="80" w:before="0" w:line="276" w:lineRule="auto"/>
        <w:ind w:left="510" w:hanging="510"/>
      </w:pPr>
      <w:r>
        <w:rPr>
          <w:rFonts w:ascii="Times New Roman" w:hAnsi="Times New Roman" w:eastAsia="Times New Roman"/>
          <w:b w:val="0"/>
          <w:i w:val="0"/>
          <w:sz w:val="19"/>
        </w:rPr>
        <w:t xml:space="preserve">[33] N. Chhanwal, A. Anishaparvin, D. Indrani, K. S. M. S. Raghavarao ve C. Anandharamakrishnan, "Computational fluid dynamics (CFD) modeling of an electrical heating oven for bread-baking process," </w:t>
      </w:r>
      <w:r>
        <w:rPr>
          <w:rFonts w:ascii="Times New Roman" w:hAnsi="Times New Roman" w:eastAsia="Times New Roman"/>
          <w:b w:val="0"/>
          <w:i/>
          <w:sz w:val="19"/>
        </w:rPr>
        <w:t>Journal of Food Engineering</w:t>
      </w:r>
      <w:r>
        <w:rPr>
          <w:rFonts w:ascii="Times New Roman" w:hAnsi="Times New Roman" w:eastAsia="Times New Roman"/>
          <w:b w:val="0"/>
          <w:i w:val="0"/>
          <w:sz w:val="19"/>
        </w:rPr>
        <w:t>, c. 100, ss. 452-460, 2010, doi: 10.1016/j.jfoodeng.2010.04.030.</w:t>
      </w:r>
    </w:p>
    <w:p>
      <w:pPr>
        <w:spacing w:after="80" w:before="0" w:line="276" w:lineRule="auto"/>
        <w:ind w:left="510" w:hanging="510"/>
      </w:pPr>
      <w:r>
        <w:rPr>
          <w:rFonts w:ascii="Times New Roman" w:hAnsi="Times New Roman" w:eastAsia="Times New Roman"/>
          <w:b w:val="0"/>
          <w:i w:val="0"/>
          <w:sz w:val="19"/>
        </w:rPr>
        <w:t xml:space="preserve">[34] M. Boulet, B. Marcos, M. Dostie ve C. Moresoli, "CFD modeling of heat transfer and flow field in a bakery pilot oven," </w:t>
      </w:r>
      <w:r>
        <w:rPr>
          <w:rFonts w:ascii="Times New Roman" w:hAnsi="Times New Roman" w:eastAsia="Times New Roman"/>
          <w:b w:val="0"/>
          <w:i/>
          <w:sz w:val="19"/>
        </w:rPr>
        <w:t>Journal of Food Engineering</w:t>
      </w:r>
      <w:r>
        <w:rPr>
          <w:rFonts w:ascii="Times New Roman" w:hAnsi="Times New Roman" w:eastAsia="Times New Roman"/>
          <w:b w:val="0"/>
          <w:i w:val="0"/>
          <w:sz w:val="19"/>
        </w:rPr>
        <w:t>, c. 97, s. 3, ss. 393-402, 2010.</w:t>
      </w:r>
    </w:p>
    <w:p>
      <w:pPr>
        <w:spacing w:after="80" w:before="0" w:line="276" w:lineRule="auto"/>
        <w:ind w:left="510" w:hanging="510"/>
      </w:pPr>
      <w:r>
        <w:rPr>
          <w:rFonts w:ascii="Times New Roman" w:hAnsi="Times New Roman" w:eastAsia="Times New Roman"/>
          <w:b w:val="0"/>
          <w:i w:val="0"/>
          <w:sz w:val="19"/>
        </w:rPr>
        <w:t xml:space="preserve">[35] N. Therdthai, W. Zhou ve T. Adamczak, "Three-dimensional CFD modelling and simulation of the temperature profiles and airflow patterns during a continuous industrial baking process," </w:t>
      </w:r>
      <w:r>
        <w:rPr>
          <w:rFonts w:ascii="Times New Roman" w:hAnsi="Times New Roman" w:eastAsia="Times New Roman"/>
          <w:b w:val="0"/>
          <w:i/>
          <w:sz w:val="19"/>
        </w:rPr>
        <w:t>Journal of Food Engineering</w:t>
      </w:r>
      <w:r>
        <w:rPr>
          <w:rFonts w:ascii="Times New Roman" w:hAnsi="Times New Roman" w:eastAsia="Times New Roman"/>
          <w:b w:val="0"/>
          <w:i w:val="0"/>
          <w:sz w:val="19"/>
        </w:rPr>
        <w:t>, c. 65, ss. 599-608, 2004.</w:t>
      </w:r>
    </w:p>
    <w:p>
      <w:pPr>
        <w:spacing w:after="80" w:before="0" w:line="276" w:lineRule="auto"/>
        <w:ind w:left="510" w:hanging="510"/>
      </w:pPr>
      <w:r>
        <w:rPr>
          <w:rFonts w:ascii="Times New Roman" w:hAnsi="Times New Roman" w:eastAsia="Times New Roman"/>
          <w:b w:val="0"/>
          <w:i w:val="0"/>
          <w:sz w:val="19"/>
        </w:rPr>
        <w:t xml:space="preserve">[36] S. Y. Wong, W. Zhou ve J. Hua, "CFD modeling of an industrial continuous bread-baking process involving U-movement," </w:t>
      </w:r>
      <w:r>
        <w:rPr>
          <w:rFonts w:ascii="Times New Roman" w:hAnsi="Times New Roman" w:eastAsia="Times New Roman"/>
          <w:b w:val="0"/>
          <w:i/>
          <w:sz w:val="19"/>
        </w:rPr>
        <w:t>Journal of Food Engineering</w:t>
      </w:r>
      <w:r>
        <w:rPr>
          <w:rFonts w:ascii="Times New Roman" w:hAnsi="Times New Roman" w:eastAsia="Times New Roman"/>
          <w:b w:val="0"/>
          <w:i w:val="0"/>
          <w:sz w:val="19"/>
        </w:rPr>
        <w:t>, c. 78, s. 3, ss. 888-896, 2007, doi: 10.1016/j.jfoodeng.2005.11.033.</w:t>
      </w:r>
    </w:p>
    <w:p>
      <w:pPr>
        <w:spacing w:after="80" w:before="0" w:line="276" w:lineRule="auto"/>
        <w:ind w:left="510" w:hanging="510"/>
      </w:pPr>
      <w:r>
        <w:rPr>
          <w:rFonts w:ascii="Times New Roman" w:hAnsi="Times New Roman" w:eastAsia="Times New Roman"/>
          <w:b w:val="0"/>
          <w:i w:val="0"/>
          <w:sz w:val="19"/>
        </w:rPr>
        <w:t xml:space="preserve">[37] J. P. Ploteau, V. Nicolas ve P. Glouannec, "Numerical and experimental characterization of a batch bread baking oven," </w:t>
      </w:r>
      <w:r>
        <w:rPr>
          <w:rFonts w:ascii="Times New Roman" w:hAnsi="Times New Roman" w:eastAsia="Times New Roman"/>
          <w:b w:val="0"/>
          <w:i/>
          <w:sz w:val="19"/>
        </w:rPr>
        <w:t>Applied Thermal Engineering</w:t>
      </w:r>
      <w:r>
        <w:rPr>
          <w:rFonts w:ascii="Times New Roman" w:hAnsi="Times New Roman" w:eastAsia="Times New Roman"/>
          <w:b w:val="0"/>
          <w:i w:val="0"/>
          <w:sz w:val="19"/>
        </w:rPr>
        <w:t>, c. 48, ss. 289-295, 2012, doi: 10.1016/j.applthermaleng.2012.04.060.</w:t>
      </w:r>
    </w:p>
    <w:p>
      <w:pPr>
        <w:spacing w:after="80" w:before="0" w:line="276" w:lineRule="auto"/>
        <w:ind w:left="510" w:hanging="510"/>
      </w:pPr>
      <w:r>
        <w:rPr>
          <w:rFonts w:ascii="Times New Roman" w:hAnsi="Times New Roman" w:eastAsia="Times New Roman"/>
          <w:b w:val="0"/>
          <w:i w:val="0"/>
          <w:sz w:val="19"/>
        </w:rPr>
        <w:t xml:space="preserve">[38] E. Purlis, "Browning development in bakery products — A review," </w:t>
      </w:r>
      <w:r>
        <w:rPr>
          <w:rFonts w:ascii="Times New Roman" w:hAnsi="Times New Roman" w:eastAsia="Times New Roman"/>
          <w:b w:val="0"/>
          <w:i/>
          <w:sz w:val="19"/>
        </w:rPr>
        <w:t>Journal of Food Engineering</w:t>
      </w:r>
      <w:r>
        <w:rPr>
          <w:rFonts w:ascii="Times New Roman" w:hAnsi="Times New Roman" w:eastAsia="Times New Roman"/>
          <w:b w:val="0"/>
          <w:i w:val="0"/>
          <w:sz w:val="19"/>
        </w:rPr>
        <w:t>, c. 99, s. 3, ss. 239-249, 2010.</w:t>
      </w:r>
    </w:p>
    <w:p>
      <w:pPr>
        <w:spacing w:after="80" w:before="0" w:line="276" w:lineRule="auto"/>
        <w:ind w:left="510" w:hanging="510"/>
      </w:pPr>
      <w:r>
        <w:rPr>
          <w:rFonts w:ascii="Times New Roman" w:hAnsi="Times New Roman" w:eastAsia="Times New Roman"/>
          <w:b w:val="0"/>
          <w:i w:val="0"/>
          <w:sz w:val="19"/>
        </w:rPr>
        <w:t xml:space="preserve">[39] E. Ramirez-Laboreo, C. Sagues ve S. Llorente, "Dynamic heat and mass transfer model of an electric oven for energy analysis," </w:t>
      </w:r>
      <w:r>
        <w:rPr>
          <w:rFonts w:ascii="Times New Roman" w:hAnsi="Times New Roman" w:eastAsia="Times New Roman"/>
          <w:b w:val="0"/>
          <w:i/>
          <w:sz w:val="19"/>
        </w:rPr>
        <w:t>Applied Thermal Engineering</w:t>
      </w:r>
      <w:r>
        <w:rPr>
          <w:rFonts w:ascii="Times New Roman" w:hAnsi="Times New Roman" w:eastAsia="Times New Roman"/>
          <w:b w:val="0"/>
          <w:i w:val="0"/>
          <w:sz w:val="19"/>
        </w:rPr>
        <w:t>, c. 93, ss. 683-691, 2016.</w:t>
      </w:r>
    </w:p>
    <w:p>
      <w:pPr>
        <w:spacing w:after="80" w:before="0" w:line="276" w:lineRule="auto"/>
        <w:ind w:left="510" w:hanging="510"/>
      </w:pPr>
      <w:r>
        <w:rPr>
          <w:rFonts w:ascii="Times New Roman" w:hAnsi="Times New Roman" w:eastAsia="Times New Roman"/>
          <w:b w:val="0"/>
          <w:i w:val="0"/>
          <w:sz w:val="19"/>
        </w:rPr>
        <w:t xml:space="preserve">[40] P. J. Roache, "Perspective: A method for uniform reporting of grid refinement studies," </w:t>
      </w:r>
      <w:r>
        <w:rPr>
          <w:rFonts w:ascii="Times New Roman" w:hAnsi="Times New Roman" w:eastAsia="Times New Roman"/>
          <w:b w:val="0"/>
          <w:i/>
          <w:sz w:val="19"/>
        </w:rPr>
        <w:t>Journal of Fluids Engineering</w:t>
      </w:r>
      <w:r>
        <w:rPr>
          <w:rFonts w:ascii="Times New Roman" w:hAnsi="Times New Roman" w:eastAsia="Times New Roman"/>
          <w:b w:val="0"/>
          <w:i w:val="0"/>
          <w:sz w:val="19"/>
        </w:rPr>
        <w:t>, c. 116, s. 3, ss. 405-413, 1994, doi: 10.1115/1.2910291.</w:t>
      </w:r>
    </w:p>
    <w:p>
      <w:pPr>
        <w:spacing w:after="80" w:before="0" w:line="276" w:lineRule="auto"/>
        <w:ind w:left="510" w:hanging="510"/>
      </w:pPr>
      <w:r>
        <w:rPr>
          <w:rFonts w:ascii="Times New Roman" w:hAnsi="Times New Roman" w:eastAsia="Times New Roman"/>
          <w:b w:val="0"/>
          <w:i w:val="0"/>
          <w:sz w:val="19"/>
        </w:rPr>
        <w:t xml:space="preserve">[41] I. B. Celik, U. Ghia, P. J. Roache ve C. J. Freitas, "Procedure for estimation and reporting of uncertainty due to discretization in CFD applications," </w:t>
      </w:r>
      <w:r>
        <w:rPr>
          <w:rFonts w:ascii="Times New Roman" w:hAnsi="Times New Roman" w:eastAsia="Times New Roman"/>
          <w:b w:val="0"/>
          <w:i/>
          <w:sz w:val="19"/>
        </w:rPr>
        <w:t>Journal of Fluids Engineering</w:t>
      </w:r>
      <w:r>
        <w:rPr>
          <w:rFonts w:ascii="Times New Roman" w:hAnsi="Times New Roman" w:eastAsia="Times New Roman"/>
          <w:b w:val="0"/>
          <w:i w:val="0"/>
          <w:sz w:val="19"/>
        </w:rPr>
        <w:t>, c. 130, s. 7, mak. no. 078001, 2008.</w:t>
      </w:r>
    </w:p>
    <w:p>
      <w:pPr>
        <w:spacing w:after="80" w:before="0" w:line="276" w:lineRule="auto"/>
        <w:ind w:left="510" w:hanging="510"/>
      </w:pPr>
      <w:r>
        <w:rPr>
          <w:rFonts w:ascii="Times New Roman" w:hAnsi="Times New Roman" w:eastAsia="Times New Roman"/>
          <w:b w:val="0"/>
          <w:i w:val="0"/>
          <w:sz w:val="19"/>
        </w:rPr>
        <w:t xml:space="preserve">[42] M. Sakin, F. Kaymak-Ertekin ve C. Ilicali, "Convection and radiation combined surface heat transfer coefficient in baking ovens," </w:t>
      </w:r>
      <w:r>
        <w:rPr>
          <w:rFonts w:ascii="Times New Roman" w:hAnsi="Times New Roman" w:eastAsia="Times New Roman"/>
          <w:b w:val="0"/>
          <w:i/>
          <w:sz w:val="19"/>
        </w:rPr>
        <w:t>Journal of Food Engineering</w:t>
      </w:r>
      <w:r>
        <w:rPr>
          <w:rFonts w:ascii="Times New Roman" w:hAnsi="Times New Roman" w:eastAsia="Times New Roman"/>
          <w:b w:val="0"/>
          <w:i w:val="0"/>
          <w:sz w:val="19"/>
        </w:rPr>
        <w:t>, c. 94, s. 3-4, ss. 344-349, 2009.</w:t>
      </w:r>
    </w:p>
    <w:p>
      <w:pPr>
        <w:spacing w:after="80" w:before="0" w:line="276" w:lineRule="auto"/>
        <w:ind w:left="510" w:hanging="510"/>
      </w:pPr>
      <w:r>
        <w:rPr>
          <w:rFonts w:ascii="Times New Roman" w:hAnsi="Times New Roman" w:eastAsia="Times New Roman"/>
          <w:b w:val="0"/>
          <w:i w:val="0"/>
          <w:sz w:val="19"/>
        </w:rPr>
        <w:t xml:space="preserve">[43] J. K. Carson, J. Willix ve M. F. North, "Measurements of heat transfer coefficients within convection ovens," </w:t>
      </w:r>
      <w:r>
        <w:rPr>
          <w:rFonts w:ascii="Times New Roman" w:hAnsi="Times New Roman" w:eastAsia="Times New Roman"/>
          <w:b w:val="0"/>
          <w:i/>
          <w:sz w:val="19"/>
        </w:rPr>
        <w:t>Journal of Food Engineering</w:t>
      </w:r>
      <w:r>
        <w:rPr>
          <w:rFonts w:ascii="Times New Roman" w:hAnsi="Times New Roman" w:eastAsia="Times New Roman"/>
          <w:b w:val="0"/>
          <w:i w:val="0"/>
          <w:sz w:val="19"/>
        </w:rPr>
        <w:t>, c. 72, s. 3, ss. 293-301, 2006.</w:t>
      </w:r>
    </w:p>
    <w:p>
      <w:pPr>
        <w:spacing w:after="80" w:before="0" w:line="276" w:lineRule="auto"/>
        <w:ind w:left="510" w:hanging="510"/>
      </w:pPr>
      <w:r>
        <w:rPr>
          <w:rFonts w:ascii="Times New Roman" w:hAnsi="Times New Roman" w:eastAsia="Times New Roman"/>
          <w:b w:val="0"/>
          <w:i w:val="0"/>
          <w:sz w:val="19"/>
        </w:rPr>
        <w:t xml:space="preserve">[44] J. Smolka, Z. Buliński ve A. J. Nowak, "The experimental validation of a CFD model for a heating oven with natural air circulation," </w:t>
      </w:r>
      <w:r>
        <w:rPr>
          <w:rFonts w:ascii="Times New Roman" w:hAnsi="Times New Roman" w:eastAsia="Times New Roman"/>
          <w:b w:val="0"/>
          <w:i/>
          <w:sz w:val="19"/>
        </w:rPr>
        <w:t>Applied Thermal Engineering</w:t>
      </w:r>
      <w:r>
        <w:rPr>
          <w:rFonts w:ascii="Times New Roman" w:hAnsi="Times New Roman" w:eastAsia="Times New Roman"/>
          <w:b w:val="0"/>
          <w:i w:val="0"/>
          <w:sz w:val="19"/>
        </w:rPr>
        <w:t>, 2013.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01" Type="http://schemas.openxmlformats.org/officeDocument/2006/relationships/chart" Target="charts/chart1.xml"/><Relationship Id="rId902" Type="http://schemas.openxmlformats.org/officeDocument/2006/relationships/chart" Target="charts/chart3.xml"/><Relationship Id="rId903" Type="http://schemas.openxmlformats.org/officeDocument/2006/relationships/chart" Target="charts/chart4.xml"/></Relationships>
</file>

<file path=word/charts/_rels/chart1.xml.rels><?xml version="1.0" encoding="UTF-8" standalone="yes"?><Relationships xmlns="http://schemas.openxmlformats.org/package/2006/relationships"><Relationship Id="rId1" Type="http://schemas.openxmlformats.org/officeDocument/2006/relationships/package" Target="../embeddings/veri1.xlsx"/></Relationships>
</file>

<file path=word/charts/_rels/chart3.xml.rels><?xml version="1.0" encoding="UTF-8" standalone="yes"?><Relationships xmlns="http://schemas.openxmlformats.org/package/2006/relationships"><Relationship Id="rId1" Type="http://schemas.openxmlformats.org/officeDocument/2006/relationships/package" Target="../embeddings/veri3.xlsx"/></Relationships>
</file>

<file path=word/charts/_rels/chart4.xml.rels><?xml version="1.0" encoding="UTF-8" standalone="yes"?><Relationships xmlns="http://schemas.openxmlformats.org/package/2006/relationships"><Relationship Id="rId1" Type="http://schemas.openxmlformats.org/officeDocument/2006/relationships/package" Target="../embeddings/veri4.xlsx"/></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col"/>
        <c:grouping val="clustered"/>
        <c:varyColors val="0"/>
        <c:ser>
          <c:idx val="0"/>
          <c:order val="0"/>
          <c:tx>
            <c:strRef>
              <c:f>Sayfa1!$B$1</c:f>
              <c:strCache>
                <c:ptCount val="1"/>
                <c:pt idx="0">
                  <c:v>Kaynak sayısı</c:v>
                </c:pt>
              </c:strCache>
            </c:strRef>
          </c:tx>
          <c:spPr>
            <a:solidFill>
              <a:srgbClr val="2A78D6"/>
            </a:solidFill>
            <a:ln>
              <a:noFill/>
            </a:ln>
          </c:spPr>
          <c:dLbls>
            <c:txPr>
              <a:bodyPr/>
              <a:lstStyle/>
              <a:p>
                <a:pPr>
                  <a:defRPr sz="900" b="0">
                    <a:solidFill>
                      <a:srgbClr val="0B0B0B"/>
                    </a:solidFill>
                    <a:latin typeface="Times New Roman"/>
                  </a:defRPr>
                </a:pPr>
                <a:endParaRPr lang="tr-TR"/>
              </a:p>
            </c:txPr>
            <c:dLblPos val="outEnd"/>
            <c:showLegendKey val="0"/>
            <c:showVal val="1"/>
            <c:showCatName val="0"/>
            <c:showSerName val="0"/>
            <c:showPercent val="0"/>
            <c:showBubbleSize val="0"/>
          </c:dLbls>
          <c:cat>
            <c:strRef>
              <c:f>Sayfa1!$A$2:$A$5</c:f>
              <c:strCache>
                <c:ptCount val="4"/>
                <c:pt idx="0">
                  <c:v>1974–1999</c:v>
                </c:pt>
                <c:pt idx="1">
                  <c:v>2000–2009</c:v>
                </c:pt>
                <c:pt idx="2">
                  <c:v>2010–2019</c:v>
                </c:pt>
                <c:pt idx="3">
                  <c:v>2020–2026</c:v>
                </c:pt>
              </c:strCache>
            </c:strRef>
          </c:cat>
          <c:val>
            <c:numRef>
              <c:f>Sayfa1!$B$2:$B$5</c:f>
              <c:numCache>
                <c:formatCode>General</c:formatCode>
                <c:ptCount val="4"/>
                <c:pt idx="0">
                  <c:v>4</c:v>
                </c:pt>
                <c:pt idx="1">
                  <c:v>8</c:v>
                </c:pt>
                <c:pt idx="2">
                  <c:v>19</c:v>
                </c:pt>
                <c:pt idx="3">
                  <c:v>13</c:v>
                </c:pt>
              </c:numCache>
            </c:numRef>
          </c:val>
        </c:ser>
        <c:gapWidth val="70"/>
        <c:axId val="111111111"/>
        <c:axId val="222222222"/>
      </c:barChart>
      <c:catAx>
        <c:axId val="111111111"/>
        <c:scaling>
          <c:orientation val="minMax"/>
        </c:scaling>
        <c:delete val="0"/>
        <c:axPos val="b"/>
        <c:spPr>
          <a:ln w="9525">
            <a:solidFill>
              <a:srgbClr val="DCDCD8"/>
            </a:solidFill>
          </a:ln>
        </c:spPr>
        <c:txPr>
          <a:bodyPr/>
          <a:lstStyle/>
          <a:p>
            <a:pPr>
              <a:defRPr sz="900" b="0">
                <a:solidFill>
                  <a:srgbClr val="52514E"/>
                </a:solidFill>
                <a:latin typeface="Times New Roman"/>
              </a:defRPr>
            </a:pPr>
            <a:endParaRPr lang="tr-TR"/>
          </a:p>
        </c:txPr>
        <c:crossAx val="222222222"/>
        <c:lblOffset val="100"/>
        <c:noMultiLvlLbl val="0"/>
      </c:catAx>
      <c:valAx>
        <c:axId val="222222222"/>
        <c:scaling>
          <c:orientation val="minMax"/>
          <c:max val="22"/>
          <c:min val="0"/>
        </c:scaling>
        <c:delete val="0"/>
        <c:axPos val="l"/>
        <c:majorGridlines>
          <c:spPr>
            <a:ln w="9525">
              <a:solidFill>
                <a:srgbClr val="ECECEB"/>
              </a:solidFill>
            </a:ln>
          </c:spPr>
        </c:majorGridlines>
        <c:title>
          <c:tx>
            <c:rich>
              <a:bodyPr/>
              <a:lstStyle/>
              <a:p>
                <a:pPr>
                  <a:defRPr sz="900" b="0">
                    <a:solidFill>
                      <a:srgbClr val="52514E"/>
                    </a:solidFill>
                    <a:latin typeface="Times New Roman"/>
                  </a:defRPr>
                </a:pPr>
                <a:r>
                  <a:t>Kaynak sayısı</a:t>
                </a:r>
              </a:p>
            </c:rich>
          </c:tx>
          <c:overlay val="0"/>
        </c:title>
        <c:numFmt formatCode="General" sourceLinked="1"/>
        <c:majorTickMark val="none"/>
        <c:minorTickMark val="none"/>
        <c:tickLblPos val="nextTo"/>
        <c:spPr>
          <a:ln>
            <a:noFill/>
          </a:ln>
        </c:spPr>
        <c:txPr>
          <a:bodyPr/>
          <a:lstStyle/>
          <a:p>
            <a:pPr>
              <a:defRPr sz="900" b="0">
                <a:solidFill>
                  <a:srgbClr val="52514E"/>
                </a:solidFill>
                <a:latin typeface="Times New Roman"/>
              </a:defRPr>
            </a:pPr>
            <a:endParaRPr lang="tr-TR"/>
          </a:p>
        </c:txPr>
        <c:crossAx val="111111111"/>
      </c:valAx>
      <c:spPr>
        <a:noFill/>
        <a:ln>
          <a:noFill/>
        </a:ln>
      </c:spPr>
    </c:plotArea>
    <c:plotVisOnly val="1"/>
  </c:chart>
  <c:spPr>
    <a:solidFill>
      <a:srgbClr val="FCFCFB"/>
    </a:solid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bar"/>
        <c:grouping val="stacked"/>
        <c:varyColors val="0"/>
        <c:ser>
          <c:idx val="0"/>
          <c:order val="0"/>
          <c:tx>
            <c:strRef>
              <c:f>Sayfa1!$B$1</c:f>
              <c:strCache>
                <c:ptCount val="1"/>
                <c:pt idx="0">
                  <c:v>taban</c:v>
                </c:pt>
              </c:strCache>
            </c:strRef>
          </c:tx>
          <c:spPr>
            <a:noFill/>
            <a:ln>
              <a:noFill/>
            </a:ln>
          </c:spPr>
          <c:cat>
            <c:strRef>
              <c:f>Sayfa1!$A$2:$A$4</c:f>
              <c:strCache>
                <c:ptCount val="3"/>
                <c:pt idx="0">
                  <c:v>Sakin ve ark. [42] · fansız · 11–20</c:v>
                </c:pt>
                <c:pt idx="1">
                  <c:v>Sakin ve ark. [42] · fanlı · 28–34</c:v>
                </c:pt>
                <c:pt idx="2">
                  <c:v>Carson ve ark. [43] · fanlı · 15–40</c:v>
                </c:pt>
              </c:strCache>
            </c:strRef>
          </c:cat>
          <c:val>
            <c:numRef>
              <c:f>Sayfa1!$B$2:$B$4</c:f>
              <c:numCache>
                <c:formatCode>General</c:formatCode>
                <c:ptCount val="3"/>
                <c:pt idx="0">
                  <c:v>11</c:v>
                </c:pt>
                <c:pt idx="1">
                  <c:v>28</c:v>
                </c:pt>
                <c:pt idx="2">
                  <c:v>15</c:v>
                </c:pt>
              </c:numCache>
            </c:numRef>
          </c:val>
        </c:ser>
        <c:ser>
          <c:idx val="1"/>
          <c:order val="1"/>
          <c:tx>
            <c:strRef>
              <c:f>Sayfa1!$C$1</c:f>
              <c:strCache>
                <c:ptCount val="1"/>
                <c:pt idx="0">
                  <c:v>aralık</c:v>
                </c:pt>
              </c:strCache>
            </c:strRef>
          </c:tx>
          <c:spPr>
            <a:solidFill>
              <a:srgbClr val="2A78D6"/>
            </a:solidFill>
            <a:ln>
              <a:noFill/>
            </a:ln>
          </c:spPr>
          <c:cat>
            <c:strRef>
              <c:f>Sayfa1!$A$2:$A$4</c:f>
              <c:strCache>
                <c:ptCount val="3"/>
                <c:pt idx="0">
                  <c:v>Sakin ve ark. [42] · fansız · 11–20</c:v>
                </c:pt>
                <c:pt idx="1">
                  <c:v>Sakin ve ark. [42] · fanlı · 28–34</c:v>
                </c:pt>
                <c:pt idx="2">
                  <c:v>Carson ve ark. [43] · fanlı · 15–40</c:v>
                </c:pt>
              </c:strCache>
            </c:strRef>
          </c:cat>
          <c:val>
            <c:numRef>
              <c:f>Sayfa1!$C$2:$C$4</c:f>
              <c:numCache>
                <c:formatCode>General</c:formatCode>
                <c:ptCount val="3"/>
                <c:pt idx="0">
                  <c:v>9</c:v>
                </c:pt>
                <c:pt idx="1">
                  <c:v>6</c:v>
                </c:pt>
                <c:pt idx="2">
                  <c:v>25</c:v>
                </c:pt>
              </c:numCache>
            </c:numRef>
          </c:val>
        </c:ser>
        <c:gapWidth val="70"/>
        <c:overlap val="100"/>
        <c:axId val="111111111"/>
        <c:axId val="222222222"/>
      </c:barChart>
      <c:catAx>
        <c:axId val="111111111"/>
        <c:scaling>
          <c:orientation val="minMax"/>
        </c:scaling>
        <c:delete val="0"/>
        <c:axPos val="l"/>
        <c:spPr>
          <a:ln w="9525">
            <a:solidFill>
              <a:srgbClr val="DCDCD8"/>
            </a:solidFill>
          </a:ln>
        </c:spPr>
        <c:txPr>
          <a:bodyPr/>
          <a:lstStyle/>
          <a:p>
            <a:pPr>
              <a:defRPr sz="900" b="0">
                <a:solidFill>
                  <a:srgbClr val="52514E"/>
                </a:solidFill>
                <a:latin typeface="Times New Roman"/>
              </a:defRPr>
            </a:pPr>
            <a:endParaRPr lang="tr-TR"/>
          </a:p>
        </c:txPr>
        <c:crossAx val="222222222"/>
        <c:lblOffset val="100"/>
        <c:noMultiLvlLbl val="0"/>
      </c:catAx>
      <c:valAx>
        <c:axId val="222222222"/>
        <c:scaling>
          <c:orientation val="minMax"/>
          <c:max val="50"/>
          <c:min val="0"/>
        </c:scaling>
        <c:delete val="0"/>
        <c:axPos val="b"/>
        <c:majorGridlines>
          <c:spPr>
            <a:ln w="9525">
              <a:solidFill>
                <a:srgbClr val="ECECEB"/>
              </a:solidFill>
            </a:ln>
          </c:spPr>
        </c:majorGridlines>
        <c:title>
          <c:tx>
            <c:rich>
              <a:bodyPr/>
              <a:lstStyle/>
              <a:p>
                <a:pPr>
                  <a:defRPr sz="900" b="0">
                    <a:solidFill>
                      <a:srgbClr val="52514E"/>
                    </a:solidFill>
                    <a:latin typeface="Times New Roman"/>
                  </a:defRPr>
                </a:pPr>
                <a:r>
                  <a:t>Birleşik yüzey ısı taşınım katsayısı, h (W/m²K)</a:t>
                </a:r>
              </a:p>
            </c:rich>
          </c:tx>
          <c:overlay val="0"/>
        </c:title>
        <c:numFmt formatCode="General" sourceLinked="1"/>
        <c:majorTickMark val="none"/>
        <c:minorTickMark val="none"/>
        <c:tickLblPos val="nextTo"/>
        <c:spPr>
          <a:ln>
            <a:noFill/>
          </a:ln>
        </c:spPr>
        <c:txPr>
          <a:bodyPr/>
          <a:lstStyle/>
          <a:p>
            <a:pPr>
              <a:defRPr sz="900" b="0">
                <a:solidFill>
                  <a:srgbClr val="52514E"/>
                </a:solidFill>
                <a:latin typeface="Times New Roman"/>
              </a:defRPr>
            </a:pPr>
            <a:endParaRPr lang="tr-TR"/>
          </a:p>
        </c:txPr>
        <c:crossAx val="111111111"/>
      </c:valAx>
      <c:spPr>
        <a:noFill/>
        <a:ln>
          <a:noFill/>
        </a:ln>
      </c:spPr>
    </c:plotArea>
    <c:plotVisOnly val="1"/>
  </c:chart>
  <c:spPr>
    <a:solidFill>
      <a:srgbClr val="FCFCFB"/>
    </a:solid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roundedCorners val="0"/>
  <c:chart>
    <c:autoTitleDeleted val="1"/>
    <c:plotArea>
      <c:layout/>
      <c:barChart>
        <c:barDir val="bar"/>
        <c:grouping val="stacked"/>
        <c:varyColors val="0"/>
        <c:ser>
          <c:idx val="0"/>
          <c:order val="0"/>
          <c:tx>
            <c:strRef>
              <c:f>Sayfa1!$B$1</c:f>
              <c:strCache>
                <c:ptCount val="1"/>
                <c:pt idx="0">
                  <c:v>Açıkça bildiren</c:v>
                </c:pt>
              </c:strCache>
            </c:strRef>
          </c:tx>
          <c:spPr>
            <a:solidFill>
              <a:srgbClr val="2A78D6"/>
            </a:solidFill>
            <a:ln>
              <a:noFill/>
            </a:ln>
          </c:spPr>
          <c:dLbls>
            <c:dLbl>
              <c:idx val="0"/>
              <c:delete val="1"/>
            </c:dLbl>
            <c:txPr>
              <a:bodyPr/>
              <a:lstStyle/>
              <a:p>
                <a:pPr>
                  <a:defRPr sz="900" b="0">
                    <a:solidFill>
                      <a:srgbClr val="0B0B0B"/>
                    </a:solidFill>
                    <a:latin typeface="Times New Roman"/>
                  </a:defRPr>
                </a:pPr>
                <a:endParaRPr lang="tr-TR"/>
              </a:p>
            </c:txPr>
            <c:dLblPos val="inEnd"/>
            <c:showLegendKey val="0"/>
            <c:showVal val="1"/>
            <c:showCatName val="0"/>
            <c:showSerName val="0"/>
            <c:showPercent val="0"/>
            <c:showBubbleSize val="0"/>
          </c:dLbls>
          <c:cat>
            <c:strRef>
              <c:f>Sayfa1!$A$2:$A$6</c:f>
              <c:strCache>
                <c:ptCount val="5"/>
                <c:pt idx="0">
                  <c:v>Ağ yakınsama belirsizliği (GCI)</c:v>
                </c:pt>
                <c:pt idx="1">
                  <c:v>Fanın sayısal temsili</c:v>
                </c:pt>
                <c:pt idx="2">
                  <c:v>Işınım modeli (belirli ad)</c:v>
                </c:pt>
                <c:pt idx="3">
                  <c:v>Türbülans modeli (belirli ad)</c:v>
                </c:pt>
                <c:pt idx="4">
                  <c:v>Yazılım adı</c:v>
                </c:pt>
              </c:strCache>
            </c:strRef>
          </c:cat>
          <c:val>
            <c:numRef>
              <c:f>Sayfa1!$B$2:$B$6</c:f>
              <c:numCache>
                <c:formatCode>General</c:formatCode>
                <c:ptCount val="5"/>
                <c:pt idx="0">
                  <c:v>0</c:v>
                </c:pt>
                <c:pt idx="1">
                  <c:v>5</c:v>
                </c:pt>
                <c:pt idx="2">
                  <c:v>5</c:v>
                </c:pt>
                <c:pt idx="3">
                  <c:v>6</c:v>
                </c:pt>
                <c:pt idx="4">
                  <c:v>7</c:v>
                </c:pt>
              </c:numCache>
            </c:numRef>
          </c:val>
        </c:ser>
        <c:ser>
          <c:idx val="1"/>
          <c:order val="1"/>
          <c:tx>
            <c:strRef>
              <c:f>Sayfa1!$C$1</c:f>
              <c:strCache>
                <c:ptCount val="1"/>
                <c:pt idx="0">
                  <c:v>Bildirmeyen veya okunamayan</c:v>
                </c:pt>
              </c:strCache>
            </c:strRef>
          </c:tx>
          <c:spPr>
            <a:solidFill>
              <a:srgbClr val="ECECEB"/>
            </a:solidFill>
            <a:ln>
              <a:noFill/>
            </a:ln>
          </c:spPr>
          <c:cat>
            <c:strRef>
              <c:f>Sayfa1!$A$2:$A$6</c:f>
              <c:strCache>
                <c:ptCount val="5"/>
                <c:pt idx="0">
                  <c:v>Ağ yakınsama belirsizliği (GCI)</c:v>
                </c:pt>
                <c:pt idx="1">
                  <c:v>Fanın sayısal temsili</c:v>
                </c:pt>
                <c:pt idx="2">
                  <c:v>Işınım modeli (belirli ad)</c:v>
                </c:pt>
                <c:pt idx="3">
                  <c:v>Türbülans modeli (belirli ad)</c:v>
                </c:pt>
                <c:pt idx="4">
                  <c:v>Yazılım adı</c:v>
                </c:pt>
              </c:strCache>
            </c:strRef>
          </c:cat>
          <c:val>
            <c:numRef>
              <c:f>Sayfa1!$C$2:$C$6</c:f>
              <c:numCache>
                <c:formatCode>General</c:formatCode>
                <c:ptCount val="5"/>
                <c:pt idx="0">
                  <c:v>19</c:v>
                </c:pt>
                <c:pt idx="1">
                  <c:v>14</c:v>
                </c:pt>
                <c:pt idx="2">
                  <c:v>14</c:v>
                </c:pt>
                <c:pt idx="3">
                  <c:v>13</c:v>
                </c:pt>
                <c:pt idx="4">
                  <c:v>12</c:v>
                </c:pt>
              </c:numCache>
            </c:numRef>
          </c:val>
        </c:ser>
        <c:gapWidth val="60"/>
        <c:overlap val="100"/>
        <c:axId val="111111111"/>
        <c:axId val="222222222"/>
      </c:barChart>
      <c:catAx>
        <c:axId val="111111111"/>
        <c:scaling>
          <c:orientation val="minMax"/>
        </c:scaling>
        <c:delete val="0"/>
        <c:axPos val="l"/>
        <c:spPr>
          <a:ln w="9525">
            <a:solidFill>
              <a:srgbClr val="DCDCD8"/>
            </a:solidFill>
          </a:ln>
        </c:spPr>
        <c:txPr>
          <a:bodyPr/>
          <a:lstStyle/>
          <a:p>
            <a:pPr>
              <a:defRPr sz="900" b="0">
                <a:solidFill>
                  <a:srgbClr val="52514E"/>
                </a:solidFill>
                <a:latin typeface="Times New Roman"/>
              </a:defRPr>
            </a:pPr>
            <a:endParaRPr lang="tr-TR"/>
          </a:p>
        </c:txPr>
        <c:crossAx val="222222222"/>
        <c:lblOffset val="100"/>
        <c:noMultiLvlLbl val="0"/>
      </c:catAx>
      <c:valAx>
        <c:axId val="222222222"/>
        <c:scaling>
          <c:orientation val="minMax"/>
          <c:max val="19"/>
          <c:min val="0"/>
        </c:scaling>
        <c:delete val="0"/>
        <c:axPos val="b"/>
        <c:majorGridlines>
          <c:spPr>
            <a:ln w="9525">
              <a:solidFill>
                <a:srgbClr val="ECECEB"/>
              </a:solidFill>
            </a:ln>
          </c:spPr>
        </c:majorGridlines>
        <c:title>
          <c:tx>
            <c:rich>
              <a:bodyPr/>
              <a:lstStyle/>
              <a:p>
                <a:pPr>
                  <a:defRPr sz="900" b="0">
                    <a:solidFill>
                      <a:srgbClr val="52514E"/>
                    </a:solidFill>
                    <a:latin typeface="Times New Roman"/>
                  </a:defRPr>
                </a:pPr>
                <a:r>
                  <a:t>Çalışma sayısı (19 sayısal çalışma içinde)</a:t>
                </a:r>
              </a:p>
            </c:rich>
          </c:tx>
          <c:overlay val="0"/>
        </c:title>
        <c:numFmt formatCode="General" sourceLinked="1"/>
        <c:majorTickMark val="none"/>
        <c:minorTickMark val="none"/>
        <c:tickLblPos val="nextTo"/>
        <c:spPr>
          <a:ln>
            <a:noFill/>
          </a:ln>
        </c:spPr>
        <c:txPr>
          <a:bodyPr/>
          <a:lstStyle/>
          <a:p>
            <a:pPr>
              <a:defRPr sz="900" b="0">
                <a:solidFill>
                  <a:srgbClr val="52514E"/>
                </a:solidFill>
                <a:latin typeface="Times New Roman"/>
              </a:defRPr>
            </a:pPr>
            <a:endParaRPr lang="tr-TR"/>
          </a:p>
        </c:txPr>
        <c:crossAx val="111111111"/>
      </c:valAx>
      <c:spPr>
        <a:noFill/>
        <a:ln>
          <a:noFill/>
        </a:ln>
      </c:spPr>
    </c:plotArea>
    <c:legend>
      <c:legendPos val="b"/>
      <c:overlay val="0"/>
      <c:txPr>
        <a:bodyPr/>
        <a:lstStyle/>
        <a:p>
          <a:pPr>
            <a:defRPr sz="900" b="0">
              <a:solidFill>
                <a:srgbClr val="52514E"/>
              </a:solidFill>
              <a:latin typeface="Times New Roman"/>
            </a:defRPr>
          </a:pPr>
          <a:endParaRPr lang="tr-TR"/>
        </a:p>
      </c:txPr>
    </c:legend>
    <c:plotVisOnly val="1"/>
  </c:chart>
  <c:spPr>
    <a:solidFill>
      <a:srgbClr val="FCFCFB"/>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