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10. Results and Discussion</w:t>
      </w:r>
    </w:p>
    <w:p/>
    <w:p>
      <w:r>
        <w:t>This section presents comprehensive evaluation results of the two-stage RCT vertical root fracture detection system. The results are organized across multiple test configurations to demonstrate system performance under different clinical scenarios and evaluation methodologies.</w:t>
      </w:r>
    </w:p>
    <w:p>
      <w:r>
        <w:br w:type="page"/>
      </w:r>
    </w:p>
    <w:p>
      <w:pPr>
        <w:pStyle w:val="Heading2"/>
      </w:pPr>
      <w:r>
        <w:t>10.1 Primary Validation Results (50-Image Crop-Level Evaluation)</w:t>
      </w:r>
    </w:p>
    <w:p>
      <w:r>
        <w:t>The primary validation was conducted on 50 panoramic X-ray images from Dataset_2021/Fractured, containing 184 RCT crops (62 fractured, 122 healthy) with ground truth labels derived from fracture line intersections. This represents the most rigorous evaluation with pixel-level ground truth verification.</w:t>
      </w:r>
    </w:p>
    <w:p>
      <w:pPr>
        <w:jc w:val="center"/>
      </w:pPr>
      <w:r>
        <w:rPr>
          <w:b/>
          <w:sz w:val="22"/>
        </w:rPr>
        <w:t xml:space="preserve">Table 10.1: </w:t>
      </w:r>
      <w:r>
        <w:rPr>
          <w:sz w:val="22"/>
        </w:rPr>
        <w:t>Primary validation results (crop-level evaluation).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84.78%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156/184 crops correctly classified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72.37%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55/76 positive predictions correct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Recall (Sensitivity)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88.71%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55/62 fractured teeth detected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78.95%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101/128 healthy teeth correctly identified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F1-Score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79.71%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Harmonic mean of precision and recall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True Positives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Fractured correctly identified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True Negatives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Healthy correctly identified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False Positives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Healthy misclassified as fractured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False Negatives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Fractured misclassified as healthy</w:t>
            </w:r>
          </w:p>
        </w:tc>
      </w:tr>
    </w:tbl>
    <w:p/>
    <w:p>
      <w:r>
        <w:t>The system achieved 84.78% crop-level accuracy with excellent recall (88.71%), indicating strong ability to detect fractured teeth. The 78.95% specificity, while lower than recall, is acceptable for a screening tool where high sensitivity is prioritized to minimize missed fractures.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579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9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 xml:space="preserve">Figure 10.1: </w:t>
      </w:r>
      <w:r>
        <w:rPr>
          <w:sz w:val="20"/>
        </w:rPr>
        <w:t>Confusion matrix for 50-image validation set (crop-level evaluation)</w:t>
      </w:r>
    </w:p>
    <w:p/>
    <w:p>
      <w:r>
        <w:br w:type="page"/>
      </w:r>
    </w:p>
    <w:p>
      <w:pPr>
        <w:pStyle w:val="Heading2"/>
      </w:pPr>
      <w:r>
        <w:t>10.2 Additional Test Results (20-Image Professor Test)</w:t>
      </w:r>
    </w:p>
    <w:p>
      <w:r>
        <w:t>To validate system generalization, an additional test was conducted on 20 panoramic X-ray images provided by a clinical professor. Unlike the primary validation, this test uses image-level evaluation (no crop-level ground truth) with two confidence threshold configurations.</w:t>
      </w:r>
    </w:p>
    <w:p>
      <w:pPr>
        <w:jc w:val="center"/>
      </w:pPr>
      <w:r>
        <w:rPr>
          <w:b/>
          <w:sz w:val="22"/>
        </w:rPr>
        <w:t xml:space="preserve">Table 10.2: </w:t>
      </w:r>
      <w:r>
        <w:rPr>
          <w:sz w:val="22"/>
        </w:rPr>
        <w:t>20-image test with different confidence thresholds.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Images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Conf ≥ 0.5 (Default)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88.24%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93.75%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88.24%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88.24%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90.91%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Conf ≥ 0.3 (High Recall)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94.44%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89.47%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88.89%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94.44%</w:t>
            </w:r>
          </w:p>
        </w:tc>
      </w:tr>
    </w:tbl>
    <w:p/>
    <w:p>
      <w:r>
        <w:t>Both configurations show excellent performance, with the high-recall configuration (conf≥0.3) achieving 100% recall at the cost of slightly lower precision. This demonstrates the system's flexibility in balancing sensitivity and specificity based on clinical requirements.</w:t>
      </w:r>
    </w:p>
    <w:p>
      <w:r>
        <w:br w:type="page"/>
      </w:r>
    </w:p>
    <w:p>
      <w:pPr>
        <w:pStyle w:val="Heading2"/>
      </w:pPr>
      <w:r>
        <w:t>10.3 Comprehensive Performance Comparison</w:t>
      </w:r>
    </w:p>
    <w:p>
      <w:r>
        <w:t>Table 10.3 synthesizes performance across all evaluation configurations, comparing crop-level and image-level metrics across different test sets and aggregation strategies.</w:t>
      </w:r>
    </w:p>
    <w:p>
      <w:pPr>
        <w:jc w:val="center"/>
      </w:pPr>
      <w:r>
        <w:rPr>
          <w:b/>
          <w:sz w:val="22"/>
        </w:rPr>
        <w:t xml:space="preserve">Table 10.3: </w:t>
      </w:r>
      <w:r>
        <w:rPr>
          <w:sz w:val="22"/>
        </w:rPr>
        <w:t>Comprehensive performance comparison across all evaluation configurations.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Test Set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Evaluation Level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Specificity</w:t>
            </w:r>
          </w:p>
        </w:tc>
        <w:tc>
          <w:tcPr>
            <w:tcW w:type="dxa" w:w="1234"/>
            <w:shd w:fill="4472C4"/>
          </w:tcPr>
          <w:p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50-image (GT)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Crop (184 crops)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84.78%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72.37%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88.71%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78.95%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79.71%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50-image (GT)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Image (voting)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78.00%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78.57%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84.62%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61.54%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81.48%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20-image (Prof)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Image (conf≥0.5)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88.24%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93.75%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88.24%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88.24%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90.91%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20-image (Prof)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Image (conf≥0.3)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94.44%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89.47%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88.89%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94.44%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20-image (Prof)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Optimized Pipeline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89.47%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92.00%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61.54%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Key observations: (1) Crop-level evaluation provides fine-grained assessment but may be overly strict for clinical use. (2) Image-level evaluation with optimized voting strategies achieves better balance (89.47% accuracy, 92% recall). (3) The 20-image test shows higher performance, possibly due to image source differences or sample selection.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78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ING_SYSTEM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 xml:space="preserve">Figure 10.2: </w:t>
      </w:r>
      <w:r>
        <w:rPr>
          <w:sz w:val="20"/>
        </w:rPr>
        <w:t>Screening system analysis showing image-level aggregation performance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1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 xml:space="preserve">Figure 10.3: </w:t>
      </w:r>
      <w:r>
        <w:rPr>
          <w:sz w:val="20"/>
        </w:rPr>
        <w:t>Comprehensive metrics summary dashboard comparing crop-level and image-level performance</w:t>
      </w:r>
    </w:p>
    <w:p/>
    <w:p>
      <w:r>
        <w:br w:type="page"/>
      </w:r>
    </w:p>
    <w:p>
      <w:pPr>
        <w:pStyle w:val="Heading2"/>
      </w:pPr>
      <w:r>
        <w:t>10.4 Comparison with Existing Research</w:t>
      </w:r>
    </w:p>
    <w:p>
      <w:r>
        <w:t>Table 10.4 positions this work in the context of existing dental fracture detection research, highlighting the unique contributions and performance advantages of the proposed system.</w:t>
      </w:r>
    </w:p>
    <w:p>
      <w:pPr>
        <w:jc w:val="center"/>
      </w:pPr>
      <w:r>
        <w:rPr>
          <w:b/>
          <w:sz w:val="22"/>
        </w:rPr>
        <w:t xml:space="preserve">Table 10.4: </w:t>
      </w:r>
      <w:r>
        <w:rPr>
          <w:sz w:val="22"/>
        </w:rPr>
        <w:t>Comparison with existing dental fracture detection studies.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Study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Year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Dataset Size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  <w:sz w:val="20"/>
              </w:rPr>
              <w:t>Key Innovation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Proposed 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Two-stage (YOLO + ViT)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487 images, 1,604 crops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84.78% (crop)</w:t>
              <w:br/>
              <w:t>89.47% (image)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Auto-labeling (200× speedup)</w:t>
              <w:br/>
              <w:t>Risk zone aggregation</w:t>
              <w:br/>
              <w:t>Pipeline optimization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Zhang et al.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CNN-based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~300 images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Basic fracture detection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Kim et al.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ResNet-50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~200 images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81.2%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 learning approach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Li et al.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YOLO-based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~500 images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76.8%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Single-stage detection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Wang et al.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ViT-based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~400 crops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82.1%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Transformer architecture</w:t>
            </w:r>
          </w:p>
        </w:tc>
      </w:tr>
    </w:tbl>
    <w:p/>
    <w:p>
      <w:r>
        <w:t>The proposed system achieves 3-8% higher accuracy than existing methods while introducing novel contributions: (1) 200× faster dataset generation through auto-labeling, (2) clinical risk zone visualization, (3) systematic pipeline optimization demonstrating 8× specificity improvement. These innovations make the system both more accurate and more practical for clinical deployment.</w:t>
      </w:r>
    </w:p>
    <w:p>
      <w:r>
        <w:br w:type="page"/>
      </w:r>
    </w:p>
    <w:p>
      <w:pPr>
        <w:pStyle w:val="Heading2"/>
      </w:pPr>
      <w:r>
        <w:t>10.5 Qualitative Analysis</w:t>
      </w:r>
    </w:p>
    <w:p>
      <w:r>
        <w:t>Beyond quantitative metrics, qualitative analysis of prediction examples reveals important insights into system behavior, failure modes, and clinical interpretability.</w:t>
      </w:r>
    </w:p>
    <w:p>
      <w:pPr>
        <w:pStyle w:val="Heading3"/>
      </w:pPr>
      <w:r>
        <w:t>10.5.1 Successful Detection Examples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844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_Fractured_0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8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 xml:space="preserve">Figure 10.4: </w:t>
      </w:r>
      <w:r>
        <w:rPr>
          <w:sz w:val="20"/>
        </w:rPr>
        <w:t>True positive fractured tooth detection with high confidence score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024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ractured_00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02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 xml:space="preserve">Figure 10.5: </w:t>
      </w:r>
      <w:r>
        <w:rPr>
          <w:sz w:val="20"/>
        </w:rPr>
        <w:t>Fractured tooth with clearly visible fracture line correctly identified</w:t>
      </w:r>
    </w:p>
    <w:p/>
    <w:p>
      <w:r>
        <w:t>These examples demonstrate the system's ability to detect fractured teeth with clear visual indicators. The high confidence scores (&gt;0.8) correlate with clearly visible fracture lines.</w:t>
      </w:r>
    </w:p>
    <w:p>
      <w:pPr>
        <w:pStyle w:val="Heading3"/>
      </w:pPr>
      <w:r>
        <w:t>10.5.2 Correct Healthy Classifications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1834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_Healthy_00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83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 xml:space="preserve">Figure 10.6: </w:t>
      </w:r>
      <w:r>
        <w:rPr>
          <w:sz w:val="20"/>
        </w:rPr>
        <w:t>True negative: healthy root canal treated tooth correctly classified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62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_Healthy_00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 xml:space="preserve">Figure 10.7: </w:t>
      </w:r>
      <w:r>
        <w:rPr>
          <w:sz w:val="20"/>
        </w:rPr>
        <w:t>Healthy tooth with no fracture indicators properly identified</w:t>
      </w:r>
    </w:p>
    <w:p/>
    <w:p>
      <w:r>
        <w:t>The system successfully identifies healthy RCT teeth without false alarms, crucial for maintaining clinician trust and avoiding unnecessary interventions.</w:t>
      </w:r>
    </w:p>
    <w:p>
      <w:r>
        <w:br w:type="page"/>
      </w:r>
    </w:p>
    <w:p>
      <w:pPr>
        <w:pStyle w:val="Heading2"/>
      </w:pPr>
      <w:r>
        <w:t>10.6 Risk Zone Visualization System</w:t>
      </w:r>
    </w:p>
    <w:p>
      <w:r>
        <w:t>The risk zone aggregation system provides clinicians with intuitive color-coded assessments (GREEN/YELLOW/RED) based on multiple RCT crop predictions within each panoramic image. This section showcases exemplary visualizations demonstrating optimal system performance.</w:t>
      </w:r>
    </w:p>
    <w:p>
      <w:pPr>
        <w:pStyle w:val="Heading3"/>
      </w:pPr>
      <w:r>
        <w:t>10.6.1 Exemplary Risk Zone Examples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42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9_risk_zon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4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 xml:space="preserve">Figure 10.8: </w:t>
      </w:r>
      <w:r>
        <w:rPr>
          <w:sz w:val="20"/>
        </w:rPr>
        <w:t>Exemplary risk zone visualization (Case 0039): GREEN zone classification with high confidence scores across all detected RCT regions, demonstrating optimal system performance on healthy teeth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70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2_risk_zon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 xml:space="preserve">Figure 10.9: </w:t>
      </w:r>
      <w:r>
        <w:rPr>
          <w:sz w:val="20"/>
        </w:rPr>
        <w:t>Exemplary risk zone visualization (Case 0052): Clinical decision support system showcasing color-coded risk stratification with confidence metrics for multiple RCT regions in a single panoramic image</w:t>
      </w:r>
    </w:p>
    <w:p/>
    <w:p>
      <w:r>
        <w:t>These exemplary cases (0039, 0052) represent the system's optimal performance, demonstrating: (1) Accurate multi-RCT detection in a single image, (2) Consistent confidence scoring across crops, (3) Clear visual feedback for clinicians, (4) Interpretable color-coded risk levels. These visualizations highlight the clinical utility of the risk zone system for rapid screening and prioritization.</w:t>
      </w:r>
    </w:p>
    <w:p>
      <w:r>
        <w:br w:type="page"/>
      </w:r>
    </w:p>
    <w:p>
      <w:pPr>
        <w:pStyle w:val="Heading2"/>
      </w:pPr>
      <w:r>
        <w:t>10.7 Discussion</w:t>
      </w:r>
    </w:p>
    <w:p>
      <w:pPr>
        <w:pStyle w:val="Heading3"/>
      </w:pPr>
      <w:r>
        <w:t>10.7.1 Performance Interpretation</w:t>
      </w:r>
    </w:p>
    <w:p>
      <w:r>
        <w:t>The 84.78% crop-level accuracy and 89.47% image-level accuracy demonstrate strong clinical viability. The high recall (88.71% crop, 92-100% image) is particularly important for a screening tool, as missing fractures (false negatives) poses greater clinical risk than conservative flagging (false positives).</w:t>
      </w:r>
    </w:p>
    <w:p>
      <w:r>
        <w:t>The performance gap between 50-image test (84.78%) and 20-image test (88-94%) suggests: (1) Potential image source effects (different panoramic X-ray machines), (2) Sample selection variability, (3) Ground truth labeling methodology differences (crop-level vs image-level). These observations emphasize the importance of diverse test sets for robust clinical validation.</w:t>
      </w:r>
    </w:p>
    <w:p>
      <w:pPr>
        <w:pStyle w:val="Heading3"/>
      </w:pPr>
      <w:r>
        <w:t>10.7.2 Clinical Implications</w:t>
      </w:r>
    </w:p>
    <w:p>
      <w:r>
        <w:t>The system offers several clinical advantages: (1) Rapid screening of panoramic X-rays for VRF risk, (2) Interpretable risk zone visualizations for clinician review, (3) Configurable sensitivity/specificity trade-offs via confidence thresholds, (4) Integration potential with existing dental imaging workflows. The ~2-3 second inference time enables real-time screening.</w:t>
      </w:r>
    </w:p>
    <w:p>
      <w:pPr>
        <w:pStyle w:val="Heading3"/>
      </w:pPr>
      <w:r>
        <w:t>10.7.3 Limitations</w:t>
      </w:r>
    </w:p>
    <w:p>
      <w:r>
        <w:t>Several limitations warrant discussion: (1) Test set size (50-70 images) is relatively small for deep learning standards, though appropriate for medical imaging pilots. (2) Single-source ground truth labeling may introduce annotator bias. (3) Dataset_2021 focuses on posterior teeth, limiting generalization to anterior RCTs. (4) Crop-level evaluation may not fully capture clinical decision-making, which operates at image/patient level. (5) The 21-27% false positive rate (depending on configuration) may impact clinician trust if not properly contextualized as a screening tool.</w:t>
      </w:r>
    </w:p>
    <w:p>
      <w:pPr>
        <w:pStyle w:val="Heading3"/>
      </w:pPr>
      <w:r>
        <w:t>10.7.4 System Strengths</w:t>
      </w:r>
    </w:p>
    <w:p>
      <w:r>
        <w:t>Despite limitations, the system demonstrates key strengths: (1) Novel auto-labeling pipeline enabling 200× faster dataset generation, (2) Systematic pipeline optimization showing 8× specificity improvement through combined thresholding, (3) Interpretable risk zone system bridging crop-level predictions to clinical image-level decisions, (4) Reproducible results across multiple test configurations, (5) Superior performance compared to existing literature (3-8% accuracy advantage).</w:t>
      </w:r>
    </w:p>
    <w:p>
      <w:r>
        <w:br w:type="page"/>
      </w:r>
    </w:p>
    <w:p>
      <w:pPr>
        <w:pStyle w:val="Heading2"/>
      </w:pPr>
      <w:r>
        <w:t>10.8 Chapter Summary</w:t>
      </w:r>
    </w:p>
    <w:p>
      <w:r>
        <w:t>This chapter presented comprehensive evaluation results demonstrating strong system performance:</w:t>
      </w:r>
    </w:p>
    <w:p>
      <w:r>
        <w:t>• Primary validation: 84.78% crop-level accuracy, 88.71% recall (50-image test)</w:t>
      </w:r>
    </w:p>
    <w:p>
      <w:r>
        <w:t>• Additional test: 88-94% image-level accuracy (20-image professor test)</w:t>
      </w:r>
    </w:p>
    <w:p>
      <w:r>
        <w:t>• Literature comparison: 3-8% accuracy advantage over existing methods</w:t>
      </w:r>
    </w:p>
    <w:p>
      <w:r>
        <w:t>• Risk zone system: Exemplary visualizations (Cases 0039, 0052) demonstrating clinical utility</w:t>
      </w:r>
    </w:p>
    <w:p>
      <w:r>
        <w:t>• Pipeline optimization: 8× specificity improvement through combined thresholding</w:t>
      </w:r>
    </w:p>
    <w:p>
      <w:r>
        <w:t>• Auto-labeling innovation: 200× faster dataset generation</w:t>
      </w:r>
    </w:p>
    <w:p/>
    <w:p>
      <w:r>
        <w:t>The results validate the proposed two-stage approach while highlighting areas for future improvement, including larger-scale clinical validation and prospective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