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Dataset_2021 contains 487 panoramic images (373 fractured, 114 healthy), requiring careful augmentation and cross-validation strategies to prevent overfitting.</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p>
      <w:pPr>
        <w:pStyle w:val="Heading1"/>
      </w:pPr>
      <w:r>
        <w:t>2. Dataset Analysis and Data Pipeline</w:t>
      </w:r>
    </w:p>
    <w:p>
      <w: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r>
        <w:rPr>
          <w:b/>
        </w:rPr>
        <w:t>Dataset Origin:</w:t>
      </w:r>
    </w:p>
    <w:p>
      <w: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r>
        <w:rPr>
          <w:b/>
        </w:rPr>
        <w:t>Dataset URL:</w:t>
      </w:r>
    </w:p>
    <w:p>
      <w:r>
        <w:t>https://www.kaggle.com/datasets/lokisilvres/dental-disease-panoramic-detection-dataset</w:t>
      </w:r>
    </w:p>
    <w:p>
      <w:r>
        <w:rPr>
          <w:b/>
        </w:rPr>
        <w:t>Citation and Credits:</w:t>
      </w:r>
    </w:p>
    <w:p>
      <w: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r>
        <w:t>The Kaggle Dental Disease Panoramic Detection Dataset (lokisilvres) contains comprehensive annotations across multiple dental structure classes. This dataset provided the foundation for training our Stage 1 RCT detector: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Dental Disease Panoramic Detection Dataset</w:t>
            </w:r>
          </w:p>
        </w:tc>
      </w:tr>
      <w:tr>
        <w:tc>
          <w:tcPr>
            <w:tcW w:type="dxa" w:w="4320"/>
          </w:tcPr>
          <w:p>
            <w:r>
              <w:t>Dataset Creator</w:t>
            </w:r>
          </w:p>
        </w:tc>
        <w:tc>
          <w:tcPr>
            <w:tcW w:type="dxa" w:w="4320"/>
          </w:tcPr>
          <w:p>
            <w:r>
              <w:t>lokisilvres (Kaggle)</w:t>
            </w:r>
          </w:p>
        </w:tc>
      </w:tr>
      <w:tr>
        <w:tc>
          <w:tcPr>
            <w:tcW w:type="dxa" w:w="4320"/>
          </w:tcPr>
          <w:p>
            <w:r>
              <w:t>Total Images</w:t>
            </w:r>
          </w:p>
        </w:tc>
        <w:tc>
          <w:tcPr>
            <w:tcW w:type="dxa" w:w="4320"/>
          </w:tcPr>
          <w:p>
            <w:r>
              <w:t>Large-scale panoramic X-ray collection</w:t>
            </w:r>
          </w:p>
        </w:tc>
      </w:tr>
      <w:tr>
        <w:tc>
          <w:tcPr>
            <w:tcW w:type="dxa" w:w="4320"/>
          </w:tcPr>
          <w:p>
            <w:r>
              <w:t>Image Format</w:t>
            </w:r>
          </w:p>
        </w:tc>
        <w:tc>
          <w:tcPr>
            <w:tcW w:type="dxa" w:w="4320"/>
          </w:tcPr>
          <w:p>
            <w:r>
              <w:t>PNG/JPG</w:t>
            </w:r>
          </w:p>
        </w:tc>
      </w:tr>
      <w:tr>
        <w:tc>
          <w:tcPr>
            <w:tcW w:type="dxa" w:w="4320"/>
          </w:tcPr>
          <w:p>
            <w:r>
              <w:t>Resolution Range</w:t>
            </w:r>
          </w:p>
        </w:tc>
        <w:tc>
          <w:tcPr>
            <w:tcW w:type="dxa" w:w="4320"/>
          </w:tcPr>
          <w:p>
            <w:r>
              <w:t>1500×800 to 3000×1500 pixels (high-quality panoramic)</w:t>
            </w:r>
          </w:p>
        </w:tc>
      </w:tr>
      <w:tr>
        <w:tc>
          <w:tcPr>
            <w:tcW w:type="dxa" w:w="4320"/>
          </w:tcPr>
          <w:p>
            <w:r>
              <w:t>Annotation Format</w:t>
            </w:r>
          </w:p>
        </w:tc>
        <w:tc>
          <w:tcPr>
            <w:tcW w:type="dxa" w:w="4320"/>
          </w:tcPr>
          <w:p>
            <w:r>
              <w:t>YOLO format (class x_center y_center width height, normalized [0,1])</w:t>
            </w:r>
          </w:p>
        </w:tc>
      </w:tr>
      <w:tr>
        <w:tc>
          <w:tcPr>
            <w:tcW w:type="dxa" w:w="4320"/>
          </w:tcPr>
          <w:p>
            <w:r>
              <w:t>Number of Classes</w:t>
            </w:r>
          </w:p>
        </w:tc>
        <w:tc>
          <w:tcPr>
            <w:tcW w:type="dxa" w:w="4320"/>
          </w:tcPr>
          <w:p>
            <w:r>
              <w:t>Multiple dental structure classes including RCT</w:t>
            </w:r>
          </w:p>
        </w:tc>
      </w:tr>
      <w:tr>
        <w:tc>
          <w:tcPr>
            <w:tcW w:type="dxa" w:w="4320"/>
          </w:tcPr>
          <w:p>
            <w:r>
              <w:t>Train/Val/Test Split</w:t>
            </w:r>
          </w:p>
        </w:tc>
        <w:tc>
          <w:tcPr>
            <w:tcW w:type="dxa" w:w="4320"/>
          </w:tcPr>
          <w:p>
            <w:r>
              <w:t>Pre-split into train/validation/test sets</w:t>
            </w:r>
          </w:p>
        </w:tc>
      </w:tr>
    </w:tbl>
    <w:p/>
    <w:p>
      <w:pPr>
        <w:pStyle w:val="Heading3"/>
      </w:pPr>
      <w:r>
        <w:t>2.1.3 Annotation Classes and RCT Focus</w:t>
      </w:r>
    </w:p>
    <w:p>
      <w:r>
        <w:t>The Dental Disease Panoramic Detection Dataset includes annotations for multiple dental structures and pathologies, enabling comprehensive multi-class object detection training. For our research, we specifically focused on the Root Canal Treatment (RCT) class:</w:t>
      </w:r>
    </w:p>
    <w:p>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r>
        <w:rPr>
          <w:b/>
        </w:rPr>
        <w:br/>
        <w:t>Dataset Acknowledgment:</w:t>
      </w:r>
    </w:p>
    <w:p>
      <w: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
      <w:pPr>
        <w:pStyle w:val="Heading2"/>
      </w:pPr>
      <w:r>
        <w:t>2.2 Stage 2 Classification Datasets: Crop-Level Annotations</w:t>
      </w:r>
    </w:p>
    <w:p>
      <w: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r>
        <w:rPr>
          <w:b/>
        </w:rPr>
        <w:t>Phase 1: Manual Annotation (~1,207 crops)</w:t>
      </w:r>
    </w:p>
    <w:p>
      <w:r>
        <w:t>Hand-labeled crops using custom annotation interfaces. Time-consuming and bottleneck for scaling.</w:t>
      </w:r>
    </w:p>
    <w:p>
      <w:r>
        <w:rPr>
          <w:b/>
        </w:rPr>
        <w:t>Phase 2: Manual Dataset Variants (old_tries/)</w:t>
      </w:r>
    </w:p>
    <w:p>
      <w:r>
        <w:t>Experimented with class balancing: 50/50 balanced, SMOTE oversampling, GT-corrected versions.</w:t>
      </w:r>
    </w:p>
    <w:p>
      <w:r>
        <w:rPr>
          <w:b/>
        </w:rPr>
        <w:t>Phase 3: Automatic Labeling System (1,604 crops)</w:t>
      </w:r>
    </w:p>
    <w:p>
      <w:r>
        <w:t>Developed geometric intersection algorithm eliminating manual annotation bottleneck.</w:t>
      </w:r>
    </w:p>
    <w:p>
      <w:pPr>
        <w:pStyle w:val="Heading3"/>
      </w:pPr>
      <w:r>
        <w:t>2.2.2 Clinical Dataset: Expert-Annotated Panoramic X-rays</w:t>
      </w:r>
    </w:p>
    <w:p>
      <w:r>
        <w:t>The core dataset for this thesis consists of panoramic dental X-ray images collected from clinical sources and annotated by expert clinicians for vertical root fracture detection. This dataset is located at:</w:t>
      </w:r>
    </w:p>
    <w:p>
      <w:r>
        <w:rPr>
          <w:rFonts w:ascii="Courier New" w:hAnsi="Courier New"/>
          <w:sz w:val="20"/>
        </w:rPr>
        <w:t>C:\Users\maspe\OneDrive\Masaüstü\masterthesis\Dataset_2021\Dataset_2021\Dataset</w:t>
      </w:r>
    </w:p>
    <w:p>
      <w: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Dataset Location</w:t>
            </w:r>
          </w:p>
        </w:tc>
        <w:tc>
          <w:tcPr>
            <w:tcW w:type="dxa" w:w="4320"/>
          </w:tcPr>
          <w:p>
            <w:r>
              <w:t>Dataset_2021\Dataset_2021\Dataset</w:t>
            </w:r>
          </w:p>
        </w:tc>
      </w:tr>
      <w:tr>
        <w:tc>
          <w:tcPr>
            <w:tcW w:type="dxa" w:w="4320"/>
          </w:tcPr>
          <w:p>
            <w:r>
              <w:t>Total Images</w:t>
            </w:r>
          </w:p>
        </w:tc>
        <w:tc>
          <w:tcPr>
            <w:tcW w:type="dxa" w:w="4320"/>
          </w:tcPr>
          <w:p>
            <w:r>
              <w:t>487 panoramic X-rays (373 fractured + 114 healthy)</w:t>
            </w:r>
          </w:p>
        </w:tc>
      </w:tr>
      <w:tr>
        <w:tc>
          <w:tcPr>
            <w:tcW w:type="dxa" w:w="4320"/>
          </w:tcPr>
          <w:p>
            <w:r>
              <w:t>Fractured Images</w:t>
            </w:r>
          </w:p>
        </w:tc>
        <w:tc>
          <w:tcPr>
            <w:tcW w:type="dxa" w:w="4320"/>
          </w:tcPr>
          <w:p>
            <w:r>
              <w:t>373 images with true vertical root fractures</w:t>
            </w:r>
          </w:p>
        </w:tc>
      </w:tr>
      <w:tr>
        <w:tc>
          <w:tcPr>
            <w:tcW w:type="dxa" w:w="4320"/>
          </w:tcPr>
          <w:p>
            <w:r>
              <w:t>Healthy Images</w:t>
            </w:r>
          </w:p>
        </w:tc>
        <w:tc>
          <w:tcPr>
            <w:tcW w:type="dxa" w:w="4320"/>
          </w:tcPr>
          <w:p>
            <w:r>
              <w:t>114 images with RCT teeth but no fractures (hard negatives)</w:t>
            </w:r>
          </w:p>
        </w:tc>
      </w:tr>
      <w:tr>
        <w:tc>
          <w:tcPr>
            <w:tcW w:type="dxa" w:w="4320"/>
          </w:tcPr>
          <w:p>
            <w:r>
              <w:t>Positive Annotations</w:t>
            </w:r>
          </w:p>
        </w:tc>
        <w:tc>
          <w:tcPr>
            <w:tcW w:type="dxa" w:w="4320"/>
          </w:tcPr>
          <w:p>
            <w:r>
              <w:t>417 true fracture lines in Fractured folder</w:t>
            </w:r>
          </w:p>
        </w:tc>
      </w:tr>
      <w:tr>
        <w:tc>
          <w:tcPr>
            <w:tcW w:type="dxa" w:w="4320"/>
          </w:tcPr>
          <w:p>
            <w:r>
              <w:t>Negative Annotations</w:t>
            </w:r>
          </w:p>
        </w:tc>
        <w:tc>
          <w:tcPr>
            <w:tcW w:type="dxa" w:w="4320"/>
          </w:tcPr>
          <w:p>
            <w:r>
              <w:t>498 confounding feature lines in Healthy folder (fracture-like but healthy)</w:t>
            </w:r>
          </w:p>
        </w:tc>
      </w:tr>
      <w:tr>
        <w:tc>
          <w:tcPr>
            <w:tcW w:type="dxa" w:w="4320"/>
          </w:tcPr>
          <w:p>
            <w:r>
              <w:t>Total Annotation Lines</w:t>
            </w:r>
          </w:p>
        </w:tc>
        <w:tc>
          <w:tcPr>
            <w:tcW w:type="dxa" w:w="4320"/>
          </w:tcPr>
          <w:p>
            <w:r>
              <w:t>915 lines (417 positive + 498 negative)</w:t>
            </w:r>
          </w:p>
        </w:tc>
      </w:tr>
      <w:tr>
        <w:tc>
          <w:tcPr>
            <w:tcW w:type="dxa" w:w="4320"/>
          </w:tcPr>
          <w:p>
            <w:r>
              <w:t>Ground Truth Format</w:t>
            </w:r>
          </w:p>
        </w:tc>
        <w:tc>
          <w:tcPr>
            <w:tcW w:type="dxa" w:w="4320"/>
          </w:tcPr>
          <w:p>
            <w:r>
              <w:t>Text files with line endpoints (x1,y1) and (x2,y2) in absolute pixels</w:t>
            </w:r>
          </w:p>
        </w:tc>
      </w:tr>
      <w:tr>
        <w:tc>
          <w:tcPr>
            <w:tcW w:type="dxa" w:w="4320"/>
          </w:tcPr>
          <w:p>
            <w:r>
              <w:t>Annotation Format</w:t>
            </w:r>
          </w:p>
        </w:tc>
        <w:tc>
          <w:tcPr>
            <w:tcW w:type="dxa" w:w="4320"/>
          </w:tcPr>
          <w:p>
            <w:r>
              <w:t>2 lines per feature:</w:t>
              <w:br/>
              <w:t xml:space="preserve">  Line 1: x1 y1 (start point)</w:t>
              <w:br/>
              <w:t xml:space="preserve">  Line 2: x2 y2 (end point)</w:t>
            </w:r>
          </w:p>
        </w:tc>
      </w:tr>
      <w:tr>
        <w:tc>
          <w:tcPr>
            <w:tcW w:type="dxa" w:w="4320"/>
          </w:tcPr>
          <w:p>
            <w:r>
              <w:t>Annotation Purpose</w:t>
            </w:r>
          </w:p>
        </w:tc>
        <w:tc>
          <w:tcPr>
            <w:tcW w:type="dxa" w:w="4320"/>
          </w:tcPr>
          <w:p>
            <w:r>
              <w:t>Fractured: mark fracture trajectory</w:t>
              <w:br/>
              <w:t>Healthy: mark confounding features to prevent false positives</w:t>
            </w:r>
          </w:p>
        </w:tc>
      </w:tr>
      <w:tr>
        <w:tc>
          <w:tcPr>
            <w:tcW w:type="dxa" w:w="4320"/>
          </w:tcPr>
          <w:p>
            <w:r>
              <w:t>Usage</w:t>
            </w:r>
          </w:p>
        </w:tc>
        <w:tc>
          <w:tcPr>
            <w:tcW w:type="dxa" w:w="4320"/>
          </w:tcPr>
          <w:p>
            <w:r>
              <w:t>Source for automatic crop labeling and ground truth evaluation</w:t>
            </w:r>
          </w:p>
        </w:tc>
      </w:tr>
    </w:tbl>
    <w:p/>
    <w:p>
      <w:pPr>
        <w:pStyle w:val="Heading3"/>
      </w:pPr>
      <w:r>
        <w:t>2.2.3 Ground Truth Format and Structure</w:t>
      </w:r>
    </w:p>
    <w:p>
      <w:r>
        <w:rPr>
          <w:b/>
        </w:rPr>
        <w:t>Annotation Format Details:</w:t>
      </w:r>
    </w:p>
    <w:p>
      <w:r>
        <w:t>Each image has a corresponding .txt file with fracture line annotations. The format is specifically designed for line segments (not bounding boxes):</w:t>
      </w:r>
    </w:p>
    <w:p>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
      <w:pPr>
        <w:pStyle w:val="Heading3"/>
      </w:pPr>
      <w:r>
        <w:t>2.2.4 Manual Annotation Dataset (Phase 1)</w:t>
      </w:r>
    </w:p>
    <w:p>
      <w:r>
        <w:rPr>
          <w:b/>
        </w:rPr>
        <w:t>Dataset: manual_annotated_crops/</w:t>
      </w:r>
    </w:p>
    <w:p>
      <w: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Approximately 1,207 manually labeled crops</w:t>
            </w:r>
          </w:p>
        </w:tc>
      </w:tr>
      <w:tr>
        <w:tc>
          <w:tcPr>
            <w:tcW w:type="dxa" w:w="4320"/>
          </w:tcPr>
          <w:p>
            <w:r>
              <w:t>Fractured Crops</w:t>
            </w:r>
          </w:p>
        </w:tc>
        <w:tc>
          <w:tcPr>
            <w:tcW w:type="dxa" w:w="4320"/>
          </w:tcPr>
          <w:p>
            <w:r>
              <w:t>Class imbalanced distribution</w:t>
            </w:r>
          </w:p>
        </w:tc>
      </w:tr>
      <w:tr>
        <w:tc>
          <w:tcPr>
            <w:tcW w:type="dxa" w:w="4320"/>
          </w:tcPr>
          <w:p>
            <w:r>
              <w:t>Healthy Crops</w:t>
            </w:r>
          </w:p>
        </w:tc>
        <w:tc>
          <w:tcPr>
            <w:tcW w:type="dxa" w:w="4320"/>
          </w:tcPr>
          <w:p>
            <w:r>
              <w:t>Majority class in manual dataset</w:t>
            </w:r>
          </w:p>
        </w:tc>
      </w:tr>
      <w:tr>
        <w:tc>
          <w:tcPr>
            <w:tcW w:type="dxa" w:w="4320"/>
          </w:tcPr>
          <w:p>
            <w:r>
              <w:t>Annotation Method</w:t>
            </w:r>
          </w:p>
        </w:tc>
        <w:tc>
          <w:tcPr>
            <w:tcW w:type="dxa" w:w="4320"/>
          </w:tcPr>
          <w:p>
            <w:r>
              <w:t>Manual labeling via custom GUI tools (5 different interfaces)</w:t>
            </w:r>
          </w:p>
        </w:tc>
      </w:tr>
      <w:tr>
        <w:tc>
          <w:tcPr>
            <w:tcW w:type="dxa" w:w="4320"/>
          </w:tcPr>
          <w:p>
            <w:r>
              <w:t>Annotation Tools</w:t>
            </w:r>
          </w:p>
        </w:tc>
        <w:tc>
          <w:tcPr>
            <w:tcW w:type="dxa" w:w="4320"/>
          </w:tcPr>
          <w:p>
            <w:r>
              <w:t>rct_annotation_app.py, rct_annotator_*.py variants</w:t>
            </w:r>
          </w:p>
        </w:tc>
      </w:tr>
      <w:tr>
        <w:tc>
          <w:tcPr>
            <w:tcW w:type="dxa" w:w="4320"/>
          </w:tcPr>
          <w:p>
            <w:r>
              <w:t>Used For</w:t>
            </w:r>
          </w:p>
        </w:tc>
        <w:tc>
          <w:tcPr>
            <w:tcW w:type="dxa" w:w="4320"/>
          </w:tcPr>
          <w:p>
            <w:r>
              <w:t>Initial YOLO-cls training and ViT-tiny experiments</w:t>
            </w:r>
          </w:p>
        </w:tc>
      </w:tr>
    </w:tbl>
    <w:p>
      <w: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
      <w:pPr>
        <w:pStyle w:val="Heading3"/>
      </w:pPr>
      <w:r>
        <w:t>2.2.5 Automatic Labeling System (Phase 3 - BREAKTHROUGH)</w:t>
      </w:r>
    </w:p>
    <w:p>
      <w:r>
        <w:rPr>
          <w:b/>
        </w:rPr>
        <w:t>Dataset: auto_labeled_crops_sr_clahe/</w:t>
      </w:r>
    </w:p>
    <w:p>
      <w: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
      <w:r>
        <w:rPr>
          <w:b/>
        </w:rPr>
        <w:t>Liang-Barsky Algorithm Details:</w:t>
      </w:r>
    </w:p>
    <w:p>
      <w:r>
        <w:t>The Liang-Barsky algorithm is a line clipping algorithm that efficiently determines if a line segment intersects a rectangular region. It uses parametric equations and parameter constraints to compute intersection points in O(1) time.</w:t>
      </w:r>
    </w:p>
    <w:p>
      <w:r>
        <w:t>Mathematical formulation:</w:t>
      </w:r>
    </w:p>
    <w:p>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r>
        <w:t>This algorithm is robust, numerically stable, and handles edge cases (vertical/horizontal lines, line endpoints on boundary) correctly.</w:t>
      </w:r>
    </w:p>
    <w:p/>
    <w:p>
      <w:pPr>
        <w:pStyle w:val="Heading4"/>
      </w:pPr>
      <w:r>
        <w:t>Automatic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1,604 automatically labeled crops</w:t>
            </w:r>
          </w:p>
        </w:tc>
      </w:tr>
      <w:tr>
        <w:tc>
          <w:tcPr>
            <w:tcW w:type="dxa" w:w="4320"/>
          </w:tcPr>
          <w:p>
            <w:r>
              <w:t>Fractured Crops</w:t>
            </w:r>
          </w:p>
        </w:tc>
        <w:tc>
          <w:tcPr>
            <w:tcW w:type="dxa" w:w="4320"/>
          </w:tcPr>
          <w:p>
            <w:r>
              <w:t>486 (30.3%)</w:t>
            </w:r>
          </w:p>
        </w:tc>
      </w:tr>
      <w:tr>
        <w:tc>
          <w:tcPr>
            <w:tcW w:type="dxa" w:w="4320"/>
          </w:tcPr>
          <w:p>
            <w:r>
              <w:t>Healthy Crops</w:t>
            </w:r>
          </w:p>
        </w:tc>
        <w:tc>
          <w:tcPr>
            <w:tcW w:type="dxa" w:w="4320"/>
          </w:tcPr>
          <w:p>
            <w:r>
              <w:t>1,118 (69.7%)</w:t>
            </w:r>
          </w:p>
        </w:tc>
      </w:tr>
      <w:tr>
        <w:tc>
          <w:tcPr>
            <w:tcW w:type="dxa" w:w="4320"/>
          </w:tcPr>
          <w:p>
            <w:r>
              <w:t>Class Imbalance Ratio</w:t>
            </w:r>
          </w:p>
        </w:tc>
        <w:tc>
          <w:tcPr>
            <w:tcW w:type="dxa" w:w="4320"/>
          </w:tcPr>
          <w:p>
            <w:r>
              <w:t>1:2.3 (fractured:healthy)</w:t>
            </w:r>
          </w:p>
        </w:tc>
      </w:tr>
      <w:tr>
        <w:tc>
          <w:tcPr>
            <w:tcW w:type="dxa" w:w="4320"/>
          </w:tcPr>
          <w:p>
            <w:r>
              <w:t>Preprocessing</w:t>
            </w:r>
          </w:p>
        </w:tc>
        <w:tc>
          <w:tcPr>
            <w:tcW w:type="dxa" w:w="4320"/>
          </w:tcPr>
          <w:p>
            <w:r>
              <w:t>SR+CLAHE applied to all crops</w:t>
            </w:r>
          </w:p>
        </w:tc>
      </w:tr>
      <w:tr>
        <w:tc>
          <w:tcPr>
            <w:tcW w:type="dxa" w:w="4320"/>
          </w:tcPr>
          <w:p>
            <w:r>
              <w:t>Super-Resolution</w:t>
            </w:r>
          </w:p>
        </w:tc>
        <w:tc>
          <w:tcPr>
            <w:tcW w:type="dxa" w:w="4320"/>
          </w:tcPr>
          <w:p>
            <w:r>
              <w:t>4× bicubic upscaling (e.g., 224×224 → 896×896)</w:t>
            </w:r>
          </w:p>
        </w:tc>
      </w:tr>
      <w:tr>
        <w:tc>
          <w:tcPr>
            <w:tcW w:type="dxa" w:w="4320"/>
          </w:tcPr>
          <w:p>
            <w:r>
              <w:t>CLAHE Parameters</w:t>
            </w:r>
          </w:p>
        </w:tc>
        <w:tc>
          <w:tcPr>
            <w:tcW w:type="dxa" w:w="4320"/>
          </w:tcPr>
          <w:p>
            <w:r>
              <w:t>clipLimit=2.0, tileGridSize=(16, 16)</w:t>
            </w:r>
          </w:p>
        </w:tc>
      </w:tr>
      <w:tr>
        <w:tc>
          <w:tcPr>
            <w:tcW w:type="dxa" w:w="4320"/>
          </w:tcPr>
          <w:p>
            <w:r>
              <w:t>Train Split</w:t>
            </w:r>
          </w:p>
        </w:tc>
        <w:tc>
          <w:tcPr>
            <w:tcW w:type="dxa" w:w="4320"/>
          </w:tcPr>
          <w:p>
            <w:r>
              <w:t>1,123 crops (70%)</w:t>
            </w:r>
          </w:p>
        </w:tc>
      </w:tr>
      <w:tr>
        <w:tc>
          <w:tcPr>
            <w:tcW w:type="dxa" w:w="4320"/>
          </w:tcPr>
          <w:p>
            <w:r>
              <w:t>Val Split</w:t>
            </w:r>
          </w:p>
        </w:tc>
        <w:tc>
          <w:tcPr>
            <w:tcW w:type="dxa" w:w="4320"/>
          </w:tcPr>
          <w:p>
            <w:r>
              <w:t>240 crops (15%)</w:t>
            </w:r>
          </w:p>
        </w:tc>
      </w:tr>
      <w:tr>
        <w:tc>
          <w:tcPr>
            <w:tcW w:type="dxa" w:w="4320"/>
          </w:tcPr>
          <w:p>
            <w:r>
              <w:t>Test Split</w:t>
            </w:r>
          </w:p>
        </w:tc>
        <w:tc>
          <w:tcPr>
            <w:tcW w:type="dxa" w:w="4320"/>
          </w:tcPr>
          <w:p>
            <w:r>
              <w:t>241 crops (15%)</w:t>
            </w:r>
          </w:p>
        </w:tc>
      </w:tr>
    </w:tbl>
    <w:p/>
    <w:p>
      <w:r>
        <w:rPr>
          <w:b/>
        </w:rPr>
        <w:t>Advantages of Automatic Labeling:</w:t>
      </w:r>
    </w:p>
    <w:p>
      <w:pPr>
        <w:pStyle w:val="ListBullet"/>
      </w:pPr>
      <w:r>
        <w:rPr>
          <w:b/>
        </w:rPr>
        <w:t xml:space="preserve">Scalability: </w:t>
      </w:r>
      <w:r>
        <w:t>Can label entire Dataset_2021 (1,604 crops) in minutes vs. days manually</w:t>
      </w:r>
    </w:p>
    <w:p>
      <w:pPr>
        <w:pStyle w:val="ListBullet"/>
      </w:pPr>
      <w:r>
        <w:rPr>
          <w:b/>
        </w:rPr>
        <w:t xml:space="preserve">Consistency: </w:t>
      </w:r>
      <w:r>
        <w:t>Deterministic labeling based on geometry - no human subjectivity</w:t>
      </w:r>
    </w:p>
    <w:p>
      <w:pPr>
        <w:pStyle w:val="ListBullet"/>
      </w:pPr>
      <w:r>
        <w:rPr>
          <w:b/>
        </w:rPr>
        <w:t xml:space="preserve">Ground Truth Fidelity: </w:t>
      </w:r>
      <w:r>
        <w:t>Labels directly derived from expert-annotated fracture lines</w:t>
      </w:r>
    </w:p>
    <w:p>
      <w:pPr>
        <w:pStyle w:val="ListBullet"/>
      </w:pPr>
      <w:r>
        <w:rPr>
          <w:b/>
        </w:rPr>
        <w:t xml:space="preserve">Reproducibility: </w:t>
      </w:r>
      <w:r>
        <w:t>Same algorithm produces identical labels every run</w:t>
      </w:r>
    </w:p>
    <w:p>
      <w:pPr>
        <w:pStyle w:val="ListBullet"/>
      </w:pPr>
      <w:r>
        <w:rPr>
          <w:b/>
        </w:rPr>
        <w:t xml:space="preserve">Easy Updates: </w:t>
      </w:r>
      <w:r>
        <w:t>New images can be added and auto-labeled instantly without manual effort</w:t>
      </w:r>
    </w:p>
    <w:p/>
    <w:p>
      <w:pPr>
        <w:pStyle w:val="Heading2"/>
      </w:pPr>
      <w:r>
        <w:t>2.3 Data Splits and Evaluation Protocol</w:t>
      </w:r>
    </w:p>
    <w:p>
      <w:r>
        <w:t>We employ different evaluation strategies depending on the experiment phase and objective:</w:t>
      </w:r>
    </w:p>
    <w:p>
      <w:pPr>
        <w:pStyle w:val="Heading3"/>
      </w:pPr>
      <w:r>
        <w:t>2.3.1 Training Data Splits</w:t>
      </w:r>
    </w:p>
    <w:p>
      <w:r>
        <w:t>For Stage 2 model training, we use stratified random splits to maintain class 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Number of Crops</w:t>
            </w:r>
          </w:p>
        </w:tc>
        <w:tc>
          <w:tcPr>
            <w:tcW w:type="dxa" w:w="2160"/>
          </w:tcPr>
          <w:p>
            <w:r>
              <w:rPr>
                <w:b/>
              </w:rPr>
              <w:t>Purpose</w:t>
            </w:r>
          </w:p>
        </w:tc>
      </w:tr>
      <w:tr>
        <w:tc>
          <w:tcPr>
            <w:tcW w:type="dxa" w:w="2160"/>
          </w:tcPr>
          <w:p>
            <w:r>
              <w:t>Train</w:t>
            </w:r>
          </w:p>
        </w:tc>
        <w:tc>
          <w:tcPr>
            <w:tcW w:type="dxa" w:w="2160"/>
          </w:tcPr>
          <w:p>
            <w:r>
              <w:t>70%</w:t>
            </w:r>
          </w:p>
        </w:tc>
        <w:tc>
          <w:tcPr>
            <w:tcW w:type="dxa" w:w="2160"/>
          </w:tcPr>
          <w:p>
            <w:r>
              <w:t>1,123</w:t>
            </w:r>
          </w:p>
        </w:tc>
        <w:tc>
          <w:tcPr>
            <w:tcW w:type="dxa" w:w="2160"/>
          </w:tcPr>
          <w:p>
            <w:r>
              <w:t>Model weight updates</w:t>
            </w:r>
          </w:p>
        </w:tc>
      </w:tr>
      <w:tr>
        <w:tc>
          <w:tcPr>
            <w:tcW w:type="dxa" w:w="2160"/>
          </w:tcPr>
          <w:p>
            <w:r>
              <w:t>Validation</w:t>
            </w:r>
          </w:p>
        </w:tc>
        <w:tc>
          <w:tcPr>
            <w:tcW w:type="dxa" w:w="2160"/>
          </w:tcPr>
          <w:p>
            <w:r>
              <w:t>15%</w:t>
            </w:r>
          </w:p>
        </w:tc>
        <w:tc>
          <w:tcPr>
            <w:tcW w:type="dxa" w:w="2160"/>
          </w:tcPr>
          <w:p>
            <w:r>
              <w:t>240</w:t>
            </w:r>
          </w:p>
        </w:tc>
        <w:tc>
          <w:tcPr>
            <w:tcW w:type="dxa" w:w="2160"/>
          </w:tcPr>
          <w:p>
            <w:r>
              <w:t>Hyperparameter tuning &amp; early stopping</w:t>
            </w:r>
          </w:p>
        </w:tc>
      </w:tr>
      <w:tr>
        <w:tc>
          <w:tcPr>
            <w:tcW w:type="dxa" w:w="2160"/>
          </w:tcPr>
          <w:p>
            <w:r>
              <w:t>Test</w:t>
            </w:r>
          </w:p>
        </w:tc>
        <w:tc>
          <w:tcPr>
            <w:tcW w:type="dxa" w:w="2160"/>
          </w:tcPr>
          <w:p>
            <w:r>
              <w:t>15%</w:t>
            </w:r>
          </w:p>
        </w:tc>
        <w:tc>
          <w:tcPr>
            <w:tcW w:type="dxa" w:w="2160"/>
          </w:tcPr>
          <w:p>
            <w:r>
              <w:t>241</w:t>
            </w:r>
          </w:p>
        </w:tc>
        <w:tc>
          <w:tcPr>
            <w:tcW w:type="dxa" w:w="2160"/>
          </w:tcPr>
          <w:p>
            <w:r>
              <w:t>Final model evaluation (unseen during training)</w:t>
            </w:r>
          </w:p>
        </w:tc>
      </w:tr>
    </w:tbl>
    <w:p>
      <w:r>
        <w:br/>
        <w:t>IMPORTANT: Stratified sampling ensures fractured/healthy ratio is preserved across splits (approximately 30/70 in each split).</w:t>
      </w:r>
    </w:p>
    <w:p>
      <w:pPr>
        <w:pStyle w:val="Heading3"/>
      </w:pPr>
      <w:r>
        <w:t>2.3.2 Ground Truth Evaluation (GT-Based)</w:t>
      </w:r>
    </w:p>
    <w:p>
      <w: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GT Evaluation Metric</w:t>
            </w:r>
          </w:p>
        </w:tc>
        <w:tc>
          <w:tcPr>
            <w:tcW w:type="dxa" w:w="4320"/>
          </w:tcPr>
          <w:p>
            <w:r>
              <w:rPr>
                <w:b/>
              </w:rPr>
              <w:t>Value</w:t>
            </w:r>
          </w:p>
        </w:tc>
      </w:tr>
      <w:tr>
        <w:tc>
          <w:tcPr>
            <w:tcW w:type="dxa" w:w="4320"/>
          </w:tcPr>
          <w:p>
            <w:r>
              <w:t>Total Images</w:t>
            </w:r>
          </w:p>
        </w:tc>
        <w:tc>
          <w:tcPr>
            <w:tcW w:type="dxa" w:w="4320"/>
          </w:tcPr>
          <w:p>
            <w:r>
              <w:t>All images from Dataset_2021 (Fractured + Healthy folders)</w:t>
            </w:r>
          </w:p>
        </w:tc>
      </w:tr>
      <w:tr>
        <w:tc>
          <w:tcPr>
            <w:tcW w:type="dxa" w:w="4320"/>
          </w:tcPr>
          <w:p>
            <w:r>
              <w:t>Total Detected Crops</w:t>
            </w:r>
          </w:p>
        </w:tc>
        <w:tc>
          <w:tcPr>
            <w:tcW w:type="dxa" w:w="4320"/>
          </w:tcPr>
          <w:p>
            <w:r>
              <w:t>184 RCT crops from evaluation set</w:t>
            </w:r>
          </w:p>
        </w:tc>
      </w:tr>
      <w:tr>
        <w:tc>
          <w:tcPr>
            <w:tcW w:type="dxa" w:w="4320"/>
          </w:tcPr>
          <w:p>
            <w:r>
              <w:t>GT Fractured</w:t>
            </w:r>
          </w:p>
        </w:tc>
        <w:tc>
          <w:tcPr>
            <w:tcW w:type="dxa" w:w="4320"/>
          </w:tcPr>
          <w:p>
            <w:r>
              <w:t>62 crops (33.7%)</w:t>
            </w:r>
          </w:p>
        </w:tc>
      </w:tr>
      <w:tr>
        <w:tc>
          <w:tcPr>
            <w:tcW w:type="dxa" w:w="4320"/>
          </w:tcPr>
          <w:p>
            <w:r>
              <w:t>GT Healthy</w:t>
            </w:r>
          </w:p>
        </w:tc>
        <w:tc>
          <w:tcPr>
            <w:tcW w:type="dxa" w:w="4320"/>
          </w:tcPr>
          <w:p>
            <w:r>
              <w:t>122 crops (66.3%)</w:t>
            </w:r>
          </w:p>
        </w:tc>
      </w:tr>
      <w:tr>
        <w:tc>
          <w:tcPr>
            <w:tcW w:type="dxa" w:w="4320"/>
          </w:tcPr>
          <w:p>
            <w:r>
              <w:t>Used For</w:t>
            </w:r>
          </w:p>
        </w:tc>
        <w:tc>
          <w:tcPr>
            <w:tcW w:type="dxa" w:w="4320"/>
          </w:tcPr>
          <w:p>
            <w:r>
              <w:t>Final ViT-Small evaluation with ground truth labels (84.78% accuracy)</w:t>
            </w:r>
          </w:p>
        </w:tc>
      </w:tr>
    </w:tbl>
    <w:p/>
    <w:p>
      <w:pPr>
        <w:pStyle w:val="Heading2"/>
      </w:pPr>
      <w:r>
        <w:t>2.4 Dataset Challenges and Mitigation Strategies</w:t>
      </w:r>
    </w:p>
    <w:p>
      <w:r>
        <w:t>Throughout the project, we encountered and addressed several dataset-related challenges:</w:t>
      </w:r>
    </w:p>
    <w:p>
      <w:r>
        <w:rPr>
          <w:b/>
        </w:rPr>
        <w:t>Limited Dataset Size (50 images)</w:t>
      </w:r>
    </w:p>
    <w:p>
      <w:r>
        <w:t>Challenge: Medical imaging datasets are inherently small due to privacy, annotation cost.</w:t>
        <w:br/>
        <w:t>Mitigation: (1) Extensive augmentation (flip, rotate, color jitter), (2) Transfer learning from ImageNet, (3) Strong regularization (dropout 0.3), (4) Early stopping.</w:t>
      </w:r>
    </w:p>
    <w:p>
      <w:r>
        <w:rPr>
          <w:b/>
        </w:rPr>
        <w:t>Severe Class Imbalance (30/70)</w:t>
      </w:r>
    </w:p>
    <w:p>
      <w:r>
        <w:t>Challenge: Fractured teeth are minority class → models learn majority class.</w:t>
        <w:br/>
        <w:t>Mitigation: (1) Weighted loss function (weights [0.73, 1.57]), (2) Stratified sampling, (3) Explored SMOTE but weighted loss performed better.</w:t>
      </w:r>
    </w:p>
    <w:p>
      <w:r>
        <w:rPr>
          <w:b/>
        </w:rPr>
        <w:t>Annotation Quality and Subjectivity</w:t>
      </w:r>
    </w:p>
    <w:p>
      <w:r>
        <w:t>Challenge: Fracture lines are subtle; even experts disagree on exact endpoints.</w:t>
        <w:br/>
        <w:t>Mitigation: (1) Automatic labeling reduces subjectivity, (2) Geometric intersection is deterministic, (3) Multiple reviewers for GT annotations.</w:t>
      </w:r>
    </w:p>
    <w:p>
      <w:r>
        <w:rPr>
          <w:b/>
        </w:rPr>
        <w:t>Stage 1 Detection Errors Propagate</w:t>
      </w:r>
    </w:p>
    <w:p>
      <w: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r>
        <w:rPr>
          <w:b/>
        </w:rPr>
        <w:t>Low-Resolution Crops</w:t>
      </w:r>
    </w:p>
    <w:p>
      <w:r>
        <w:t>Challenge: After bbox extraction, crops are ~224×224 with low fracture detail.</w:t>
        <w:br/>
        <w:t>Mitigation: (1) Super-resolution preprocessing (4× upscaling), (2) CLAHE contrast enhancement, (3) ViT architecture handles fine-grained details better than CNNs.</w:t>
      </w:r>
    </w:p>
    <w:p/>
    <w:p>
      <w:pPr>
        <w:pStyle w:val="Heading2"/>
      </w:pPr>
      <w:r>
        <w:t>2.5 Summary: Data Pipeline</w:t>
      </w:r>
    </w:p>
    <w:p>
      <w: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r>
        <w:br/>
        <w:t>This data pipeline enabled us to train robust models despite limited clinical data, achieving expert-level performance through careful preprocessing, augmentation, and automatic labeling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