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监控与告警指南</w:t>
      </w:r>
    </w:p>
    <w:p>
      <w:pPr>
        <w:pStyle w:val="Heading2"/>
      </w:pPr>
      <w:r>
        <w:t>监控层次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检查内容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频率</w:t>
            </w:r>
          </w:p>
        </w:tc>
      </w:tr>
      <w:tr>
        <w:tc>
          <w:tcPr>
            <w:tcW w:type="dxa" w:w="2160"/>
          </w:tcPr>
          <w:p>
            <w:r>
              <w:t>可用性</w:t>
            </w:r>
          </w:p>
        </w:tc>
        <w:tc>
          <w:tcPr>
            <w:tcW w:type="dxa" w:w="2160"/>
          </w:tcPr>
          <w:p>
            <w:r>
              <w:t>`scripts/health-check.sh` + cron</w:t>
            </w:r>
          </w:p>
        </w:tc>
        <w:tc>
          <w:tcPr>
            <w:tcW w:type="dxa" w:w="2160"/>
          </w:tcPr>
          <w:p>
            <w:r>
              <w:t>服务可达、DB/Redis 连通</w:t>
            </w:r>
          </w:p>
        </w:tc>
        <w:tc>
          <w:tcPr>
            <w:tcW w:type="dxa" w:w="2160"/>
          </w:tcPr>
          <w:p>
            <w:r>
              <w:t>每 5 分钟</w:t>
            </w:r>
          </w:p>
        </w:tc>
      </w:tr>
      <w:tr>
        <w:tc>
          <w:tcPr>
            <w:tcW w:type="dxa" w:w="2160"/>
          </w:tcPr>
          <w:p>
            <w:r>
              <w:t>错误</w:t>
            </w:r>
          </w:p>
        </w:tc>
        <w:tc>
          <w:tcPr>
            <w:tcW w:type="dxa" w:w="2160"/>
          </w:tcPr>
          <w:p>
            <w:r>
              <w:t>Sentry</w:t>
            </w:r>
          </w:p>
        </w:tc>
        <w:tc>
          <w:tcPr>
            <w:tcW w:type="dxa" w:w="2160"/>
          </w:tcPr>
          <w:p>
            <w:r>
              <w:t>服务端/客户端异常</w:t>
            </w:r>
          </w:p>
        </w:tc>
        <w:tc>
          <w:tcPr>
            <w:tcW w:type="dxa" w:w="2160"/>
          </w:tcPr>
          <w:p>
            <w:r>
              <w:t>实时</w:t>
            </w:r>
          </w:p>
        </w:tc>
      </w:tr>
      <w:tr>
        <w:tc>
          <w:tcPr>
            <w:tcW w:type="dxa" w:w="2160"/>
          </w:tcPr>
          <w:p>
            <w:r>
              <w:t>性能</w:t>
            </w:r>
          </w:p>
        </w:tc>
        <w:tc>
          <w:tcPr>
            <w:tcW w:type="dxa" w:w="2160"/>
          </w:tcPr>
          <w:p>
            <w:r>
              <w:t>Neon Dashboard</w:t>
            </w:r>
          </w:p>
        </w:tc>
        <w:tc>
          <w:tcPr>
            <w:tcW w:type="dxa" w:w="2160"/>
          </w:tcPr>
          <w:p>
            <w:r>
              <w:t>慢查询、连接数</w:t>
            </w:r>
          </w:p>
        </w:tc>
        <w:tc>
          <w:tcPr>
            <w:tcW w:type="dxa" w:w="2160"/>
          </w:tcPr>
          <w:p>
            <w:r>
              <w:t>每日</w:t>
            </w:r>
          </w:p>
        </w:tc>
      </w:tr>
      <w:tr>
        <w:tc>
          <w:tcPr>
            <w:tcW w:type="dxa" w:w="2160"/>
          </w:tcPr>
          <w:p>
            <w:r>
              <w:t>限流</w:t>
            </w:r>
          </w:p>
        </w:tc>
        <w:tc>
          <w:tcPr>
            <w:tcW w:type="dxa" w:w="2160"/>
          </w:tcPr>
          <w:p>
            <w:r>
              <w:t>Upstash Dashboard</w:t>
            </w:r>
          </w:p>
        </w:tc>
        <w:tc>
          <w:tcPr>
            <w:tcW w:type="dxa" w:w="2160"/>
          </w:tcPr>
          <w:p>
            <w:r>
              <w:t>Redis 用量、限流命中</w:t>
            </w:r>
          </w:p>
        </w:tc>
        <w:tc>
          <w:tcPr>
            <w:tcW w:type="dxa" w:w="2160"/>
          </w:tcPr>
          <w:p>
            <w:r>
              <w:t>每周</w:t>
            </w:r>
          </w:p>
        </w:tc>
      </w:tr>
      <w:tr>
        <w:tc>
          <w:tcPr>
            <w:tcW w:type="dxa" w:w="2160"/>
          </w:tcPr>
          <w:p>
            <w:r>
              <w:t>业务</w:t>
            </w:r>
          </w:p>
        </w:tc>
        <w:tc>
          <w:tcPr>
            <w:tcW w:type="dxa" w:w="2160"/>
          </w:tcPr>
          <w:p>
            <w:r>
              <w:t>`verify-apps-headless.mjs`</w:t>
            </w:r>
          </w:p>
        </w:tc>
        <w:tc>
          <w:tcPr>
            <w:tcW w:type="dxa" w:w="2160"/>
          </w:tcPr>
          <w:p>
            <w:r>
              <w:t>站内应用可用性</w:t>
            </w:r>
          </w:p>
        </w:tc>
        <w:tc>
          <w:tcPr>
            <w:tcW w:type="dxa" w:w="2160"/>
          </w:tcPr>
          <w:p>
            <w:r>
              <w:t>每日</w:t>
            </w:r>
          </w:p>
        </w:tc>
      </w:tr>
    </w:tbl>
    <w:p/>
    <w:p>
      <w:pPr>
        <w:pStyle w:val="Heading2"/>
      </w:pPr>
      <w:r>
        <w:t>告警配置</w:t>
      </w:r>
    </w:p>
    <w:p>
      <w:pPr>
        <w:pStyle w:val="Heading3"/>
      </w:pPr>
      <w:r>
        <w:t>1. Sentry 告警</w:t>
      </w:r>
    </w:p>
    <w:p>
      <w:r>
        <w:t>Sentry 已集成，建议配置以下 Alert Rules：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通知方式</w:t>
            </w:r>
          </w:p>
        </w:tc>
      </w:tr>
      <w:tr>
        <w:tc>
          <w:tcPr>
            <w:tcW w:type="dxa" w:w="2880"/>
          </w:tcPr>
          <w:p>
            <w:r>
              <w:t>关键错误激增</w:t>
            </w:r>
          </w:p>
        </w:tc>
        <w:tc>
          <w:tcPr>
            <w:tcW w:type="dxa" w:w="2880"/>
          </w:tcPr>
          <w:p>
            <w:r>
              <w:t>5 分钟内 error 超过 10 个</w:t>
            </w:r>
          </w:p>
        </w:tc>
        <w:tc>
          <w:tcPr>
            <w:tcW w:type="dxa" w:w="2880"/>
          </w:tcPr>
          <w:p>
            <w:r>
              <w:t>飞书 / 邮件</w:t>
            </w:r>
          </w:p>
        </w:tc>
      </w:tr>
      <w:tr>
        <w:tc>
          <w:tcPr>
            <w:tcW w:type="dxa" w:w="2880"/>
          </w:tcPr>
          <w:p>
            <w:r>
              <w:t>支付相关错误</w:t>
            </w:r>
          </w:p>
        </w:tc>
        <w:tc>
          <w:tcPr>
            <w:tcW w:type="dxa" w:w="2880"/>
          </w:tcPr>
          <w:p>
            <w:r>
              <w:t>含 `payment` / `order` tag 的 error</w:t>
            </w:r>
          </w:p>
        </w:tc>
        <w:tc>
          <w:tcPr>
            <w:tcW w:type="dxa" w:w="2880"/>
          </w:tcPr>
          <w:p>
            <w:r>
              <w:t>飞书</w:t>
            </w:r>
          </w:p>
        </w:tc>
      </w:tr>
      <w:tr>
        <w:tc>
          <w:tcPr>
            <w:tcW w:type="dxa" w:w="2880"/>
          </w:tcPr>
          <w:p>
            <w:r>
              <w:t>API 500 错误</w:t>
            </w:r>
          </w:p>
        </w:tc>
        <w:tc>
          <w:tcPr>
            <w:tcW w:type="dxa" w:w="2880"/>
          </w:tcPr>
          <w:p>
            <w:r>
              <w:t>`status_code:500`</w:t>
            </w:r>
          </w:p>
        </w:tc>
        <w:tc>
          <w:tcPr>
            <w:tcW w:type="dxa" w:w="2880"/>
          </w:tcPr>
          <w:p>
            <w:r>
              <w:t>飞书</w:t>
            </w:r>
          </w:p>
        </w:tc>
      </w:tr>
      <w:tr>
        <w:tc>
          <w:tcPr>
            <w:tcW w:type="dxa" w:w="2880"/>
          </w:tcPr>
          <w:p>
            <w:r>
              <w:t>数据库连接失败</w:t>
            </w:r>
          </w:p>
        </w:tc>
        <w:tc>
          <w:tcPr>
            <w:tcW w:type="dxa" w:w="2880"/>
          </w:tcPr>
          <w:p>
            <w:r>
              <w:t>`NeonDbError` / `connection`</w:t>
            </w:r>
          </w:p>
        </w:tc>
        <w:tc>
          <w:tcPr>
            <w:tcW w:type="dxa" w:w="2880"/>
          </w:tcPr>
          <w:p>
            <w:r>
              <w:t>飞书</w:t>
            </w:r>
          </w:p>
        </w:tc>
      </w:tr>
    </w:tbl>
    <w:p/>
    <w:p>
      <w:r>
        <w:t>配置路径：Sentry → Alerts → Create Alert Rule</w:t>
      </w:r>
    </w:p>
    <w:p>
      <w:pPr>
        <w:pStyle w:val="Heading3"/>
      </w:pPr>
      <w:r>
        <w:t>2. 健康检查告警</w:t>
      </w:r>
    </w:p>
    <w:p>
      <w:pPr>
        <w:pStyle w:val="Code"/>
      </w:pPr>
      <w:r>
        <w:rPr>
          <w:rFonts w:ascii="SF Mono" w:hAnsi="SF Mono"/>
          <w:color w:val="333333"/>
          <w:sz w:val="18"/>
        </w:rPr>
        <w:t># 服务器上配置 crontab</w:t>
        <w:br/>
        <w:t>crontab -e</w:t>
        <w:br/>
        <w:br/>
        <w:t># 每 5 分钟检查一次</w:t>
        <w:br/>
        <w:t>*/5 * * * * /bin/bash /var/www/meteor-store/scripts/health-check.sh</w:t>
        <w:br/>
        <w:br/>
        <w:t># 如果有飞书 webhook：</w:t>
        <w:br/>
        <w:t>HEALTH_ALERT_WEBHOOK=https://open.feishu.cn/open-apis/bot/v2/hook/xxx \</w:t>
        <w:br/>
        <w:t xml:space="preserve">  /bin/bash /var/www/meteor-store/scripts/health-check.sh</w:t>
      </w:r>
    </w:p>
    <w:p>
      <w:pPr>
        <w:pStyle w:val="Heading3"/>
      </w:pPr>
      <w:r>
        <w:t>3. 应用可用性巡检</w:t>
      </w:r>
    </w:p>
    <w:p>
      <w:pPr>
        <w:pStyle w:val="Code"/>
      </w:pPr>
      <w:r>
        <w:rPr>
          <w:rFonts w:ascii="SF Mono" w:hAnsi="SF Mono"/>
          <w:color w:val="333333"/>
          <w:sz w:val="18"/>
        </w:rPr>
        <w:t># 每日检查站内应用是否正常</w:t>
        <w:br/>
        <w:t># 配置 cron：每天 9:00</w:t>
        <w:br/>
        <w:t>0 9 * * * cd /var/www/meteor-store &amp;&amp; node scripts/verify-apps-headless.mjs</w:t>
      </w:r>
    </w:p>
    <w:p>
      <w:pPr>
        <w:pStyle w:val="Heading2"/>
      </w:pPr>
      <w:r>
        <w:t>关键指标</w:t>
      </w:r>
    </w:p>
    <w:p>
      <w:pPr>
        <w:pStyle w:val="Heading3"/>
      </w:pPr>
      <w:r>
        <w:t>需要关注的 Sentry Issues</w:t>
      </w:r>
    </w:p>
    <w:p>
      <w:pPr>
        <w:pStyle w:val="ListBullet"/>
      </w:pPr>
      <w:r/>
      <w:r>
        <w:rPr>
          <w:rFonts w:ascii="SF Mono" w:hAnsi="SF Mono"/>
          <w:sz w:val="18"/>
        </w:rPr>
        <w:t>NeonDbError</w:t>
      </w:r>
      <w:r>
        <w:t>：数据库连接问题</w:t>
      </w:r>
    </w:p>
    <w:p>
      <w:pPr>
        <w:pStyle w:val="ListBullet"/>
      </w:pPr>
      <w:r/>
      <w:r>
        <w:rPr>
          <w:rFonts w:ascii="SF Mono" w:hAnsi="SF Mono"/>
          <w:sz w:val="18"/>
        </w:rPr>
        <w:t>UpstashError</w:t>
      </w:r>
      <w:r>
        <w:t>：Redis 限流服务异常</w:t>
      </w:r>
    </w:p>
    <w:p>
      <w:pPr>
        <w:pStyle w:val="ListBullet"/>
      </w:pPr>
      <w:r/>
      <w:r>
        <w:rPr>
          <w:rFonts w:ascii="SF Mono" w:hAnsi="SF Mono"/>
          <w:sz w:val="18"/>
        </w:rPr>
        <w:t>ResendError</w:t>
      </w:r>
      <w:r>
        <w:t>：邮件发送失败</w:t>
      </w:r>
    </w:p>
    <w:p>
      <w:pPr>
        <w:pStyle w:val="ListBullet"/>
      </w:pPr>
      <w:r/>
      <w:r>
        <w:rPr>
          <w:rFonts w:ascii="SF Mono" w:hAnsi="SF Mono"/>
          <w:sz w:val="18"/>
        </w:rPr>
        <w:t>PaymentVerificationError</w:t>
      </w:r>
      <w:r>
        <w:t>：支付回调校验失败</w:t>
      </w:r>
    </w:p>
    <w:p>
      <w:pPr>
        <w:pStyle w:val="ListBullet"/>
      </w:pPr>
      <w:r/>
      <w:r>
        <w:rPr>
          <w:rFonts w:ascii="SF Mono" w:hAnsi="SF Mono"/>
          <w:sz w:val="18"/>
        </w:rPr>
        <w:t>AuthorizationError</w:t>
      </w:r>
      <w:r>
        <w:t>：授权判定异常</w:t>
      </w:r>
    </w:p>
    <w:p>
      <w:pPr>
        <w:pStyle w:val="Heading3"/>
      </w:pPr>
      <w:r>
        <w:t>需要关注的数据库指标</w:t>
      </w:r>
    </w:p>
    <w:p>
      <w:pPr>
        <w:pStyle w:val="ListBullet"/>
      </w:pPr>
      <w:r>
        <w:t>连接数是否接近上限</w:t>
      </w:r>
    </w:p>
    <w:p>
      <w:pPr>
        <w:pStyle w:val="ListBullet"/>
      </w:pPr>
      <w:r>
        <w:t>慢查询（&gt;1s）</w:t>
      </w:r>
    </w:p>
    <w:p>
      <w:pPr>
        <w:pStyle w:val="ListBullet"/>
      </w:pPr>
      <w:r>
        <w:t>磁盘使用率</w:t>
      </w:r>
    </w:p>
    <w:p>
      <w:pPr>
        <w:pStyle w:val="Heading2"/>
      </w:pPr>
      <w:r>
        <w:t>应急响应</w:t>
      </w:r>
    </w:p>
    <w:p>
      <w:pPr>
        <w:pStyle w:val="Heading3"/>
      </w:pPr>
      <w:r>
        <w:t>服务宕机</w:t>
      </w:r>
    </w:p>
    <w:p>
      <w:pPr>
        <w:pStyle w:val="ListNumber"/>
      </w:pPr>
      <w:r>
        <w:t>SSH 进服务器</w:t>
      </w:r>
    </w:p>
    <w:p>
      <w:pPr>
        <w:pStyle w:val="ListNumber"/>
      </w:pPr>
      <w:r/>
      <w:r>
        <w:rPr>
          <w:rFonts w:ascii="SF Mono" w:hAnsi="SF Mono"/>
          <w:sz w:val="18"/>
        </w:rPr>
        <w:t>pm2 list</w:t>
      </w:r>
      <w:r>
        <w:t xml:space="preserve"> 检查进程状态</w:t>
      </w:r>
    </w:p>
    <w:p>
      <w:pPr>
        <w:pStyle w:val="ListNumber"/>
      </w:pPr>
      <w:r/>
      <w:r>
        <w:rPr>
          <w:rFonts w:ascii="SF Mono" w:hAnsi="SF Mono"/>
          <w:sz w:val="18"/>
        </w:rPr>
        <w:t>pm2 logs meteor-store --lines 50</w:t>
      </w:r>
      <w:r>
        <w:t xml:space="preserve"> 查看日志</w:t>
      </w:r>
    </w:p>
    <w:p>
      <w:pPr>
        <w:pStyle w:val="ListNumber"/>
      </w:pPr>
      <w:r/>
      <w:r>
        <w:rPr>
          <w:rFonts w:ascii="SF Mono" w:hAnsi="SF Mono"/>
          <w:sz w:val="18"/>
        </w:rPr>
        <w:t>pm2 restart meteor-store</w:t>
      </w:r>
      <w:r>
        <w:t xml:space="preserve"> 尝试重启</w:t>
      </w:r>
    </w:p>
    <w:p>
      <w:pPr>
        <w:pStyle w:val="ListNumber"/>
      </w:pPr>
      <w:r>
        <w:t>如果重启失败，回滚：</w:t>
      </w:r>
      <w:r>
        <w:rPr>
          <w:rFonts w:ascii="SF Mono" w:hAnsi="SF Mono"/>
          <w:sz w:val="18"/>
        </w:rPr>
        <w:t>mv .next.rollback .next &amp;&amp; pm2 restart meteor-store</w:t>
      </w:r>
      <w:r/>
    </w:p>
    <w:p>
      <w:pPr>
        <w:pStyle w:val="Heading3"/>
      </w:pPr>
      <w:r>
        <w:t>数据库问题</w:t>
      </w:r>
    </w:p>
    <w:p>
      <w:pPr>
        <w:pStyle w:val="ListNumber"/>
      </w:pPr>
      <w:r>
        <w:t>检查 Neon Console：https://console.neon.tech</w:t>
      </w:r>
    </w:p>
    <w:p>
      <w:pPr>
        <w:pStyle w:val="ListNumber"/>
      </w:pPr>
      <w:r>
        <w:t>查看连接池状态</w:t>
      </w:r>
    </w:p>
    <w:p>
      <w:pPr>
        <w:pStyle w:val="ListNumber"/>
      </w:pPr>
      <w:r>
        <w:t>必要时重启数据库实例</w:t>
      </w:r>
    </w:p>
    <w:p>
      <w:pPr>
        <w:pStyle w:val="Heading3"/>
      </w:pPr>
      <w:r>
        <w:t>支付问题</w:t>
      </w:r>
    </w:p>
    <w:p>
      <w:pPr>
        <w:pStyle w:val="ListNumber"/>
      </w:pPr>
      <w:r>
        <w:t xml:space="preserve">检查 </w:t>
      </w:r>
      <w:r>
        <w:rPr>
          <w:rFonts w:ascii="SF Mono" w:hAnsi="SF Mono"/>
          <w:sz w:val="18"/>
        </w:rPr>
        <w:t>/api/payment/*</w:t>
      </w:r>
      <w:r>
        <w:t xml:space="preserve"> 相关 Sentry 错误</w:t>
      </w:r>
    </w:p>
    <w:p>
      <w:pPr>
        <w:pStyle w:val="ListNumber"/>
      </w:pPr>
      <w:r>
        <w:t xml:space="preserve">检查订单表中是否有 </w:t>
      </w:r>
      <w:r>
        <w:rPr>
          <w:rFonts w:ascii="SF Mono" w:hAnsi="SF Mono"/>
          <w:sz w:val="18"/>
        </w:rPr>
        <w:t>status='pending'</w:t>
      </w:r>
      <w:r>
        <w:t xml:space="preserve"> 超过 30 分钟的订单（支付超时）</w:t>
      </w:r>
    </w:p>
    <w:p>
      <w:pPr>
        <w:pStyle w:val="ListNumber"/>
      </w:pPr>
      <w:r>
        <w:t>手动补单脚本（如需要）</w:t>
      </w:r>
    </w:p>
    <w:p>
      <w:pPr>
        <w:pStyle w:val="Heading2"/>
      </w:pPr>
      <w:r>
        <w:t>日常巡检清单</w:t>
      </w:r>
    </w:p>
    <w:p>
      <w:r>
        <w:t>每天：</w:t>
      </w:r>
    </w:p>
    <w:p>
      <w:pPr>
        <w:ind w:left="283"/>
      </w:pPr>
      <w:r>
        <w:t>☐ 浏览 Sentry Dashboard，看是否有新类型错误</w:t>
      </w:r>
    </w:p>
    <w:p>
      <w:pPr>
        <w:ind w:left="283"/>
      </w:pPr>
      <w:r>
        <w:t>☐ 检查 `/api/health` 响应</w:t>
      </w:r>
    </w:p>
    <w:p>
      <w:r>
        <w:t>每周：</w:t>
      </w:r>
    </w:p>
    <w:p>
      <w:pPr>
        <w:ind w:left="283"/>
      </w:pPr>
      <w:r>
        <w:t>☐ 检查 Upstash Redis 用量</w:t>
      </w:r>
    </w:p>
    <w:p>
      <w:pPr>
        <w:ind w:left="283"/>
      </w:pPr>
      <w:r>
        <w:t>☐ 检查 Resend 邮件配额</w:t>
      </w:r>
    </w:p>
    <w:p>
      <w:pPr>
        <w:ind w:left="283"/>
      </w:pPr>
      <w:r>
        <w:t>☐ 检查 Neon 数据库连接数和存储</w:t>
      </w:r>
    </w:p>
    <w:p>
      <w:r>
        <w:t>每月：</w:t>
      </w:r>
    </w:p>
    <w:p>
      <w:pPr>
        <w:ind w:left="283"/>
      </w:pPr>
      <w:r>
        <w:t>☐ 检查 SSL 证书有效期</w:t>
      </w:r>
    </w:p>
    <w:p>
      <w:pPr>
        <w:ind w:left="283"/>
      </w:pPr>
      <w:r>
        <w:t>☐ 检查域名续费</w:t>
      </w:r>
    </w:p>
    <w:p>
      <w:pPr>
        <w:ind w:left="283"/>
      </w:pPr>
      <w:r>
        <w:t>☐ 检查备份可用性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2D2D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3D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  <w:ind w:left="283"/>
    </w:pPr>
    <w:rPr>
      <w:rFonts w:ascii="SF Mono" w:hAnsi="SF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Meteor Store 监控告警指南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