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 w:line="520" w:lineRule="exact"/>
        <w:jc w:val="center"/>
        <w:rPr>
          <w:rFonts w:ascii="Arial" w:hAnsi="Arial" w:eastAsia="黑体" w:cs="Times New Roman"/>
          <w:sz w:val="36"/>
          <w:szCs w:val="36"/>
        </w:rPr>
      </w:pPr>
      <w:r>
        <w:rPr>
          <w:rFonts w:ascii="Arial" w:hAnsi="黑体" w:eastAsia="黑体" w:cs="Times New Roman"/>
          <w:sz w:val="36"/>
          <w:szCs w:val="36"/>
        </w:rPr>
        <w:t>小蜜蜂科技有限公司职位体系管理办法</w:t>
      </w:r>
    </w:p>
    <w:p>
      <w:pPr>
        <w:pStyle w:val="11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eastAsia="仿宋_GB2312" w:cs="Arial"/>
          <w:b/>
          <w:sz w:val="30"/>
          <w:szCs w:val="30"/>
          <w:lang w:eastAsia="zh-CN"/>
        </w:rPr>
        <w:t>总则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bookmarkStart w:id="0" w:name="_Toc226277316"/>
      <w:bookmarkStart w:id="1" w:name="_Toc225914867"/>
      <w:bookmarkStart w:id="2" w:name="_Toc227567305"/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第一条</w:t>
      </w:r>
      <w:r>
        <w:rPr>
          <w:rFonts w:hint="eastAsia" w:ascii="Arial" w:hAnsi="Arial" w:eastAsia="仿宋_GB2312" w:cs="Times New Roman"/>
          <w:sz w:val="28"/>
          <w:szCs w:val="28"/>
        </w:rPr>
        <w:t>为实现小蜜蜂科技有限公司职位管理的科学化、规范化、标准化，切实加强和完善职位管理工作，达到规范职位设置、明确职位职责、确定职位标准、区分职位价值的目的，特制定本办法。</w:t>
      </w:r>
      <w:bookmarkEnd w:id="0"/>
      <w:bookmarkEnd w:id="1"/>
      <w:bookmarkEnd w:id="2"/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第二条</w:t>
      </w:r>
      <w:r>
        <w:rPr>
          <w:rFonts w:hint="eastAsia" w:ascii="Arial" w:hAnsi="Arial" w:eastAsia="仿宋_GB2312" w:cs="Times New Roman"/>
          <w:sz w:val="28"/>
          <w:szCs w:val="28"/>
        </w:rPr>
        <w:t>职位的定义：职位是组织的最小单位。职位的存在、特征与定义，都是基于组织的战略。职位的设置应以结果为导向，是动态而相对稳定的，属于组</w:t>
      </w:r>
      <w:bookmarkStart w:id="3" w:name="_GoBack"/>
      <w:bookmarkEnd w:id="3"/>
      <w:r>
        <w:rPr>
          <w:rFonts w:hint="eastAsia" w:ascii="Arial" w:hAnsi="Arial" w:eastAsia="仿宋_GB2312" w:cs="Times New Roman"/>
          <w:sz w:val="28"/>
          <w:szCs w:val="28"/>
        </w:rPr>
        <w:t>织而不属于职位任职者。同一职位可以有数个任职者。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第三条</w:t>
      </w:r>
      <w:r>
        <w:rPr>
          <w:rFonts w:hint="eastAsia" w:ascii="Arial" w:hAnsi="Arial" w:eastAsia="仿宋_GB2312" w:cs="Times New Roman"/>
          <w:sz w:val="28"/>
          <w:szCs w:val="28"/>
        </w:rPr>
        <w:t>职位体系的</w:t>
      </w:r>
      <w:r>
        <w:rPr>
          <w:rFonts w:ascii="Arial" w:hAnsi="Arial" w:eastAsia="仿宋_GB2312" w:cs="Times New Roman"/>
          <w:sz w:val="28"/>
          <w:szCs w:val="28"/>
        </w:rPr>
        <w:t>管理</w:t>
      </w:r>
      <w:r>
        <w:rPr>
          <w:rFonts w:hint="eastAsia" w:ascii="Arial" w:hAnsi="Arial" w:eastAsia="仿宋_GB2312" w:cs="Times New Roman"/>
          <w:sz w:val="28"/>
          <w:szCs w:val="28"/>
        </w:rPr>
        <w:t>应</w:t>
      </w:r>
      <w:r>
        <w:rPr>
          <w:rFonts w:ascii="Arial" w:hAnsi="Arial" w:eastAsia="仿宋_GB2312" w:cs="Times New Roman"/>
          <w:sz w:val="28"/>
          <w:szCs w:val="28"/>
        </w:rPr>
        <w:t>遵循以下原则：</w:t>
      </w:r>
    </w:p>
    <w:p>
      <w:pPr>
        <w:numPr>
          <w:ilvl w:val="0"/>
          <w:numId w:val="2"/>
        </w:numPr>
        <w:autoSpaceDE w:val="0"/>
        <w:autoSpaceDN w:val="0"/>
        <w:spacing w:after="0" w:line="520" w:lineRule="exact"/>
        <w:ind w:left="0" w:firstLine="560" w:firstLineChars="20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 w:cs="Times New Roman"/>
          <w:sz w:val="28"/>
          <w:szCs w:val="28"/>
        </w:rPr>
        <w:t>必要性原则</w:t>
      </w:r>
      <w:r>
        <w:rPr>
          <w:rFonts w:ascii="Arial" w:hAnsi="Arial" w:eastAsia="仿宋_GB2312" w:cs="Times New Roman"/>
          <w:sz w:val="28"/>
          <w:szCs w:val="28"/>
        </w:rPr>
        <w:t>：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/>
          <w:sz w:val="28"/>
          <w:szCs w:val="28"/>
          <w:lang w:bidi="en-US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（1）无需不设岗，无需不配人，尽量不设对部门核心职能无增值的职位，原则上不设临时性、季节性或阶段性的工作职位，人岗匹配时，应满足岗位的最低任职资格要求；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（2）以公司当前的发展阶段和业务需求为基础，并根据公司可预计的发展趋势，做出略高于现状的前瞻性设置。</w:t>
      </w:r>
    </w:p>
    <w:p>
      <w:pPr>
        <w:numPr>
          <w:ilvl w:val="0"/>
          <w:numId w:val="2"/>
        </w:numPr>
        <w:autoSpaceDE w:val="0"/>
        <w:autoSpaceDN w:val="0"/>
        <w:spacing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 w:cs="Times New Roman"/>
          <w:sz w:val="28"/>
          <w:szCs w:val="28"/>
        </w:rPr>
        <w:t>成长性原则</w:t>
      </w:r>
      <w:r>
        <w:rPr>
          <w:rFonts w:ascii="Arial" w:hAnsi="Arial" w:eastAsia="仿宋_GB2312" w:cs="Times New Roman"/>
          <w:sz w:val="28"/>
          <w:szCs w:val="28"/>
        </w:rPr>
        <w:t>：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/>
          <w:sz w:val="28"/>
          <w:szCs w:val="28"/>
          <w:lang w:bidi="en-US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（1）职位体系应具有层次性，能够帮助员工建立正确、清晰的晋升方向；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（2）鼓励员工通过提升自己的能力、达到下一职级岗位的要求，以实现自身的晋升；</w:t>
      </w:r>
    </w:p>
    <w:p>
      <w:pPr>
        <w:autoSpaceDE w:val="0"/>
        <w:autoSpaceDN w:val="0"/>
        <w:spacing w:line="520" w:lineRule="exact"/>
        <w:ind w:firstLine="56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（3）</w:t>
      </w:r>
      <w:r>
        <w:rPr>
          <w:rFonts w:hint="eastAsia" w:ascii="Arial" w:hAnsi="Arial" w:eastAsia="仿宋_GB2312"/>
          <w:sz w:val="28"/>
          <w:szCs w:val="28"/>
        </w:rPr>
        <w:t>鼓励部门内部人员的横向调动，鼓励员工学习不同岗位的知识，以培养“复合型”人才。</w:t>
      </w:r>
    </w:p>
    <w:p>
      <w:pPr>
        <w:numPr>
          <w:ilvl w:val="0"/>
          <w:numId w:val="2"/>
        </w:numPr>
        <w:autoSpaceDE w:val="0"/>
        <w:autoSpaceDN w:val="0"/>
        <w:spacing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合理性原则：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/>
          <w:sz w:val="28"/>
          <w:szCs w:val="28"/>
          <w:lang w:bidi="en-US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（1）宽幅设岗，在保证工作强度不过高的基础上，确保每个职位具有充足的工作饱满度，且职级越高，越应宽幅设岗；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（2）合理制定最低任职资格要求，合理配员。</w:t>
      </w:r>
    </w:p>
    <w:p>
      <w:pPr>
        <w:numPr>
          <w:ilvl w:val="0"/>
          <w:numId w:val="2"/>
        </w:numPr>
        <w:autoSpaceDE w:val="0"/>
        <w:autoSpaceDN w:val="0"/>
        <w:spacing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</w:rPr>
        <w:t>价值化原则：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/>
          <w:sz w:val="28"/>
          <w:szCs w:val="28"/>
          <w:lang w:bidi="en-US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（1）职位职级由岗位价值评估确定，每类岗位均有其最低和最高的职级；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（2）同类职位，职位职级应相对平衡，而非一岗一级；</w:t>
      </w:r>
    </w:p>
    <w:p>
      <w:pPr>
        <w:autoSpaceDE w:val="0"/>
        <w:autoSpaceDN w:val="0"/>
        <w:spacing w:line="520" w:lineRule="exact"/>
        <w:ind w:firstLine="56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（3）</w:t>
      </w:r>
      <w:r>
        <w:rPr>
          <w:rFonts w:hint="eastAsia" w:ascii="Arial" w:hAnsi="Arial" w:eastAsia="仿宋_GB2312"/>
          <w:sz w:val="28"/>
          <w:szCs w:val="28"/>
        </w:rPr>
        <w:t>职位的价值应通过科学的职位评估工具进行衡量。</w:t>
      </w:r>
    </w:p>
    <w:p>
      <w:pPr>
        <w:numPr>
          <w:ilvl w:val="0"/>
          <w:numId w:val="2"/>
        </w:numPr>
        <w:autoSpaceDE w:val="0"/>
        <w:autoSpaceDN w:val="0"/>
        <w:spacing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  <w:lang w:bidi="en-US"/>
        </w:rPr>
      </w:pPr>
      <w:r>
        <w:rPr>
          <w:rFonts w:hint="eastAsia" w:ascii="Arial" w:hAnsi="Arial" w:eastAsia="仿宋_GB2312" w:cs="Times New Roman"/>
          <w:sz w:val="28"/>
          <w:szCs w:val="28"/>
        </w:rPr>
        <w:t>市场化原则：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/>
          <w:sz w:val="28"/>
          <w:szCs w:val="28"/>
          <w:lang w:bidi="en-US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（1）职位名称设置要市场化；</w:t>
      </w:r>
    </w:p>
    <w:p>
      <w:pPr>
        <w:autoSpaceDE w:val="0"/>
        <w:autoSpaceDN w:val="0"/>
        <w:spacing w:after="0" w:line="520" w:lineRule="exact"/>
        <w:ind w:firstLine="56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（2）每类职位名称的设置应与其所在职级的标准名称保持一致或相类似，以保证职位价值能够通过职位名称予以区分；</w:t>
      </w:r>
    </w:p>
    <w:p>
      <w:pPr>
        <w:autoSpaceDE w:val="0"/>
        <w:autoSpaceDN w:val="0"/>
        <w:spacing w:line="520" w:lineRule="exact"/>
        <w:ind w:firstLine="56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  <w:lang w:bidi="en-US"/>
        </w:rPr>
        <w:t>（3）</w:t>
      </w:r>
      <w:r>
        <w:rPr>
          <w:rFonts w:hint="eastAsia" w:ascii="Arial" w:hAnsi="Arial" w:eastAsia="仿宋_GB2312"/>
          <w:sz w:val="28"/>
          <w:szCs w:val="28"/>
        </w:rPr>
        <w:t>职位名称设置要合规化，以规避公司正式员工和非正式员工间的用人风险。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第四条</w:t>
      </w:r>
      <w:r>
        <w:rPr>
          <w:rFonts w:hint="eastAsia" w:ascii="仿宋_GB2312" w:hAnsi="Calibri" w:eastAsia="仿宋_GB2312" w:cs="Times New Roman"/>
          <w:sz w:val="28"/>
          <w:szCs w:val="28"/>
        </w:rPr>
        <w:t>本</w:t>
      </w:r>
      <w:r>
        <w:rPr>
          <w:rFonts w:hint="eastAsia" w:ascii="Arial" w:hAnsi="Arial" w:eastAsia="仿宋_GB2312" w:cs="Times New Roman"/>
          <w:sz w:val="28"/>
          <w:szCs w:val="28"/>
        </w:rPr>
        <w:t>办法</w:t>
      </w:r>
      <w:r>
        <w:rPr>
          <w:rFonts w:hint="eastAsia" w:ascii="仿宋_GB2312" w:hAnsi="Calibri" w:eastAsia="仿宋_GB2312" w:cs="Times New Roman"/>
          <w:sz w:val="28"/>
          <w:szCs w:val="28"/>
        </w:rPr>
        <w:t>适用于公司的全体员工，但不包括劳务外委人员。</w:t>
      </w:r>
    </w:p>
    <w:p>
      <w:pPr>
        <w:pStyle w:val="11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eastAsia="仿宋_GB2312" w:cs="Arial"/>
          <w:b/>
          <w:sz w:val="30"/>
          <w:szCs w:val="30"/>
          <w:lang w:eastAsia="zh-CN"/>
        </w:rPr>
        <w:t>组织与职责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第五条</w:t>
      </w:r>
      <w:r>
        <w:rPr>
          <w:rFonts w:hint="eastAsia" w:ascii="Arial" w:hAnsi="Arial" w:eastAsia="仿宋_GB2312"/>
          <w:sz w:val="28"/>
          <w:szCs w:val="28"/>
        </w:rPr>
        <w:t>职位体系管理的组织体系包括公司的职位体系决策者、职位体系管理的归口部门</w:t>
      </w:r>
      <w:r>
        <w:rPr>
          <w:rFonts w:ascii="Arial" w:hAnsi="Arial" w:eastAsia="仿宋_GB2312"/>
          <w:sz w:val="28"/>
          <w:szCs w:val="28"/>
        </w:rPr>
        <w:t>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第六条</w:t>
      </w:r>
      <w:r>
        <w:rPr>
          <w:rFonts w:hint="eastAsia" w:ascii="Arial" w:hAnsi="Arial" w:eastAsia="仿宋_GB2312"/>
          <w:sz w:val="28"/>
          <w:szCs w:val="28"/>
        </w:rPr>
        <w:t>职位体系管理</w:t>
      </w:r>
      <w:r>
        <w:rPr>
          <w:rFonts w:ascii="Arial" w:hAnsi="Arial" w:eastAsia="仿宋_GB2312"/>
          <w:sz w:val="28"/>
          <w:szCs w:val="28"/>
        </w:rPr>
        <w:t>决策者</w:t>
      </w:r>
      <w:r>
        <w:rPr>
          <w:rFonts w:hint="eastAsia" w:ascii="Arial" w:hAnsi="Arial" w:eastAsia="仿宋_GB2312"/>
          <w:sz w:val="28"/>
          <w:szCs w:val="28"/>
        </w:rPr>
        <w:t>为公司党政联席会</w:t>
      </w:r>
      <w:r>
        <w:rPr>
          <w:rFonts w:ascii="Arial" w:hAnsi="Arial" w:eastAsia="仿宋_GB2312"/>
          <w:sz w:val="28"/>
          <w:szCs w:val="28"/>
        </w:rPr>
        <w:t>。</w:t>
      </w:r>
      <w:r>
        <w:rPr>
          <w:rFonts w:hint="eastAsia" w:ascii="Arial" w:hAnsi="Arial" w:eastAsia="仿宋_GB2312"/>
          <w:sz w:val="28"/>
          <w:szCs w:val="28"/>
        </w:rPr>
        <w:t>具体</w:t>
      </w:r>
      <w:r>
        <w:rPr>
          <w:rFonts w:ascii="Arial" w:hAnsi="Arial" w:eastAsia="仿宋_GB2312"/>
          <w:sz w:val="28"/>
          <w:szCs w:val="28"/>
        </w:rPr>
        <w:t>负责</w:t>
      </w:r>
      <w:r>
        <w:rPr>
          <w:rFonts w:hint="eastAsia" w:ascii="Arial" w:hAnsi="Arial" w:eastAsia="仿宋_GB2312"/>
          <w:sz w:val="28"/>
          <w:szCs w:val="28"/>
        </w:rPr>
        <w:t>职位管理体系相关设计与优化调整方案</w:t>
      </w:r>
      <w:r>
        <w:rPr>
          <w:rFonts w:ascii="Arial" w:hAnsi="Arial" w:eastAsia="仿宋_GB2312"/>
          <w:sz w:val="28"/>
          <w:szCs w:val="28"/>
        </w:rPr>
        <w:t>的审批</w:t>
      </w:r>
      <w:r>
        <w:rPr>
          <w:rFonts w:hint="eastAsia" w:ascii="Arial" w:hAnsi="Arial" w:eastAsia="仿宋_GB2312"/>
          <w:sz w:val="28"/>
          <w:szCs w:val="28"/>
        </w:rPr>
        <w:t>，负责与职位体系管理相关的重大</w:t>
      </w:r>
      <w:r>
        <w:rPr>
          <w:rFonts w:ascii="Arial" w:hAnsi="Arial" w:eastAsia="仿宋_GB2312"/>
          <w:sz w:val="28"/>
          <w:szCs w:val="28"/>
        </w:rPr>
        <w:t>决策。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第七条</w:t>
      </w:r>
      <w:r>
        <w:rPr>
          <w:rFonts w:hint="eastAsia" w:ascii="Arial" w:hAnsi="Arial" w:eastAsia="仿宋_GB2312"/>
          <w:sz w:val="28"/>
          <w:szCs w:val="28"/>
        </w:rPr>
        <w:t>人力资源</w:t>
      </w:r>
      <w:r>
        <w:rPr>
          <w:rFonts w:ascii="Arial" w:hAnsi="Arial" w:eastAsia="仿宋_GB2312"/>
          <w:sz w:val="28"/>
          <w:szCs w:val="28"/>
        </w:rPr>
        <w:t>部是公司</w:t>
      </w:r>
      <w:r>
        <w:rPr>
          <w:rFonts w:hint="eastAsia" w:ascii="Arial" w:hAnsi="Arial" w:eastAsia="仿宋_GB2312"/>
          <w:sz w:val="28"/>
          <w:szCs w:val="28"/>
        </w:rPr>
        <w:t>职位体系</w:t>
      </w:r>
      <w:r>
        <w:rPr>
          <w:rFonts w:ascii="Arial" w:hAnsi="Arial" w:eastAsia="仿宋_GB2312"/>
          <w:sz w:val="28"/>
          <w:szCs w:val="28"/>
        </w:rPr>
        <w:t>管理的归口部门，主要职责包括：</w:t>
      </w:r>
    </w:p>
    <w:p>
      <w:pPr>
        <w:numPr>
          <w:ilvl w:val="0"/>
          <w:numId w:val="3"/>
        </w:numPr>
        <w:autoSpaceDE w:val="0"/>
        <w:autoSpaceDN w:val="0"/>
        <w:spacing w:after="0"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</w:rPr>
        <w:t>制定并完善公司职位体系管理办法及实施细则；</w:t>
      </w:r>
    </w:p>
    <w:p>
      <w:pPr>
        <w:numPr>
          <w:ilvl w:val="0"/>
          <w:numId w:val="3"/>
        </w:numPr>
        <w:autoSpaceDE w:val="0"/>
        <w:autoSpaceDN w:val="0"/>
        <w:spacing w:after="0"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</w:rPr>
        <w:t>定期优化设计并调整公司职位体系；</w:t>
      </w:r>
    </w:p>
    <w:p>
      <w:pPr>
        <w:numPr>
          <w:ilvl w:val="0"/>
          <w:numId w:val="3"/>
        </w:numPr>
        <w:autoSpaceDE w:val="0"/>
        <w:autoSpaceDN w:val="0"/>
        <w:spacing w:after="0"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</w:rPr>
        <w:t>组织开展人岗匹配工作；</w:t>
      </w:r>
    </w:p>
    <w:p>
      <w:pPr>
        <w:numPr>
          <w:ilvl w:val="0"/>
          <w:numId w:val="3"/>
        </w:numPr>
        <w:autoSpaceDE w:val="0"/>
        <w:autoSpaceDN w:val="0"/>
        <w:spacing w:after="0" w:line="520" w:lineRule="exact"/>
        <w:ind w:left="0" w:firstLine="560" w:firstLineChars="200"/>
        <w:jc w:val="both"/>
        <w:rPr>
          <w:rFonts w:ascii="Arial" w:hAnsi="Arial" w:eastAsia="仿宋_GB2312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</w:rPr>
        <w:t>组织各部门编写岗位说明书。</w:t>
      </w:r>
    </w:p>
    <w:p>
      <w:pPr>
        <w:pStyle w:val="11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hint="eastAsia" w:ascii="Arial" w:hAnsi="Arial" w:eastAsia="仿宋_GB2312" w:cs="Arial"/>
          <w:b/>
          <w:sz w:val="30"/>
          <w:szCs w:val="30"/>
          <w:lang w:eastAsia="zh-CN"/>
        </w:rPr>
        <w:t>公司职位体系管理的具体要求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第八条</w:t>
      </w:r>
      <w:r>
        <w:rPr>
          <w:rFonts w:hint="eastAsia" w:ascii="Arial" w:hAnsi="Arial" w:eastAsia="仿宋_GB2312"/>
          <w:sz w:val="28"/>
          <w:szCs w:val="28"/>
        </w:rPr>
        <w:t>公司职位体系的设计与优化，应严格按照职位体系的设计原则开展。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第九条</w:t>
      </w:r>
      <w:r>
        <w:rPr>
          <w:rFonts w:hint="eastAsia" w:ascii="Arial" w:hAnsi="Arial" w:eastAsia="仿宋_GB2312"/>
          <w:sz w:val="28"/>
          <w:szCs w:val="28"/>
        </w:rPr>
        <w:t>公司职位体系共包括四大序列、十二个职级，其设置目的是为了有效引导职工正确的职业发展观，规范职位名称设置，并建立职业发展的多通道。具体设置详见附件三。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第十条</w:t>
      </w:r>
      <w:r>
        <w:rPr>
          <w:rFonts w:hint="eastAsia" w:ascii="Arial" w:hAnsi="Arial" w:eastAsia="仿宋_GB2312" w:cs="Times New Roman"/>
          <w:sz w:val="28"/>
          <w:szCs w:val="28"/>
        </w:rPr>
        <w:t>各部门职位体系中的“高级主管”级，其设置目的是为主管级员工提供一个合理的升迁路径，是在主管级职位上新增的一个全新的层级，因此，凡有高级主管级职位设置需求的部门，在部门人数（指在编职工）超过12人时，或业务较为独立、专业性较强、任务较重、有外事特殊需要时，可向公司人力资源部提出设置一个相应职位的申请，人力资源部初审通过后，由党政联席会审议决定是否予以批准。如获批后，可设置该职位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第十一条</w:t>
      </w:r>
      <w:r>
        <w:rPr>
          <w:rFonts w:hint="eastAsia" w:ascii="Arial" w:hAnsi="Arial" w:eastAsia="仿宋_GB2312" w:cs="Times New Roman"/>
          <w:sz w:val="28"/>
          <w:szCs w:val="28"/>
        </w:rPr>
        <w:t>部门经理评估结果为三级、二级的部门，可申请设置</w:t>
      </w:r>
      <w:r>
        <w:rPr>
          <w:rFonts w:ascii="Arial" w:hAnsi="Arial" w:eastAsia="仿宋_GB2312" w:cs="Times New Roman"/>
          <w:sz w:val="28"/>
          <w:szCs w:val="28"/>
        </w:rPr>
        <w:t>2</w:t>
      </w:r>
      <w:r>
        <w:rPr>
          <w:rFonts w:hint="eastAsia" w:ascii="Arial" w:hAnsi="Arial" w:eastAsia="仿宋_GB2312" w:cs="Times New Roman"/>
          <w:sz w:val="28"/>
          <w:szCs w:val="28"/>
        </w:rPr>
        <w:t>名部门副经理；部门经理评估结果为一级的部门，可申请设置</w:t>
      </w:r>
      <w:r>
        <w:rPr>
          <w:rFonts w:ascii="Arial" w:hAnsi="Arial" w:eastAsia="仿宋_GB2312" w:cs="Times New Roman"/>
          <w:sz w:val="28"/>
          <w:szCs w:val="28"/>
        </w:rPr>
        <w:t>1</w:t>
      </w:r>
      <w:r>
        <w:rPr>
          <w:rFonts w:hint="eastAsia" w:ascii="Arial" w:hAnsi="Arial" w:eastAsia="仿宋_GB2312" w:cs="Times New Roman"/>
          <w:sz w:val="28"/>
          <w:szCs w:val="28"/>
        </w:rPr>
        <w:t>名部门副经理。</w:t>
      </w:r>
    </w:p>
    <w:p>
      <w:pPr>
        <w:tabs>
          <w:tab w:val="left" w:pos="1560"/>
        </w:tabs>
        <w:autoSpaceDE w:val="0"/>
        <w:autoSpaceDN w:val="0"/>
        <w:spacing w:after="0" w:line="520" w:lineRule="exact"/>
        <w:ind w:left="560"/>
        <w:jc w:val="both"/>
        <w:rPr>
          <w:rFonts w:ascii="Arial" w:hAnsi="Arial" w:eastAsia="仿宋_GB2312" w:cs="Times New Roman"/>
          <w:sz w:val="28"/>
          <w:szCs w:val="28"/>
        </w:rPr>
      </w:pPr>
    </w:p>
    <w:p>
      <w:pPr>
        <w:pStyle w:val="11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hint="eastAsia" w:ascii="Arial" w:hAnsi="Arial" w:eastAsia="仿宋_GB2312" w:cs="Arial"/>
          <w:b/>
          <w:sz w:val="30"/>
          <w:szCs w:val="30"/>
          <w:lang w:eastAsia="zh-CN"/>
        </w:rPr>
        <w:t>人岗匹配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第十二条</w:t>
      </w:r>
      <w:r>
        <w:rPr>
          <w:rFonts w:hint="eastAsia" w:ascii="Arial" w:hAnsi="Arial" w:eastAsia="仿宋_GB2312" w:cs="Times New Roman"/>
          <w:sz w:val="28"/>
          <w:szCs w:val="28"/>
        </w:rPr>
        <w:t>人岗匹配时，应本着合理、适度的原则进行，原则上不允许出现人员实际能力低于所配岗位要求的现象出现，同时并非所有职位均需配员。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第十三条</w:t>
      </w:r>
      <w:r>
        <w:rPr>
          <w:rFonts w:hint="eastAsia" w:ascii="Arial" w:hAnsi="Arial" w:eastAsia="仿宋_GB2312"/>
          <w:sz w:val="28"/>
          <w:szCs w:val="28"/>
        </w:rPr>
        <w:t>各部门</w:t>
      </w:r>
      <w:r>
        <w:rPr>
          <w:rFonts w:hint="eastAsia" w:ascii="Arial" w:hAnsi="Arial" w:eastAsia="仿宋_GB2312" w:cs="Times New Roman"/>
          <w:sz w:val="28"/>
          <w:szCs w:val="28"/>
        </w:rPr>
        <w:t>在进行人岗匹配时，应参考相应的岗位角色定义，并保证所配置人员的基本能力满足公司的最低任职资格。具体操作要求及办法详见附件四、五。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第十四条</w:t>
      </w:r>
      <w:r>
        <w:rPr>
          <w:rFonts w:hint="eastAsia" w:ascii="Arial" w:hAnsi="Arial" w:eastAsia="仿宋_GB2312"/>
          <w:sz w:val="28"/>
          <w:szCs w:val="28"/>
        </w:rPr>
        <w:t>在执行公司的最低任职资格要求时，按照“老人老办法，新人新办法”进行操作，并给予现有员工3年缓冲期，即此办法出台后入职的新员工必须满足此办法要求；此办法出台前入职的老员工若要求升职，必须在2015年底前达到相关要求，2015年底前可不强制要求按照此要求进行升职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第十五条</w:t>
      </w:r>
      <w:r>
        <w:rPr>
          <w:rFonts w:hint="eastAsia" w:ascii="Arial" w:hAnsi="Arial" w:eastAsia="仿宋_GB2312" w:cs="Times New Roman"/>
          <w:sz w:val="28"/>
          <w:szCs w:val="28"/>
        </w:rPr>
        <w:t>各部门的人岗匹配，</w:t>
      </w:r>
      <w:r>
        <w:rPr>
          <w:rFonts w:hint="eastAsia" w:ascii="Arial" w:hAnsi="Arial" w:eastAsia="仿宋_GB2312"/>
          <w:sz w:val="28"/>
          <w:szCs w:val="28"/>
        </w:rPr>
        <w:t>应严格按照人力资源部确定的定编、定员标准进行。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第十六条</w:t>
      </w:r>
      <w:r>
        <w:rPr>
          <w:rFonts w:hint="eastAsia" w:ascii="Arial" w:hAnsi="Arial" w:eastAsia="仿宋_GB2312" w:cs="Times New Roman"/>
          <w:sz w:val="28"/>
          <w:szCs w:val="28"/>
        </w:rPr>
        <w:t>为保证高级主管级职位的人岗匹配工作有序、公平开展，所有获批的高级主管级职位，必须进行公开的岗位竞聘，根据竞聘结果，确定所配置的具体人员。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第十七条</w:t>
      </w:r>
      <w:r>
        <w:rPr>
          <w:rFonts w:hint="eastAsia" w:ascii="Arial" w:hAnsi="Arial" w:eastAsia="仿宋_GB2312" w:cs="Times New Roman"/>
          <w:sz w:val="28"/>
          <w:szCs w:val="28"/>
        </w:rPr>
        <w:t>所有部门提出的人岗匹配方案，需首先提交人力资源部进行初审，同时不允许岗位所配员工的新薪酬体系下的年现金总收入（统一按照所配职级的薪档一估算），与原有年现金总收入相比（比照标准参见初始套薪办法），增幅超过40%的情况出现，否则所配人员需要配置到下一层级的岗位。人岗匹配初稿经过人力资源部审核后，由党政联席会进行讨论修改后方可审批通过。</w:t>
      </w:r>
    </w:p>
    <w:p>
      <w:pPr>
        <w:rPr>
          <w:rFonts w:ascii="Arial" w:hAnsi="Arial" w:eastAsia="仿宋_GB2312" w:cs="Times New Roman"/>
          <w:sz w:val="28"/>
          <w:szCs w:val="28"/>
        </w:rPr>
      </w:pPr>
    </w:p>
    <w:p>
      <w:pPr>
        <w:pStyle w:val="11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hint="eastAsia" w:ascii="Arial" w:hAnsi="Arial" w:eastAsia="仿宋_GB2312" w:cs="Arial"/>
          <w:b/>
          <w:sz w:val="30"/>
          <w:szCs w:val="30"/>
          <w:lang w:eastAsia="zh-CN"/>
        </w:rPr>
        <w:t>职位说明书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第十八条</w:t>
      </w:r>
      <w:r>
        <w:rPr>
          <w:rFonts w:hint="eastAsia" w:ascii="Arial" w:hAnsi="Arial" w:eastAsia="仿宋_GB2312"/>
          <w:sz w:val="28"/>
          <w:szCs w:val="28"/>
        </w:rPr>
        <w:t>职位说明书是职位管理的基础性文件。职位说明书的标准版本由人力资源部门负责管理，具体模板请参见附件一。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default" w:ascii="Arial" w:hAnsi="Arial" w:eastAsia="仿宋_GB2312" w:cs="Times New Roman"/>
          <w:b/>
          <w:sz w:val="28"/>
          <w:szCs w:val="28"/>
          <w:lang w:val="en-US" w:eastAsia="zh-CN" w:bidi="ar-SA"/>
        </w:rPr>
        <w:t>第十九条</w:t>
      </w:r>
      <w:r>
        <w:rPr>
          <w:rFonts w:hint="eastAsia" w:ascii="Arial" w:hAnsi="Arial" w:eastAsia="仿宋_GB2312" w:cs="Times New Roman"/>
          <w:sz w:val="28"/>
          <w:szCs w:val="28"/>
        </w:rPr>
        <w:t>职位说明书的内容包括</w:t>
      </w:r>
      <w:r>
        <w:rPr>
          <w:rFonts w:ascii="Arial" w:hAnsi="Arial" w:eastAsia="仿宋_GB2312" w:cs="Times New Roman"/>
          <w:sz w:val="28"/>
          <w:szCs w:val="28"/>
        </w:rPr>
        <w:t>：</w:t>
      </w:r>
    </w:p>
    <w:p>
      <w:pPr>
        <w:numPr>
          <w:ilvl w:val="0"/>
          <w:numId w:val="4"/>
        </w:numPr>
        <w:autoSpaceDE w:val="0"/>
        <w:autoSpaceDN w:val="0"/>
        <w:spacing w:after="0" w:line="520" w:lineRule="exact"/>
        <w:ind w:left="0" w:firstLine="565" w:firstLineChars="202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/>
          <w:sz w:val="28"/>
          <w:szCs w:val="28"/>
        </w:rPr>
        <w:t>职位标识：包括职位编号、职位名称、部门名称、汇报上级、编制日期等内容；</w:t>
      </w:r>
    </w:p>
    <w:p>
      <w:pPr>
        <w:numPr>
          <w:ilvl w:val="0"/>
          <w:numId w:val="4"/>
        </w:numPr>
        <w:autoSpaceDE w:val="0"/>
        <w:autoSpaceDN w:val="0"/>
        <w:spacing w:after="0" w:line="520" w:lineRule="exact"/>
        <w:ind w:left="0" w:firstLine="565" w:firstLineChars="202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 w:cs="Times New Roman"/>
          <w:sz w:val="28"/>
          <w:szCs w:val="28"/>
        </w:rPr>
        <w:t>职位存在目的：描述职位的核心价值，综述职位工作职责与开展工作的限制条件；</w:t>
      </w:r>
    </w:p>
    <w:p>
      <w:pPr>
        <w:numPr>
          <w:ilvl w:val="0"/>
          <w:numId w:val="4"/>
        </w:numPr>
        <w:autoSpaceDE w:val="0"/>
        <w:autoSpaceDN w:val="0"/>
        <w:spacing w:after="0" w:line="520" w:lineRule="exact"/>
        <w:ind w:left="0" w:firstLine="565" w:firstLineChars="202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 w:cs="Times New Roman"/>
          <w:sz w:val="28"/>
          <w:szCs w:val="28"/>
        </w:rPr>
        <w:t>工作环境：描述职位的工作地点、环境等；</w:t>
      </w:r>
    </w:p>
    <w:p>
      <w:pPr>
        <w:numPr>
          <w:ilvl w:val="0"/>
          <w:numId w:val="4"/>
        </w:numPr>
        <w:autoSpaceDE w:val="0"/>
        <w:autoSpaceDN w:val="0"/>
        <w:spacing w:after="0" w:line="520" w:lineRule="exact"/>
        <w:ind w:left="0" w:firstLine="565" w:firstLineChars="202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 w:cs="Times New Roman"/>
          <w:sz w:val="28"/>
          <w:szCs w:val="28"/>
        </w:rPr>
        <w:t>最低任职要求：描述胜任职位所需的最低要求，包括教育程度、工作经验、专业资质/职称和专业技能等；</w:t>
      </w:r>
    </w:p>
    <w:p>
      <w:pPr>
        <w:numPr>
          <w:ilvl w:val="0"/>
          <w:numId w:val="4"/>
        </w:numPr>
        <w:autoSpaceDE w:val="0"/>
        <w:autoSpaceDN w:val="0"/>
        <w:spacing w:after="0" w:line="520" w:lineRule="exact"/>
        <w:ind w:left="0" w:firstLine="565" w:firstLineChars="202"/>
        <w:jc w:val="both"/>
        <w:rPr>
          <w:rFonts w:ascii="Arial" w:hAnsi="Arial" w:eastAsia="仿宋_GB2312" w:cs="Times New Roman"/>
          <w:sz w:val="28"/>
          <w:szCs w:val="28"/>
        </w:rPr>
      </w:pPr>
      <w:r>
        <w:rPr>
          <w:rFonts w:hint="eastAsia" w:ascii="Arial" w:hAnsi="Arial" w:eastAsia="仿宋_GB2312" w:cs="Times New Roman"/>
          <w:sz w:val="28"/>
          <w:szCs w:val="28"/>
        </w:rPr>
        <w:t>工作职责：按照一定的逻辑关系，并结合重要性程度，列举职位四至八项重要职责，并撰写职责范围、职责描述和工作考核维度。这些职责涵盖了员工绝大部分工作时间，若不完成这些职责，将可能对公司业务或职位工作成果产生严重的影响。职位职责是职位说明书日常维护的主要栏目。</w:t>
      </w:r>
    </w:p>
    <w:p>
      <w:pPr>
        <w:autoSpaceDE w:val="0"/>
        <w:autoSpaceDN w:val="0"/>
        <w:spacing w:after="0" w:line="520" w:lineRule="exact"/>
        <w:ind w:left="566"/>
        <w:jc w:val="both"/>
        <w:rPr>
          <w:rFonts w:ascii="Arial" w:hAnsi="Arial" w:eastAsia="仿宋_GB2312" w:cs="Times New Roman"/>
          <w:sz w:val="28"/>
          <w:szCs w:val="28"/>
        </w:rPr>
      </w:pPr>
    </w:p>
    <w:p>
      <w:pPr>
        <w:pStyle w:val="11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hint="eastAsia" w:ascii="Arial" w:hAnsi="Arial" w:eastAsia="仿宋_GB2312" w:cs="Arial"/>
          <w:b/>
          <w:sz w:val="30"/>
          <w:szCs w:val="30"/>
          <w:lang w:eastAsia="zh-CN"/>
        </w:rPr>
        <w:t>职位管理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第二十条</w:t>
      </w:r>
      <w:r>
        <w:rPr>
          <w:rFonts w:hint="eastAsia" w:ascii="Arial" w:hAnsi="Arial" w:eastAsia="仿宋_GB2312"/>
          <w:sz w:val="28"/>
          <w:szCs w:val="28"/>
        </w:rPr>
        <w:t>人力资源部应定期组织开展公司职位体系的调整与优化工作。由人力资源部收集各部门建议，并进行综合平衡后，提交公司党政联席会进行审批。审批通过后，方可执行。</w:t>
      </w:r>
    </w:p>
    <w:p>
      <w:pPr>
        <w:numPr>
          <w:ilvl w:val="0"/>
          <w:numId w:val="0"/>
        </w:numPr>
        <w:tabs>
          <w:tab w:val="left" w:pos="1560"/>
        </w:tabs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第二十一条</w:t>
      </w:r>
      <w:r>
        <w:rPr>
          <w:rFonts w:hint="eastAsia" w:ascii="Arial" w:hAnsi="Arial" w:eastAsia="仿宋_GB2312"/>
          <w:sz w:val="28"/>
          <w:szCs w:val="28"/>
        </w:rPr>
        <w:t>各部门在确有需要时，可向人力资源部提出职位的新设、更名、废止及修订岗位说明的要求，各部门不可自行进行设置及调整。人力资源部应根据企业的实际需要，并严格参照职位设置原则要求，进行职位设置与调整。相关方案需经党政联席会审批通过后，方可执行。具体申请表详见附件二。</w:t>
      </w:r>
    </w:p>
    <w:p>
      <w:pPr>
        <w:tabs>
          <w:tab w:val="left" w:pos="1560"/>
        </w:tabs>
        <w:autoSpaceDE w:val="0"/>
        <w:autoSpaceDN w:val="0"/>
        <w:spacing w:after="0" w:line="520" w:lineRule="exact"/>
        <w:ind w:left="560"/>
        <w:jc w:val="both"/>
        <w:rPr>
          <w:rFonts w:ascii="Arial" w:hAnsi="Arial" w:eastAsia="仿宋_GB2312" w:cs="Times New Roman"/>
          <w:sz w:val="28"/>
          <w:szCs w:val="28"/>
        </w:rPr>
      </w:pPr>
    </w:p>
    <w:p>
      <w:pPr>
        <w:pStyle w:val="11"/>
        <w:numPr>
          <w:ilvl w:val="0"/>
          <w:numId w:val="1"/>
        </w:numPr>
        <w:tabs>
          <w:tab w:val="left" w:pos="1134"/>
        </w:tabs>
        <w:kinsoku/>
        <w:spacing w:beforeLines="100" w:line="520" w:lineRule="exact"/>
        <w:ind w:left="0" w:firstLine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eastAsia="仿宋_GB2312" w:cs="Arial"/>
          <w:b/>
          <w:sz w:val="30"/>
          <w:szCs w:val="30"/>
          <w:lang w:eastAsia="zh-CN"/>
        </w:rPr>
        <w:t>附则</w:t>
      </w:r>
    </w:p>
    <w:p>
      <w:pPr>
        <w:numPr>
          <w:ilvl w:val="0"/>
          <w:numId w:val="0"/>
        </w:numPr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第二十二条</w:t>
      </w:r>
      <w:r>
        <w:rPr>
          <w:rFonts w:hint="eastAsia" w:ascii="Arial" w:hAnsi="Arial" w:eastAsia="仿宋_GB2312" w:cs="Times New Roman"/>
          <w:sz w:val="28"/>
          <w:szCs w:val="28"/>
        </w:rPr>
        <w:t>本办法由</w:t>
      </w:r>
      <w:r>
        <w:rPr>
          <w:rFonts w:hint="eastAsia" w:ascii="Arial" w:hAnsi="Arial" w:eastAsia="仿宋_GB2312"/>
          <w:sz w:val="28"/>
          <w:szCs w:val="28"/>
        </w:rPr>
        <w:t>人力资源部负责解释，并经由公司党政联席会审批后，颁布实施。</w:t>
      </w:r>
    </w:p>
    <w:p>
      <w:pPr>
        <w:numPr>
          <w:ilvl w:val="0"/>
          <w:numId w:val="0"/>
        </w:numPr>
        <w:autoSpaceDE w:val="0"/>
        <w:autoSpaceDN w:val="0"/>
        <w:spacing w:after="0" w:line="520" w:lineRule="exact"/>
        <w:ind w:left="760" w:leftChars="0" w:firstLine="560" w:firstLineChars="0"/>
        <w:jc w:val="both"/>
        <w:rPr>
          <w:rFonts w:ascii="Arial" w:hAnsi="Arial" w:eastAsia="仿宋_GB2312"/>
          <w:sz w:val="28"/>
          <w:szCs w:val="28"/>
        </w:rPr>
      </w:pPr>
      <w:r>
        <w:rPr>
          <w:rFonts w:hint="default" w:ascii="Arial" w:hAnsi="Arial" w:eastAsia="仿宋_GB2312" w:cstheme="minorBidi"/>
          <w:b/>
          <w:sz w:val="28"/>
          <w:szCs w:val="28"/>
          <w:lang w:val="en-US" w:eastAsia="zh-CN" w:bidi="ar-SA"/>
        </w:rPr>
        <w:t>第二十三条</w:t>
      </w:r>
      <w:r>
        <w:rPr>
          <w:rFonts w:ascii="Arial" w:hAnsi="Arial" w:eastAsia="仿宋_GB2312" w:cs="Times New Roman"/>
          <w:sz w:val="28"/>
          <w:szCs w:val="28"/>
        </w:rPr>
        <w:t>本办法</w:t>
      </w:r>
      <w:r>
        <w:rPr>
          <w:rFonts w:hint="eastAsia" w:ascii="Arial" w:hAnsi="Arial" w:eastAsia="仿宋_GB2312" w:cs="Times New Roman"/>
          <w:sz w:val="28"/>
          <w:szCs w:val="28"/>
        </w:rPr>
        <w:t>自</w:t>
      </w:r>
      <w:r>
        <w:rPr>
          <w:rFonts w:ascii="Arial" w:hAnsi="Arial" w:eastAsia="仿宋_GB2312" w:cs="Times New Roman"/>
          <w:sz w:val="28"/>
          <w:szCs w:val="28"/>
        </w:rPr>
        <w:t>发布之日起施行。</w:t>
      </w:r>
    </w:p>
    <w:p>
      <w:pPr>
        <w:rPr>
          <w:rFonts w:ascii="仿宋_GB2312" w:hAnsi="Arial" w:eastAsia="仿宋_GB2312" w:cs="Times New Roman"/>
          <w:sz w:val="28"/>
          <w:szCs w:val="28"/>
        </w:rPr>
      </w:pPr>
    </w:p>
    <w:p>
      <w:pPr>
        <w:rPr>
          <w:rFonts w:ascii="仿宋_GB2312" w:hAnsi="Arial" w:eastAsia="仿宋_GB2312" w:cs="Times New Roman"/>
          <w:sz w:val="28"/>
          <w:szCs w:val="28"/>
        </w:rPr>
      </w:pPr>
    </w:p>
    <w:p>
      <w:pPr>
        <w:rPr>
          <w:rFonts w:ascii="仿宋_GB2312" w:hAnsi="Arial" w:eastAsia="仿宋_GB2312" w:cs="Times New Roman"/>
          <w:sz w:val="28"/>
          <w:szCs w:val="28"/>
        </w:rPr>
      </w:pPr>
    </w:p>
    <w:p>
      <w:pPr>
        <w:pageBreakBefore/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 w:ascii="仿宋_GB2312" w:hAnsi="Arial" w:eastAsia="仿宋_GB2312" w:cs="Times New Roman"/>
          <w:sz w:val="28"/>
          <w:szCs w:val="28"/>
        </w:rPr>
        <w:t>附件一：职位说明书标准模板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468"/>
        <w:gridCol w:w="2052"/>
        <w:gridCol w:w="2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8856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 xml:space="preserve">              小蜜蜂科技有限公司职位说明书             编号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职位名称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部门名称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汇报上级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编制日期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任职者签字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核准人签字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任职者签字日期</w:t>
            </w:r>
          </w:p>
        </w:tc>
        <w:tc>
          <w:tcPr>
            <w:tcW w:w="2468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2052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核准人签字日期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8856" w:type="dxa"/>
            <w:gridSpan w:val="4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职位存在目的：</w:t>
            </w:r>
          </w:p>
          <w:p>
            <w:pPr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</w:trPr>
        <w:tc>
          <w:tcPr>
            <w:tcW w:w="8856" w:type="dxa"/>
            <w:gridSpan w:val="4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工作环境：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8856" w:type="dxa"/>
            <w:gridSpan w:val="4"/>
          </w:tcPr>
          <w:p>
            <w:pPr>
              <w:spacing w:after="0" w:line="240" w:lineRule="auto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最低任职资格要求：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教育程度：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工作经验：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专业资质/职称：</w:t>
            </w:r>
          </w:p>
          <w:p>
            <w:pPr>
              <w:numPr>
                <w:ilvl w:val="0"/>
                <w:numId w:val="5"/>
              </w:numPr>
              <w:spacing w:after="0" w:line="240" w:lineRule="auto"/>
              <w:ind w:left="567" w:hanging="283"/>
              <w:rPr>
                <w:rFonts w:ascii="仿宋_GB2312" w:hAnsi="黑体" w:eastAsia="仿宋_GB2312" w:cs="Times New Roman"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sz w:val="22"/>
                <w:szCs w:val="24"/>
              </w:rPr>
              <w:t>专业技能：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职责范围</w:t>
            </w:r>
          </w:p>
        </w:tc>
        <w:tc>
          <w:tcPr>
            <w:tcW w:w="452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职责描述</w:t>
            </w:r>
          </w:p>
        </w:tc>
        <w:tc>
          <w:tcPr>
            <w:tcW w:w="2385" w:type="dxa"/>
            <w:vAlign w:val="center"/>
          </w:tcPr>
          <w:p>
            <w:pPr>
              <w:spacing w:after="0" w:line="240" w:lineRule="auto"/>
              <w:jc w:val="center"/>
              <w:rPr>
                <w:rFonts w:ascii="仿宋_GB2312" w:hAnsi="黑体" w:eastAsia="仿宋_GB2312" w:cs="Times New Roman"/>
                <w:b/>
                <w:sz w:val="22"/>
                <w:szCs w:val="24"/>
              </w:rPr>
            </w:pPr>
            <w:r>
              <w:rPr>
                <w:rFonts w:hint="eastAsia" w:ascii="仿宋_GB2312" w:hAnsi="黑体" w:eastAsia="仿宋_GB2312" w:cs="Times New Roman"/>
                <w:b/>
                <w:sz w:val="22"/>
                <w:szCs w:val="24"/>
              </w:rPr>
              <w:t>工作评价维度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黑体" w:eastAsia="仿宋_GB2312" w:cs="Times New Roman"/>
                <w:sz w:val="22"/>
                <w:szCs w:val="24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</w:trPr>
        <w:tc>
          <w:tcPr>
            <w:tcW w:w="1951" w:type="dxa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4520" w:type="dxa"/>
            <w:gridSpan w:val="2"/>
            <w:vAlign w:val="center"/>
          </w:tcPr>
          <w:p>
            <w:pPr>
              <w:widowControl w:val="0"/>
              <w:spacing w:after="0" w:line="240" w:lineRule="auto"/>
              <w:rPr>
                <w:rFonts w:ascii="仿宋_GB2312" w:hAnsi="宋体" w:eastAsia="仿宋_GB2312" w:cs="Times New Roman"/>
                <w:sz w:val="22"/>
                <w:szCs w:val="22"/>
              </w:rPr>
            </w:pPr>
          </w:p>
        </w:tc>
        <w:tc>
          <w:tcPr>
            <w:tcW w:w="2385" w:type="dxa"/>
            <w:vAlign w:val="center"/>
          </w:tcPr>
          <w:p>
            <w:pPr>
              <w:numPr>
                <w:ilvl w:val="0"/>
                <w:numId w:val="6"/>
              </w:numPr>
              <w:spacing w:after="0" w:line="240" w:lineRule="auto"/>
              <w:ind w:left="34" w:hanging="142"/>
              <w:rPr>
                <w:rFonts w:ascii="仿宋_GB2312" w:hAnsi="宋体" w:eastAsia="仿宋_GB2312" w:cs="Times New Roman"/>
                <w:snapToGrid w:val="0"/>
                <w:sz w:val="22"/>
                <w:szCs w:val="22"/>
              </w:rPr>
            </w:pPr>
          </w:p>
        </w:tc>
      </w:tr>
    </w:tbl>
    <w:p>
      <w:pPr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 w:ascii="仿宋_GB2312" w:hAnsi="Arial" w:eastAsia="仿宋_GB2312" w:cs="Times New Roman"/>
          <w:sz w:val="28"/>
          <w:szCs w:val="28"/>
        </w:rPr>
        <w:t>附件二：职位调整申请表</w:t>
      </w:r>
    </w:p>
    <w:tbl>
      <w:tblPr>
        <w:tblStyle w:val="7"/>
        <w:tblW w:w="88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543"/>
        <w:gridCol w:w="1559"/>
        <w:gridCol w:w="18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申请部门</w:t>
            </w:r>
          </w:p>
        </w:tc>
        <w:tc>
          <w:tcPr>
            <w:tcW w:w="2543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申请日期</w:t>
            </w:r>
          </w:p>
        </w:tc>
        <w:tc>
          <w:tcPr>
            <w:tcW w:w="180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705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调整申请原由（新增、更名、废止、调整岗位说明、其他）</w:t>
            </w:r>
          </w:p>
        </w:tc>
        <w:tc>
          <w:tcPr>
            <w:tcW w:w="180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7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具体调整内容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调整后的职位名称及职级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是否已提交所调整职位的职位说明书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申请部门经理意见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人力资源部意见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</w:trPr>
        <w:tc>
          <w:tcPr>
            <w:tcW w:w="2952" w:type="dxa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  <w:r>
              <w:rPr>
                <w:rFonts w:hint="eastAsia" w:ascii="仿宋_GB2312" w:hAnsi="Arial" w:eastAsia="仿宋_GB2312" w:cs="Times New Roman"/>
                <w:sz w:val="24"/>
                <w:szCs w:val="28"/>
              </w:rPr>
              <w:t>分管领导批示</w:t>
            </w:r>
          </w:p>
        </w:tc>
        <w:tc>
          <w:tcPr>
            <w:tcW w:w="5904" w:type="dxa"/>
            <w:gridSpan w:val="3"/>
            <w:vAlign w:val="center"/>
          </w:tcPr>
          <w:p>
            <w:pPr>
              <w:spacing w:after="0" w:line="240" w:lineRule="auto"/>
              <w:rPr>
                <w:rFonts w:ascii="仿宋_GB2312" w:hAnsi="Arial" w:eastAsia="仿宋_GB2312" w:cs="Times New Roman"/>
                <w:sz w:val="24"/>
                <w:szCs w:val="28"/>
              </w:rPr>
            </w:pPr>
          </w:p>
        </w:tc>
      </w:tr>
    </w:tbl>
    <w:p>
      <w:pPr>
        <w:rPr>
          <w:rFonts w:ascii="仿宋_GB2312" w:hAnsi="Arial" w:eastAsia="仿宋_GB2312" w:cs="Times New Roman"/>
          <w:sz w:val="28"/>
          <w:szCs w:val="2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440" w:right="1800" w:bottom="1440" w:left="1800" w:header="708" w:footer="708" w:gutter="0"/>
          <w:cols w:space="708" w:num="1"/>
          <w:docGrid w:type="lines" w:linePitch="360" w:charSpace="0"/>
        </w:sectPr>
      </w:pPr>
    </w:p>
    <w:p>
      <w:pPr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 w:ascii="仿宋_GB2312" w:hAnsi="Arial" w:eastAsia="仿宋_GB2312" w:cs="Times New Roman"/>
          <w:sz w:val="28"/>
          <w:szCs w:val="28"/>
        </w:rPr>
        <w:t>附件三：小蜜蜂科技有限公司职位体系图</w:t>
      </w:r>
    </w:p>
    <w:p>
      <w:pPr>
        <w:jc w:val="center"/>
        <w:rPr>
          <w:rFonts w:ascii="仿宋_GB2312" w:hAnsi="Arial" w:eastAsia="仿宋_GB2312" w:cs="Times New Roman"/>
          <w:sz w:val="28"/>
          <w:szCs w:val="28"/>
        </w:rPr>
      </w:pPr>
      <w:r>
        <w:drawing>
          <wp:inline distT="0" distB="0" distL="0" distR="0">
            <wp:extent cx="7649210" cy="53816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84" cy="5383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/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 w:ascii="仿宋_GB2312" w:hAnsi="Arial" w:eastAsia="仿宋_GB2312" w:cs="Times New Roman"/>
          <w:sz w:val="28"/>
          <w:szCs w:val="28"/>
        </w:rPr>
        <w:t>附件四：公司通用最低任职资格要求</w:t>
      </w:r>
    </w:p>
    <w:p>
      <w:pPr>
        <w:jc w:val="center"/>
        <w:rPr>
          <w:rFonts w:ascii="仿宋_GB2312" w:hAnsi="Arial" w:eastAsia="仿宋_GB2312" w:cs="Times New Roman"/>
          <w:sz w:val="28"/>
          <w:szCs w:val="28"/>
        </w:rPr>
      </w:pPr>
      <w:r>
        <w:drawing>
          <wp:inline distT="0" distB="0" distL="0" distR="0">
            <wp:extent cx="7891780" cy="547687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92362" cy="547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/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 w:ascii="仿宋_GB2312" w:hAnsi="Arial" w:eastAsia="仿宋_GB2312" w:cs="Times New Roman"/>
          <w:sz w:val="28"/>
          <w:szCs w:val="28"/>
        </w:rPr>
        <w:t>附件五：职级角色定位参考</w:t>
      </w:r>
    </w:p>
    <w:p>
      <w:pPr>
        <w:jc w:val="center"/>
        <w:rPr>
          <w:rFonts w:ascii="仿宋_GB2312" w:hAnsi="Arial" w:eastAsia="仿宋_GB2312" w:cs="Times New Roman"/>
          <w:sz w:val="28"/>
          <w:szCs w:val="28"/>
        </w:rPr>
      </w:pPr>
      <w:r>
        <w:rPr>
          <w:rFonts w:hint="eastAsia"/>
        </w:rPr>
        <w:drawing>
          <wp:inline distT="0" distB="0" distL="0" distR="0">
            <wp:extent cx="7957820" cy="4981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7933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276" w:right="1440" w:bottom="1276" w:left="1440" w:header="708" w:footer="708" w:gutter="0"/>
      <w:cols w:space="708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552752"/>
      <w:docPartObj>
        <w:docPartGallery w:val="AutoText"/>
      </w:docPartObj>
    </w:sdtPr>
    <w:sdtContent>
      <w:p>
        <w:pPr>
          <w:pStyle w:val="4"/>
          <w:jc w:val="center"/>
        </w:pPr>
        <w:r>
          <w:rPr>
            <w:rFonts w:hint="eastAsia" w:ascii="仿宋_GB2312" w:eastAsia="仿宋_GB2312"/>
          </w:rPr>
          <w:t>第</w:t>
        </w:r>
        <w:r>
          <w:rPr>
            <w:rFonts w:hint="eastAsia" w:ascii="仿宋_GB2312" w:eastAsia="仿宋_GB2312"/>
          </w:rPr>
          <w:fldChar w:fldCharType="begin"/>
        </w:r>
        <w:r>
          <w:rPr>
            <w:rFonts w:hint="eastAsia" w:ascii="仿宋_GB2312" w:eastAsia="仿宋_GB2312"/>
          </w:rPr>
          <w:instrText xml:space="preserve"> PAGE   \* MERGEFORMAT </w:instrText>
        </w:r>
        <w:r>
          <w:rPr>
            <w:rFonts w:hint="eastAsia" w:ascii="仿宋_GB2312" w:eastAsia="仿宋_GB2312"/>
          </w:rPr>
          <w:fldChar w:fldCharType="separate"/>
        </w:r>
        <w:r>
          <w:rPr>
            <w:rFonts w:ascii="仿宋_GB2312" w:eastAsia="仿宋_GB2312"/>
          </w:rPr>
          <w:t>4</w:t>
        </w:r>
        <w:r>
          <w:rPr>
            <w:rFonts w:hint="eastAsia" w:ascii="仿宋_GB2312" w:eastAsia="仿宋_GB2312"/>
          </w:rPr>
          <w:fldChar w:fldCharType="end"/>
        </w:r>
        <w:r>
          <w:rPr>
            <w:rFonts w:hint="eastAsia" w:ascii="仿宋_GB2312" w:eastAsia="仿宋_GB2312"/>
          </w:rPr>
          <w:t>页</w:t>
        </w:r>
      </w:p>
    </w:sdtContent>
  </w:sdt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A49D7"/>
    <w:multiLevelType w:val="multilevel"/>
    <w:tmpl w:val="0A1A49D7"/>
    <w:lvl w:ilvl="0" w:tentative="0">
      <w:start w:val="1"/>
      <w:numFmt w:val="japaneseCounting"/>
      <w:lvlText w:val="（%1）"/>
      <w:lvlJc w:val="left"/>
      <w:pPr>
        <w:ind w:left="1571" w:hanging="720"/>
      </w:pPr>
      <w:rPr>
        <w:rFonts w:hint="default"/>
        <w:lang w:val="en-US"/>
      </w:rPr>
    </w:lvl>
    <w:lvl w:ilvl="1" w:tentative="0">
      <w:start w:val="1"/>
      <w:numFmt w:val="lowerLetter"/>
      <w:lvlText w:val="%2."/>
      <w:lvlJc w:val="left"/>
      <w:pPr>
        <w:ind w:left="8593" w:hanging="360"/>
      </w:pPr>
    </w:lvl>
    <w:lvl w:ilvl="2" w:tentative="0">
      <w:start w:val="1"/>
      <w:numFmt w:val="lowerRoman"/>
      <w:lvlText w:val="%3."/>
      <w:lvlJc w:val="right"/>
      <w:pPr>
        <w:ind w:left="9313" w:hanging="180"/>
      </w:pPr>
    </w:lvl>
    <w:lvl w:ilvl="3" w:tentative="0">
      <w:start w:val="1"/>
      <w:numFmt w:val="decimal"/>
      <w:lvlText w:val="%4."/>
      <w:lvlJc w:val="left"/>
      <w:pPr>
        <w:ind w:left="10033" w:hanging="360"/>
      </w:pPr>
    </w:lvl>
    <w:lvl w:ilvl="4" w:tentative="0">
      <w:start w:val="1"/>
      <w:numFmt w:val="lowerLetter"/>
      <w:lvlText w:val="%5."/>
      <w:lvlJc w:val="left"/>
      <w:pPr>
        <w:ind w:left="10753" w:hanging="360"/>
      </w:pPr>
    </w:lvl>
    <w:lvl w:ilvl="5" w:tentative="0">
      <w:start w:val="1"/>
      <w:numFmt w:val="lowerRoman"/>
      <w:lvlText w:val="%6."/>
      <w:lvlJc w:val="right"/>
      <w:pPr>
        <w:ind w:left="11473" w:hanging="180"/>
      </w:pPr>
    </w:lvl>
    <w:lvl w:ilvl="6" w:tentative="0">
      <w:start w:val="1"/>
      <w:numFmt w:val="decimal"/>
      <w:lvlText w:val="%7."/>
      <w:lvlJc w:val="left"/>
      <w:pPr>
        <w:ind w:left="12193" w:hanging="360"/>
      </w:pPr>
    </w:lvl>
    <w:lvl w:ilvl="7" w:tentative="0">
      <w:start w:val="1"/>
      <w:numFmt w:val="lowerLetter"/>
      <w:lvlText w:val="%8."/>
      <w:lvlJc w:val="left"/>
      <w:pPr>
        <w:ind w:left="12913" w:hanging="360"/>
      </w:pPr>
    </w:lvl>
    <w:lvl w:ilvl="8" w:tentative="0">
      <w:start w:val="1"/>
      <w:numFmt w:val="lowerRoman"/>
      <w:lvlText w:val="%9."/>
      <w:lvlJc w:val="right"/>
      <w:pPr>
        <w:ind w:left="13633" w:hanging="180"/>
      </w:pPr>
    </w:lvl>
  </w:abstractNum>
  <w:abstractNum w:abstractNumId="1">
    <w:nsid w:val="16101461"/>
    <w:multiLevelType w:val="multilevel"/>
    <w:tmpl w:val="16101461"/>
    <w:lvl w:ilvl="0" w:tentative="0">
      <w:start w:val="1"/>
      <w:numFmt w:val="bullet"/>
      <w:lvlText w:val=""/>
      <w:lvlJc w:val="left"/>
      <w:pPr>
        <w:ind w:left="360" w:hanging="360"/>
      </w:pPr>
      <w:rPr>
        <w:rFonts w:hint="default" w:ascii="Wingdings 3" w:hAnsi="Wingdings 3"/>
        <w:color w:val="FFC000"/>
        <w:sz w:val="16"/>
        <w:u w:color="FFC000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336D1C5D"/>
    <w:multiLevelType w:val="multilevel"/>
    <w:tmpl w:val="336D1C5D"/>
    <w:lvl w:ilvl="0" w:tentative="0">
      <w:start w:val="1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82F2FDC"/>
    <w:multiLevelType w:val="multilevel"/>
    <w:tmpl w:val="382F2FDC"/>
    <w:lvl w:ilvl="0" w:tentative="0">
      <w:start w:val="1"/>
      <w:numFmt w:val="japaneseCounting"/>
      <w:lvlText w:val="（%1）"/>
      <w:lvlJc w:val="left"/>
      <w:pPr>
        <w:ind w:left="1571" w:hanging="720"/>
      </w:pPr>
      <w:rPr>
        <w:rFonts w:hint="default"/>
        <w:lang w:val="en-US"/>
      </w:rPr>
    </w:lvl>
    <w:lvl w:ilvl="1" w:tentative="0">
      <w:start w:val="1"/>
      <w:numFmt w:val="lowerLetter"/>
      <w:lvlText w:val="%2."/>
      <w:lvlJc w:val="left"/>
      <w:pPr>
        <w:ind w:left="8593" w:hanging="360"/>
      </w:pPr>
    </w:lvl>
    <w:lvl w:ilvl="2" w:tentative="0">
      <w:start w:val="1"/>
      <w:numFmt w:val="lowerRoman"/>
      <w:lvlText w:val="%3."/>
      <w:lvlJc w:val="right"/>
      <w:pPr>
        <w:ind w:left="9313" w:hanging="180"/>
      </w:pPr>
    </w:lvl>
    <w:lvl w:ilvl="3" w:tentative="0">
      <w:start w:val="1"/>
      <w:numFmt w:val="decimal"/>
      <w:lvlText w:val="%4."/>
      <w:lvlJc w:val="left"/>
      <w:pPr>
        <w:ind w:left="10033" w:hanging="360"/>
      </w:pPr>
    </w:lvl>
    <w:lvl w:ilvl="4" w:tentative="0">
      <w:start w:val="1"/>
      <w:numFmt w:val="lowerLetter"/>
      <w:lvlText w:val="%5."/>
      <w:lvlJc w:val="left"/>
      <w:pPr>
        <w:ind w:left="10753" w:hanging="360"/>
      </w:pPr>
    </w:lvl>
    <w:lvl w:ilvl="5" w:tentative="0">
      <w:start w:val="1"/>
      <w:numFmt w:val="lowerRoman"/>
      <w:lvlText w:val="%6."/>
      <w:lvlJc w:val="right"/>
      <w:pPr>
        <w:ind w:left="11473" w:hanging="180"/>
      </w:pPr>
    </w:lvl>
    <w:lvl w:ilvl="6" w:tentative="0">
      <w:start w:val="1"/>
      <w:numFmt w:val="decimal"/>
      <w:lvlText w:val="%7."/>
      <w:lvlJc w:val="left"/>
      <w:pPr>
        <w:ind w:left="12193" w:hanging="360"/>
      </w:pPr>
    </w:lvl>
    <w:lvl w:ilvl="7" w:tentative="0">
      <w:start w:val="1"/>
      <w:numFmt w:val="lowerLetter"/>
      <w:lvlText w:val="%8."/>
      <w:lvlJc w:val="left"/>
      <w:pPr>
        <w:ind w:left="12913" w:hanging="360"/>
      </w:pPr>
    </w:lvl>
    <w:lvl w:ilvl="8" w:tentative="0">
      <w:start w:val="1"/>
      <w:numFmt w:val="lowerRoman"/>
      <w:lvlText w:val="%9."/>
      <w:lvlJc w:val="right"/>
      <w:pPr>
        <w:ind w:left="13633" w:hanging="180"/>
      </w:pPr>
    </w:lvl>
  </w:abstractNum>
  <w:abstractNum w:abstractNumId="4">
    <w:nsid w:val="5107431C"/>
    <w:multiLevelType w:val="multilevel"/>
    <w:tmpl w:val="5107431C"/>
    <w:lvl w:ilvl="0" w:tentative="0">
      <w:start w:val="1"/>
      <w:numFmt w:val="bullet"/>
      <w:lvlText w:val=""/>
      <w:lvlJc w:val="left"/>
      <w:pPr>
        <w:ind w:left="612" w:hanging="360"/>
      </w:pPr>
      <w:rPr>
        <w:rFonts w:hint="default" w:ascii="Wingdings 3" w:hAnsi="Wingdings 3"/>
        <w:color w:val="FFC000"/>
        <w:sz w:val="16"/>
        <w:u w:color="FFC000"/>
      </w:rPr>
    </w:lvl>
    <w:lvl w:ilvl="1" w:tentative="0">
      <w:start w:val="1"/>
      <w:numFmt w:val="bullet"/>
      <w:lvlText w:val="o"/>
      <w:lvlJc w:val="left"/>
      <w:pPr>
        <w:ind w:left="133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5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7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9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21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3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5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72" w:hanging="360"/>
      </w:pPr>
      <w:rPr>
        <w:rFonts w:hint="default" w:ascii="Wingdings" w:hAnsi="Wingdings"/>
      </w:rPr>
    </w:lvl>
  </w:abstractNum>
  <w:abstractNum w:abstractNumId="5">
    <w:nsid w:val="626E5B31"/>
    <w:multiLevelType w:val="multilevel"/>
    <w:tmpl w:val="626E5B31"/>
    <w:lvl w:ilvl="0" w:tentative="0">
      <w:start w:val="1"/>
      <w:numFmt w:val="japaneseCounting"/>
      <w:lvlText w:val="第%1章"/>
      <w:lvlJc w:val="left"/>
      <w:pPr>
        <w:ind w:left="6632" w:hanging="1245"/>
      </w:pPr>
      <w:rPr>
        <w:rFonts w:hint="eastAsia" w:ascii="仿宋_GB2312" w:hAnsi="仿宋" w:eastAsia="仿宋_GB2312"/>
        <w:b/>
        <w:sz w:val="30"/>
        <w:szCs w:val="30"/>
        <w:lang w:val="en-US"/>
      </w:rPr>
    </w:lvl>
    <w:lvl w:ilvl="1" w:tentative="0">
      <w:start w:val="1"/>
      <w:numFmt w:val="japaneseCounting"/>
      <w:lvlText w:val="（%2）"/>
      <w:lvlJc w:val="left"/>
      <w:pPr>
        <w:ind w:left="2713" w:hanging="885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908" w:hanging="180"/>
      </w:pPr>
    </w:lvl>
    <w:lvl w:ilvl="3" w:tentative="0">
      <w:start w:val="1"/>
      <w:numFmt w:val="decimal"/>
      <w:lvlText w:val="%4."/>
      <w:lvlJc w:val="left"/>
      <w:pPr>
        <w:ind w:left="3628" w:hanging="360"/>
      </w:pPr>
    </w:lvl>
    <w:lvl w:ilvl="4" w:tentative="0">
      <w:start w:val="1"/>
      <w:numFmt w:val="lowerLetter"/>
      <w:lvlText w:val="%5."/>
      <w:lvlJc w:val="left"/>
      <w:pPr>
        <w:ind w:left="4348" w:hanging="360"/>
      </w:pPr>
    </w:lvl>
    <w:lvl w:ilvl="5" w:tentative="0">
      <w:start w:val="1"/>
      <w:numFmt w:val="lowerRoman"/>
      <w:lvlText w:val="%6."/>
      <w:lvlJc w:val="right"/>
      <w:pPr>
        <w:ind w:left="5068" w:hanging="180"/>
      </w:pPr>
    </w:lvl>
    <w:lvl w:ilvl="6" w:tentative="0">
      <w:start w:val="1"/>
      <w:numFmt w:val="decimal"/>
      <w:lvlText w:val="%7."/>
      <w:lvlJc w:val="left"/>
      <w:pPr>
        <w:ind w:left="5788" w:hanging="360"/>
      </w:pPr>
    </w:lvl>
    <w:lvl w:ilvl="7" w:tentative="0">
      <w:start w:val="1"/>
      <w:numFmt w:val="lowerLetter"/>
      <w:lvlText w:val="%8."/>
      <w:lvlJc w:val="left"/>
      <w:pPr>
        <w:ind w:left="6508" w:hanging="360"/>
      </w:pPr>
    </w:lvl>
    <w:lvl w:ilvl="8" w:tentative="0">
      <w:start w:val="1"/>
      <w:numFmt w:val="lowerRoman"/>
      <w:lvlText w:val="%9."/>
      <w:lvlJc w:val="right"/>
      <w:pPr>
        <w:ind w:left="7228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OWQ1OWE4ZDIzNGE0MzNlYWM3OTAzMTdiZWY5ZWJjOWIifQ=="/>
  </w:docVars>
  <w:rsids>
    <w:rsidRoot w:val="00F00048"/>
    <w:rsid w:val="000036C7"/>
    <w:rsid w:val="00021334"/>
    <w:rsid w:val="00041308"/>
    <w:rsid w:val="00042DC4"/>
    <w:rsid w:val="0004611D"/>
    <w:rsid w:val="00061453"/>
    <w:rsid w:val="0006382B"/>
    <w:rsid w:val="00076869"/>
    <w:rsid w:val="000A08EC"/>
    <w:rsid w:val="000A1830"/>
    <w:rsid w:val="000A2542"/>
    <w:rsid w:val="000A7A7D"/>
    <w:rsid w:val="000B1961"/>
    <w:rsid w:val="000C245A"/>
    <w:rsid w:val="000C6155"/>
    <w:rsid w:val="000D3BCB"/>
    <w:rsid w:val="000D53AD"/>
    <w:rsid w:val="000F3EED"/>
    <w:rsid w:val="000F43FF"/>
    <w:rsid w:val="00105492"/>
    <w:rsid w:val="001156D0"/>
    <w:rsid w:val="0012193D"/>
    <w:rsid w:val="00122326"/>
    <w:rsid w:val="00127910"/>
    <w:rsid w:val="00134251"/>
    <w:rsid w:val="00143921"/>
    <w:rsid w:val="00154428"/>
    <w:rsid w:val="00155D8E"/>
    <w:rsid w:val="00156077"/>
    <w:rsid w:val="00175AC0"/>
    <w:rsid w:val="001915A7"/>
    <w:rsid w:val="00194D0E"/>
    <w:rsid w:val="001B11FC"/>
    <w:rsid w:val="001E0D10"/>
    <w:rsid w:val="001E0E36"/>
    <w:rsid w:val="001F6272"/>
    <w:rsid w:val="0020229C"/>
    <w:rsid w:val="0024436D"/>
    <w:rsid w:val="00257E6F"/>
    <w:rsid w:val="00272F87"/>
    <w:rsid w:val="00286D16"/>
    <w:rsid w:val="002B263C"/>
    <w:rsid w:val="002D2D88"/>
    <w:rsid w:val="002D4657"/>
    <w:rsid w:val="002F3748"/>
    <w:rsid w:val="00312E92"/>
    <w:rsid w:val="00315D3B"/>
    <w:rsid w:val="003351CA"/>
    <w:rsid w:val="00342E09"/>
    <w:rsid w:val="00346F7F"/>
    <w:rsid w:val="003502B9"/>
    <w:rsid w:val="0037133B"/>
    <w:rsid w:val="00380645"/>
    <w:rsid w:val="00391CFA"/>
    <w:rsid w:val="00393488"/>
    <w:rsid w:val="00395B2B"/>
    <w:rsid w:val="003B23D5"/>
    <w:rsid w:val="003D77B4"/>
    <w:rsid w:val="003E259D"/>
    <w:rsid w:val="003E35AD"/>
    <w:rsid w:val="003F6EBB"/>
    <w:rsid w:val="004078B0"/>
    <w:rsid w:val="0041152D"/>
    <w:rsid w:val="0044339D"/>
    <w:rsid w:val="0045404A"/>
    <w:rsid w:val="00464887"/>
    <w:rsid w:val="0046683B"/>
    <w:rsid w:val="00467C66"/>
    <w:rsid w:val="00472EAC"/>
    <w:rsid w:val="00481A58"/>
    <w:rsid w:val="0048738A"/>
    <w:rsid w:val="004B2555"/>
    <w:rsid w:val="004B576F"/>
    <w:rsid w:val="004C7628"/>
    <w:rsid w:val="004D14D4"/>
    <w:rsid w:val="004D6223"/>
    <w:rsid w:val="004D6D5D"/>
    <w:rsid w:val="004F2BAE"/>
    <w:rsid w:val="004F70C6"/>
    <w:rsid w:val="0053087E"/>
    <w:rsid w:val="00533F58"/>
    <w:rsid w:val="0057697E"/>
    <w:rsid w:val="00581A8F"/>
    <w:rsid w:val="005833BC"/>
    <w:rsid w:val="00593099"/>
    <w:rsid w:val="005C030F"/>
    <w:rsid w:val="005C6BEF"/>
    <w:rsid w:val="005D5538"/>
    <w:rsid w:val="005D5B68"/>
    <w:rsid w:val="005D71B9"/>
    <w:rsid w:val="005E11B2"/>
    <w:rsid w:val="005E26AC"/>
    <w:rsid w:val="005F2723"/>
    <w:rsid w:val="005F3008"/>
    <w:rsid w:val="006050D4"/>
    <w:rsid w:val="00622A65"/>
    <w:rsid w:val="00630750"/>
    <w:rsid w:val="00633218"/>
    <w:rsid w:val="006451A8"/>
    <w:rsid w:val="0065656B"/>
    <w:rsid w:val="006642F0"/>
    <w:rsid w:val="006659F8"/>
    <w:rsid w:val="00675C63"/>
    <w:rsid w:val="006857E7"/>
    <w:rsid w:val="00690886"/>
    <w:rsid w:val="006A3C74"/>
    <w:rsid w:val="006B5247"/>
    <w:rsid w:val="006C1520"/>
    <w:rsid w:val="006E294D"/>
    <w:rsid w:val="006E400A"/>
    <w:rsid w:val="006F1DFC"/>
    <w:rsid w:val="006F492B"/>
    <w:rsid w:val="006F521D"/>
    <w:rsid w:val="00703AAA"/>
    <w:rsid w:val="00706779"/>
    <w:rsid w:val="00713B02"/>
    <w:rsid w:val="0072417D"/>
    <w:rsid w:val="007355E9"/>
    <w:rsid w:val="00736773"/>
    <w:rsid w:val="00737C5E"/>
    <w:rsid w:val="00740612"/>
    <w:rsid w:val="00744EFF"/>
    <w:rsid w:val="007635DF"/>
    <w:rsid w:val="007647BB"/>
    <w:rsid w:val="0078683D"/>
    <w:rsid w:val="00790263"/>
    <w:rsid w:val="007A226C"/>
    <w:rsid w:val="007A27C7"/>
    <w:rsid w:val="007B098A"/>
    <w:rsid w:val="007B1F4D"/>
    <w:rsid w:val="007C2166"/>
    <w:rsid w:val="007C6D25"/>
    <w:rsid w:val="007D4879"/>
    <w:rsid w:val="007D5550"/>
    <w:rsid w:val="007F750F"/>
    <w:rsid w:val="00801FCF"/>
    <w:rsid w:val="00812DAC"/>
    <w:rsid w:val="008249EF"/>
    <w:rsid w:val="00825557"/>
    <w:rsid w:val="00833EB0"/>
    <w:rsid w:val="008367E1"/>
    <w:rsid w:val="00856383"/>
    <w:rsid w:val="00867960"/>
    <w:rsid w:val="00881009"/>
    <w:rsid w:val="008B4907"/>
    <w:rsid w:val="008C0C39"/>
    <w:rsid w:val="008C0CA8"/>
    <w:rsid w:val="008C4B59"/>
    <w:rsid w:val="008E7A58"/>
    <w:rsid w:val="00916728"/>
    <w:rsid w:val="00945B3F"/>
    <w:rsid w:val="00964155"/>
    <w:rsid w:val="00971371"/>
    <w:rsid w:val="009828BE"/>
    <w:rsid w:val="009A2694"/>
    <w:rsid w:val="009A419A"/>
    <w:rsid w:val="009B4A32"/>
    <w:rsid w:val="009B5880"/>
    <w:rsid w:val="009C2F15"/>
    <w:rsid w:val="009F353E"/>
    <w:rsid w:val="00A02A43"/>
    <w:rsid w:val="00A250C1"/>
    <w:rsid w:val="00A27FDD"/>
    <w:rsid w:val="00A33E0C"/>
    <w:rsid w:val="00A40998"/>
    <w:rsid w:val="00A5463A"/>
    <w:rsid w:val="00A6084B"/>
    <w:rsid w:val="00A73621"/>
    <w:rsid w:val="00A9609B"/>
    <w:rsid w:val="00A963AC"/>
    <w:rsid w:val="00AA7C65"/>
    <w:rsid w:val="00AB65F7"/>
    <w:rsid w:val="00AC5E49"/>
    <w:rsid w:val="00AE404B"/>
    <w:rsid w:val="00AF331C"/>
    <w:rsid w:val="00AF4D66"/>
    <w:rsid w:val="00B06CB4"/>
    <w:rsid w:val="00B31C9E"/>
    <w:rsid w:val="00B362BF"/>
    <w:rsid w:val="00B55670"/>
    <w:rsid w:val="00B70F49"/>
    <w:rsid w:val="00B75716"/>
    <w:rsid w:val="00BA1E71"/>
    <w:rsid w:val="00BB42D3"/>
    <w:rsid w:val="00BD0F46"/>
    <w:rsid w:val="00C00DC6"/>
    <w:rsid w:val="00C33745"/>
    <w:rsid w:val="00C403AA"/>
    <w:rsid w:val="00C53D0F"/>
    <w:rsid w:val="00C73692"/>
    <w:rsid w:val="00C75670"/>
    <w:rsid w:val="00CA3949"/>
    <w:rsid w:val="00CB74EA"/>
    <w:rsid w:val="00CD04AD"/>
    <w:rsid w:val="00CD787A"/>
    <w:rsid w:val="00CE09E3"/>
    <w:rsid w:val="00CE62D3"/>
    <w:rsid w:val="00CF137C"/>
    <w:rsid w:val="00CF7533"/>
    <w:rsid w:val="00D05FA3"/>
    <w:rsid w:val="00D2698E"/>
    <w:rsid w:val="00D26E32"/>
    <w:rsid w:val="00D339ED"/>
    <w:rsid w:val="00D41F63"/>
    <w:rsid w:val="00D50E5B"/>
    <w:rsid w:val="00D56A1A"/>
    <w:rsid w:val="00D658AE"/>
    <w:rsid w:val="00D707FA"/>
    <w:rsid w:val="00D714DB"/>
    <w:rsid w:val="00D734B7"/>
    <w:rsid w:val="00D75716"/>
    <w:rsid w:val="00D77B10"/>
    <w:rsid w:val="00D81111"/>
    <w:rsid w:val="00D91FDC"/>
    <w:rsid w:val="00DB3C92"/>
    <w:rsid w:val="00DC02AE"/>
    <w:rsid w:val="00DF0025"/>
    <w:rsid w:val="00DF0F33"/>
    <w:rsid w:val="00DF1840"/>
    <w:rsid w:val="00E22ABA"/>
    <w:rsid w:val="00E479F6"/>
    <w:rsid w:val="00E60583"/>
    <w:rsid w:val="00E75FB3"/>
    <w:rsid w:val="00E765C4"/>
    <w:rsid w:val="00E76714"/>
    <w:rsid w:val="00E83095"/>
    <w:rsid w:val="00EA4115"/>
    <w:rsid w:val="00EC22F3"/>
    <w:rsid w:val="00EC5745"/>
    <w:rsid w:val="00ED48C5"/>
    <w:rsid w:val="00ED62BA"/>
    <w:rsid w:val="00EE352C"/>
    <w:rsid w:val="00F00048"/>
    <w:rsid w:val="00F02003"/>
    <w:rsid w:val="00F074C3"/>
    <w:rsid w:val="00F075B4"/>
    <w:rsid w:val="00F077D0"/>
    <w:rsid w:val="00F20DFE"/>
    <w:rsid w:val="00F2299A"/>
    <w:rsid w:val="00F34573"/>
    <w:rsid w:val="00F610D6"/>
    <w:rsid w:val="00FA7806"/>
    <w:rsid w:val="00FC40B4"/>
    <w:rsid w:val="00FD6B7F"/>
    <w:rsid w:val="00FE4099"/>
    <w:rsid w:val="00FE7552"/>
    <w:rsid w:val="00FE7C65"/>
    <w:rsid w:val="7113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autoRedefine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3">
    <w:name w:val="Balloon Text"/>
    <w:basedOn w:val="1"/>
    <w:link w:val="12"/>
    <w:autoRedefine/>
    <w:semiHidden/>
    <w:unhideWhenUsed/>
    <w:qFormat/>
    <w:uiPriority w:val="99"/>
    <w:pPr>
      <w:spacing w:after="0" w:line="240" w:lineRule="auto"/>
    </w:pPr>
    <w:rPr>
      <w:sz w:val="16"/>
      <w:szCs w:val="16"/>
    </w:rPr>
  </w:style>
  <w:style w:type="paragraph" w:styleId="4">
    <w:name w:val="foot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9"/>
    <w:unhideWhenUsed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7">
    <w:name w:val="Table Grid"/>
    <w:basedOn w:val="6"/>
    <w:autoRedefine/>
    <w:qFormat/>
    <w:uiPriority w:val="0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er Char"/>
    <w:basedOn w:val="8"/>
    <w:link w:val="5"/>
    <w:uiPriority w:val="99"/>
  </w:style>
  <w:style w:type="character" w:customStyle="1" w:styleId="10">
    <w:name w:val="Footer Char"/>
    <w:basedOn w:val="8"/>
    <w:link w:val="4"/>
    <w:uiPriority w:val="99"/>
  </w:style>
  <w:style w:type="paragraph" w:styleId="11">
    <w:name w:val="List Paragraph"/>
    <w:basedOn w:val="1"/>
    <w:qFormat/>
    <w:uiPriority w:val="34"/>
    <w:pPr>
      <w:kinsoku w:val="0"/>
      <w:autoSpaceDE w:val="0"/>
      <w:autoSpaceDN w:val="0"/>
      <w:spacing w:after="0" w:line="360" w:lineRule="auto"/>
      <w:ind w:left="720" w:firstLine="576"/>
      <w:contextualSpacing/>
    </w:pPr>
    <w:rPr>
      <w:rFonts w:ascii="华文仿宋" w:hAnsi="华文仿宋" w:eastAsia="宋体" w:cs="Times New Roman"/>
      <w:sz w:val="24"/>
      <w:szCs w:val="24"/>
      <w:lang w:eastAsia="en-US" w:bidi="en-US"/>
    </w:rPr>
  </w:style>
  <w:style w:type="character" w:customStyle="1" w:styleId="12">
    <w:name w:val="Balloon Text Char"/>
    <w:basedOn w:val="8"/>
    <w:link w:val="3"/>
    <w:semiHidden/>
    <w:uiPriority w:val="99"/>
    <w:rPr>
      <w:sz w:val="16"/>
      <w:szCs w:val="16"/>
    </w:rPr>
  </w:style>
  <w:style w:type="character" w:customStyle="1" w:styleId="13">
    <w:name w:val="Document Map Char"/>
    <w:basedOn w:val="8"/>
    <w:link w:val="2"/>
    <w:autoRedefine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emf"/><Relationship Id="rId13" Type="http://schemas.openxmlformats.org/officeDocument/2006/relationships/image" Target="media/image2.emf"/><Relationship Id="rId12" Type="http://schemas.openxmlformats.org/officeDocument/2006/relationships/image" Target="media/image1.emf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Ernst &amp; Young</Company>
  <Pages>11</Pages>
  <Words>431</Words>
  <Characters>2460</Characters>
  <Lines>20</Lines>
  <Paragraphs>5</Paragraphs>
  <TotalTime>666</TotalTime>
  <ScaleCrop>false</ScaleCrop>
  <LinksUpToDate>false</LinksUpToDate>
  <CharactersWithSpaces>2886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2012-03-29T06:14:00Z</dcterms:created>
  <dc:creator>1</dc:creator>
  <cp:lastModifiedBy>1</cp:lastModifiedBy>
  <dcterms:modified xsi:type="dcterms:W3CDTF">2026-07-03T02:03:58Z</dcterms:modified>
  <cp:revision>183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CFB949F37F974D2F9161B27CF66C99F6_12</vt:lpwstr>
  </property>
</Properties>
</file>