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52"/>
        </w:rPr>
        <w:t>Building Code Web Project</w:t>
      </w:r>
    </w:p>
    <w:p>
      <w:pPr>
        <w:jc w:val="center"/>
      </w:pPr>
      <w:r>
        <w:rPr>
          <w:i/>
          <w:color w:val="6B7280"/>
          <w:sz w:val="26"/>
        </w:rPr>
        <w:t>System Guide — Setup, Architecture &amp; Reference</w:t>
      </w:r>
    </w:p>
    <w:p/>
    <w:p>
      <w:pPr>
        <w:pStyle w:val="Heading1"/>
        <w:spacing w:before="400" w:after="120"/>
        <w:pBdr>
          <w:bottom w:val="single" w:sz="8" w:space="2" w:color="2563EB"/>
        </w:pBdr>
      </w:pPr>
      <w:r>
        <w:rPr>
          <w:b/>
          <w:color w:val="1E3A5F"/>
          <w:sz w:val="40"/>
        </w:rPr>
        <w:t>Building Code Web Project — System Guide</w:t>
      </w:r>
    </w:p>
    <w:p>
      <w:pPr>
        <w:spacing w:before="40" w:after="120"/>
      </w:pPr>
      <w:r>
        <w:rPr>
          <w:sz w:val="21"/>
        </w:rPr>
        <w:t>Complete technical documentation for setup, architecture, data model, and testing.</w:t>
      </w:r>
    </w:p>
    <w:p>
      <w:pPr>
        <w:pBdr>
          <w:bottom w:val="single" w:sz="6" w:space="1" w:color="E2E6EA"/>
        </w:pBdr>
        <w:spacing w:before="160" w:after="160"/>
      </w:pPr>
    </w:p>
    <w:p>
      <w:pPr>
        <w:pStyle w:val="Heading2"/>
        <w:spacing w:before="320" w:after="80"/>
      </w:pPr>
      <w:r>
        <w:rPr>
          <w:b/>
          <w:color w:val="1E3A5F"/>
          <w:sz w:val="30"/>
        </w:rPr>
        <w:t>Table of Contents</w:t>
      </w:r>
    </w:p>
    <w:p>
      <w:pPr>
        <w:pStyle w:val="ListNumber"/>
        <w:spacing w:before="20" w:after="20"/>
        <w:ind w:left="227"/>
      </w:pPr>
      <w:r>
        <w:rPr>
          <w:sz w:val="21"/>
        </w:rPr>
        <w:t>[System Architecture](#1-system-architecture)</w:t>
      </w:r>
    </w:p>
    <w:p>
      <w:pPr>
        <w:pStyle w:val="ListNumber"/>
        <w:spacing w:before="20" w:after="20"/>
        <w:ind w:left="227"/>
      </w:pPr>
      <w:r>
        <w:rPr>
          <w:sz w:val="21"/>
        </w:rPr>
        <w:t>[Prerequisites &amp; Installation](#2-prerequisites--installation)</w:t>
      </w:r>
    </w:p>
    <w:p>
      <w:pPr>
        <w:pStyle w:val="ListNumber"/>
        <w:spacing w:before="20" w:after="20"/>
        <w:ind w:left="227"/>
      </w:pPr>
      <w:r>
        <w:rPr>
          <w:sz w:val="21"/>
        </w:rPr>
        <w:t>[Configuration](#3-configuration)</w:t>
      </w:r>
    </w:p>
    <w:p>
      <w:pPr>
        <w:pStyle w:val="ListNumber"/>
        <w:spacing w:before="20" w:after="20"/>
        <w:ind w:left="227"/>
      </w:pPr>
      <w:r>
        <w:rPr>
          <w:sz w:val="21"/>
        </w:rPr>
        <w:t>[Running the Pipeline](#4-running-the-pipeline)</w:t>
      </w:r>
    </w:p>
    <w:p>
      <w:pPr>
        <w:pStyle w:val="ListNumber"/>
        <w:spacing w:before="20" w:after="20"/>
        <w:ind w:left="227"/>
      </w:pPr>
      <w:r>
        <w:rPr>
          <w:sz w:val="21"/>
        </w:rPr>
        <w:t>[Data Model](#5-data-model)</w:t>
      </w:r>
    </w:p>
    <w:p>
      <w:pPr>
        <w:pStyle w:val="ListNumber"/>
        <w:spacing w:before="20" w:after="20"/>
        <w:ind w:left="227"/>
      </w:pPr>
      <w:r>
        <w:rPr>
          <w:sz w:val="21"/>
        </w:rPr>
        <w:t>[Module Reference](#6-module-reference)</w:t>
      </w:r>
    </w:p>
    <w:p>
      <w:pPr>
        <w:pStyle w:val="ListBullet"/>
        <w:spacing w:before="20" w:after="20"/>
        <w:ind w:left="510"/>
      </w:pPr>
      <w:r>
        <w:rPr>
          <w:sz w:val="21"/>
        </w:rPr>
        <w:t>6.1 [Ingestion — datalab_client.py](#61-ingestion--datalab_clientpy)</w:t>
      </w:r>
    </w:p>
    <w:p>
      <w:pPr>
        <w:pStyle w:val="ListBullet"/>
        <w:spacing w:before="20" w:after="20"/>
        <w:ind w:left="510"/>
      </w:pPr>
      <w:r>
        <w:rPr>
          <w:sz w:val="21"/>
        </w:rPr>
        <w:t>6.2 [Parser — structure_parser.py](#62-parser--structure_parserpy)</w:t>
      </w:r>
    </w:p>
    <w:p>
      <w:pPr>
        <w:pStyle w:val="ListBullet"/>
        <w:spacing w:before="20" w:after="20"/>
        <w:ind w:left="510"/>
      </w:pPr>
      <w:r>
        <w:rPr>
          <w:sz w:val="21"/>
        </w:rPr>
        <w:t>6.3 [Parser — reference_linker.py](#63-parser--reference_linkerpy)</w:t>
      </w:r>
    </w:p>
    <w:p>
      <w:pPr>
        <w:pStyle w:val="ListBullet"/>
        <w:spacing w:before="20" w:after="20"/>
        <w:ind w:left="510"/>
      </w:pPr>
      <w:r>
        <w:rPr>
          <w:sz w:val="21"/>
        </w:rPr>
        <w:t>6.4 [Parser — ai_enhancer.py](#64-parser--ai_enhancerpy)</w:t>
      </w:r>
    </w:p>
    <w:p>
      <w:pPr>
        <w:pStyle w:val="ListBullet"/>
        <w:spacing w:before="20" w:after="20"/>
        <w:ind w:left="510"/>
      </w:pPr>
      <w:r>
        <w:rPr>
          <w:sz w:val="21"/>
        </w:rPr>
        <w:t>6.5 [Storage — document_store.py](#65-storage--document_storepy)</w:t>
      </w:r>
    </w:p>
    <w:p>
      <w:pPr>
        <w:pStyle w:val="ListBullet"/>
        <w:spacing w:before="20" w:after="20"/>
        <w:ind w:left="510"/>
      </w:pPr>
      <w:r>
        <w:rPr>
          <w:sz w:val="21"/>
        </w:rPr>
        <w:t>6.6 [API — main.py](#66-api--mainpy)</w:t>
      </w:r>
    </w:p>
    <w:p>
      <w:pPr>
        <w:pStyle w:val="ListBullet"/>
        <w:spacing w:before="20" w:after="20"/>
        <w:ind w:left="510"/>
      </w:pPr>
      <w:r>
        <w:rPr>
          <w:sz w:val="21"/>
        </w:rPr>
        <w:t>6.7 [Viewer — viewer_streamlit.py](#67-viewer--viewer_streamlitpy)</w:t>
      </w:r>
    </w:p>
    <w:p>
      <w:pPr>
        <w:pStyle w:val="ListNumber"/>
        <w:spacing w:before="20" w:after="20"/>
        <w:ind w:left="227"/>
      </w:pPr>
      <w:r>
        <w:rPr>
          <w:sz w:val="21"/>
        </w:rPr>
        <w:t>[Viewer Usage Guide](#7-viewer-usage-guide)</w:t>
      </w:r>
    </w:p>
    <w:p>
      <w:pPr>
        <w:pStyle w:val="ListNumber"/>
        <w:spacing w:before="20" w:after="20"/>
        <w:ind w:left="227"/>
      </w:pPr>
      <w:r>
        <w:rPr>
          <w:sz w:val="21"/>
        </w:rPr>
        <w:t>[REST API Reference](#8-rest-api-reference)</w:t>
      </w:r>
    </w:p>
    <w:p>
      <w:pPr>
        <w:pStyle w:val="ListNumber"/>
        <w:spacing w:before="20" w:after="20"/>
        <w:ind w:left="227"/>
      </w:pPr>
      <w:r>
        <w:rPr>
          <w:sz w:val="21"/>
        </w:rPr>
        <w:t>[Testing with Different PDFs](#9-testing-with-different-pdfs)</w:t>
      </w:r>
    </w:p>
    <w:p>
      <w:pPr>
        <w:pStyle w:val="ListNumber"/>
        <w:spacing w:before="20" w:after="20"/>
        <w:ind w:left="227"/>
      </w:pPr>
      <w:r>
        <w:rPr>
          <w:sz w:val="21"/>
        </w:rPr>
        <w:t>[Troubleshooting](#10-troubleshooting)</w:t>
      </w:r>
    </w:p>
    <w:p>
      <w:pPr>
        <w:pStyle w:val="ListNumber"/>
        <w:spacing w:before="20" w:after="20"/>
        <w:ind w:left="227"/>
      </w:pPr>
      <w:r>
        <w:rPr>
          <w:sz w:val="21"/>
        </w:rPr>
        <w:t>[Known Limitations](#11-known-limitations)</w:t>
      </w:r>
    </w:p>
    <w:p>
      <w:pPr>
        <w:pStyle w:val="ListNumber"/>
        <w:spacing w:before="20" w:after="20"/>
        <w:ind w:left="227"/>
      </w:pPr>
      <w:r>
        <w:rPr>
          <w:sz w:val="21"/>
        </w:rPr>
        <w:t>[Extending the System](#12-extending-the-system)</w:t>
      </w:r>
    </w:p>
    <w:p>
      <w:pPr>
        <w:pBdr>
          <w:bottom w:val="single" w:sz="6" w:space="1" w:color="E2E6EA"/>
        </w:pBdr>
        <w:spacing w:before="160" w:after="160"/>
      </w:pPr>
    </w:p>
    <w:p>
      <w:pPr>
        <w:pStyle w:val="Heading2"/>
        <w:spacing w:before="320" w:after="80"/>
      </w:pPr>
      <w:r>
        <w:rPr>
          <w:b/>
          <w:color w:val="1E3A5F"/>
          <w:sz w:val="30"/>
        </w:rPr>
        <w:t>1. System Architecture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End-to-End Flow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┌─────────────┐     ┌──────────────────┐     ┌──────────────────────┐</w:t>
        <w:br/>
        <w:t>│  PDF File   │────▶│ Datalab Marker   │────▶│  Raw JSON Cache      │</w:t>
        <w:br/>
        <w:t>│             │     │ API (cloud)      │     │  storage/raw_*.json  │</w:t>
        <w:br/>
        <w:t>└─────────────┘     └──────────────────┘     └──────────┬───────────┘</w:t>
        <w:br/>
        <w:t xml:space="preserve">                                                         │</w:t>
        <w:br/>
        <w:t xml:space="preserve">                                                         ▼</w:t>
        <w:br/>
        <w:t xml:space="preserve">                                             ┌──────────────────────┐</w:t>
        <w:br/>
        <w:t xml:space="preserve">                                             │  structure_parser.py │</w:t>
        <w:br/>
        <w:t xml:space="preserve">                                             │  Builds Document     │</w:t>
        <w:br/>
        <w:t xml:space="preserve">                                             │  tree + extracts     │</w:t>
        <w:br/>
        <w:t xml:space="preserve">                                             │  figures             │</w:t>
        <w:br/>
        <w:t xml:space="preserve">                                             └──────────┬───────────┘</w:t>
        <w:br/>
        <w:t xml:space="preserve">                                                         │</w:t>
        <w:br/>
        <w:t xml:space="preserve">                                                         ▼</w:t>
        <w:br/>
        <w:t xml:space="preserve">                                             ┌──────────────────────┐</w:t>
        <w:br/>
        <w:t xml:space="preserve">                                             │  reference_linker.py │</w:t>
        <w:br/>
        <w:t xml:space="preserve">                                             │  Resolves cross-refs │</w:t>
        <w:br/>
        <w:t xml:space="preserve">                                             │  &amp; appendix notes    │</w:t>
        <w:br/>
        <w:t xml:space="preserve">                                             └──────────┬───────────┘</w:t>
        <w:br/>
        <w:t xml:space="preserve">                                                         │</w:t>
        <w:br/>
        <w:t xml:space="preserve">                                          (optional)     ▼</w:t>
        <w:br/>
        <w:t xml:space="preserve">                                             ┌──────────────────────┐</w:t>
        <w:br/>
        <w:t xml:space="preserve">                                             │  ai_enhancer.py      │</w:t>
        <w:br/>
        <w:t xml:space="preserve">                                             │  Claude: table       │</w:t>
        <w:br/>
        <w:t xml:space="preserve">                                             │  column semantics    │</w:t>
        <w:br/>
        <w:t xml:space="preserve">                                             └──────────┬───────────┘</w:t>
        <w:br/>
        <w:t xml:space="preserve">                                                         │</w:t>
        <w:br/>
        <w:t xml:space="preserve">                                                         ▼</w:t>
        <w:br/>
        <w:t xml:space="preserve">                                             ┌──────────────────────┐</w:t>
        <w:br/>
        <w:t xml:space="preserve">                                             │  structured_         │</w:t>
        <w:br/>
        <w:t xml:space="preserve">                                             │  document.json       │</w:t>
        <w:br/>
        <w:t xml:space="preserve">                                             │  (1–2 MB typical)    │</w:t>
        <w:br/>
        <w:t xml:space="preserve">                                             └──────┬───────┬───────┘</w:t>
        <w:br/>
        <w:t xml:space="preserve">                                                    │       │</w:t>
        <w:br/>
        <w:t xml:space="preserve">                                          ┌─────────┘       └──────────┐</w:t>
        <w:br/>
        <w:t xml:space="preserve">                                          ▼                             ▼</w:t>
        <w:br/>
        <w:t xml:space="preserve">                             ┌────────────────────┐      ┌─────────────────────┐</w:t>
        <w:br/>
        <w:t xml:space="preserve">                             │  FastAPI :8000      │      │  Streamlit :8501    │</w:t>
        <w:br/>
        <w:t xml:space="preserve">                             │  REST endpoints     │      │  Interactive viewer │</w:t>
        <w:br/>
        <w:t xml:space="preserve">                             └────────────────────┘      └─────────────────────┘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Key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4703"/>
            <w:vAlign w:val="center"/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Datalab Marker for extraction</w:t>
            </w:r>
          </w:p>
        </w:tc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Handles complex PDF layout, tables, equations, images better than pdfplumber/pymupdf alone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Single JSON file storage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Simple, portable, no database dependency for the prototype</w:t>
            </w:r>
          </w:p>
        </w:tc>
      </w:tr>
      <w:tr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Streamlit viewer</w:t>
            </w:r>
          </w:p>
        </w:tc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Rapid iteration without a separate frontend build step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FastAPI alongside Streamlit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Enables future React/headless integrations without rewriting</w:t>
            </w:r>
          </w:p>
        </w:tc>
      </w:tr>
      <w:tr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KaTeX for math rendering</w:t>
            </w:r>
          </w:p>
        </w:tc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Browser-native, no server-side LaTeX processing needed</w:t>
            </w:r>
          </w:p>
        </w:tc>
      </w:tr>
    </w:tbl>
    <w:p/>
    <w:p>
      <w:pPr>
        <w:pBdr>
          <w:bottom w:val="single" w:sz="6" w:space="1" w:color="E2E6EA"/>
        </w:pBdr>
        <w:spacing w:before="160" w:after="160"/>
      </w:pPr>
    </w:p>
    <w:p>
      <w:pPr>
        <w:pStyle w:val="Heading2"/>
        <w:spacing w:before="320" w:after="80"/>
      </w:pPr>
      <w:r>
        <w:rPr>
          <w:b/>
          <w:color w:val="1E3A5F"/>
          <w:sz w:val="30"/>
        </w:rPr>
        <w:t>2. Prerequisites &amp; Installation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System Requirements</w:t>
      </w:r>
    </w:p>
    <w:p>
      <w:pPr>
        <w:pStyle w:val="ListBullet"/>
        <w:spacing w:before="20" w:after="20"/>
        <w:ind w:left="227"/>
      </w:pPr>
      <w:r>
        <w:rPr>
          <w:b/>
          <w:color w:val="1E3A5F"/>
          <w:sz w:val="21"/>
        </w:rPr>
        <w:t>Python</w:t>
      </w:r>
      <w:r>
        <w:rPr>
          <w:sz w:val="21"/>
        </w:rPr>
        <w:t xml:space="preserve"> 3.10 or higher</w:t>
      </w:r>
    </w:p>
    <w:p>
      <w:pPr>
        <w:pStyle w:val="ListBullet"/>
        <w:spacing w:before="20" w:after="20"/>
        <w:ind w:left="227"/>
      </w:pPr>
      <w:r>
        <w:rPr>
          <w:b/>
          <w:color w:val="1E3A5F"/>
          <w:sz w:val="21"/>
        </w:rPr>
        <w:t>pip</w:t>
      </w:r>
      <w:r>
        <w:rPr>
          <w:sz w:val="21"/>
        </w:rPr>
        <w:t xml:space="preserve"> (comes with Python)</w:t>
      </w:r>
    </w:p>
    <w:p>
      <w:pPr>
        <w:pStyle w:val="ListBullet"/>
        <w:spacing w:before="20" w:after="20"/>
        <w:ind w:left="227"/>
      </w:pPr>
      <w:r>
        <w:rPr>
          <w:sz w:val="21"/>
        </w:rPr>
        <w:t>Internet access for the Datalab API call (first run only per PDF)</w:t>
      </w:r>
    </w:p>
    <w:p>
      <w:pPr>
        <w:pStyle w:val="ListBullet"/>
        <w:spacing w:before="20" w:after="20"/>
        <w:ind w:left="227"/>
      </w:pPr>
      <w:r>
        <w:rPr>
          <w:sz w:val="21"/>
        </w:rPr>
        <w:t>~500 MB disk space for a typical 150-page PDF (raw cache + structured output)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Step-by-Step Installation</w:t>
      </w:r>
    </w:p>
    <w:p>
      <w:pPr>
        <w:spacing w:before="40" w:after="120"/>
      </w:pPr>
      <w:r>
        <w:rPr>
          <w:b/>
          <w:color w:val="1E3A5F"/>
          <w:sz w:val="21"/>
        </w:rPr>
        <w:t>1. Get the code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git clone &lt;repository-url&gt;</w:t>
        <w:br/>
        <w:t>cd buildingCodeWebProject</w:t>
      </w:r>
    </w:p>
    <w:p>
      <w:pPr>
        <w:spacing w:before="40" w:after="120"/>
      </w:pPr>
      <w:r>
        <w:rPr>
          <w:b/>
          <w:color w:val="1E3A5F"/>
          <w:sz w:val="21"/>
        </w:rPr>
        <w:t>2. Create a virtual environment</w:t>
      </w:r>
      <w:r>
        <w:rPr>
          <w:sz w:val="21"/>
        </w:rPr>
        <w:t xml:space="preserve"> (strongly recommended)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# Windows</w:t>
        <w:br/>
        <w:t>python -m venv .venv</w:t>
        <w:br/>
        <w:t>.venv\Scripts\activate</w:t>
        <w:br/>
        <w:br/>
        <w:t># macOS / Linux</w:t>
        <w:br/>
        <w:t>python3 -m venv .venv</w:t>
        <w:br/>
        <w:t>source .venv/bin/activate</w:t>
      </w:r>
    </w:p>
    <w:p>
      <w:pPr>
        <w:spacing w:before="40" w:after="120"/>
      </w:pPr>
      <w:r>
        <w:rPr>
          <w:b/>
          <w:color w:val="1E3A5F"/>
          <w:sz w:val="21"/>
        </w:rPr>
        <w:t>3. Install Python dependencies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pip install -r requirements.txt</w:t>
      </w:r>
    </w:p>
    <w:p>
      <w:pPr>
        <w:spacing w:before="40" w:after="120"/>
      </w:pPr>
      <w:r>
        <w:rPr>
          <w:sz w:val="21"/>
        </w:rPr>
        <w:t>The dependencies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4703"/>
            <w:vAlign w:val="center"/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requests</w:t>
            </w:r>
          </w:p>
        </w:tc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HTTP calls to Datalab API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anthropic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Claude API SDK</w:t>
            </w:r>
          </w:p>
        </w:tc>
      </w:tr>
      <w:tr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pdfplumber</w:t>
            </w:r>
          </w:p>
        </w:tc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PDF reading fallback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pymupdf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PDF reading fallback</w:t>
            </w:r>
          </w:p>
        </w:tc>
      </w:tr>
      <w:tr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fastapi</w:t>
            </w:r>
          </w:p>
        </w:tc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REST API framework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uvicorn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ASGI server for FastAPI</w:t>
            </w:r>
          </w:p>
        </w:tc>
      </w:tr>
      <w:tr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python-multipart</w:t>
            </w:r>
          </w:p>
        </w:tc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File upload support for FastAPI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python-dotenv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t xml:space="preserve">Load </w:t>
            </w:r>
            <w:r>
              <w:rPr>
                <w:rFonts w:ascii="Courier New" w:hAnsi="Courier New"/>
                <w:color w:val="D63384"/>
                <w:sz w:val="19"/>
              </w:rPr>
              <w:t>.env</w:t>
            </w:r>
            <w:r>
              <w:rPr>
                <w:sz w:val="19"/>
              </w:rPr>
              <w:t xml:space="preserve"> file</w:t>
            </w:r>
          </w:p>
        </w:tc>
      </w:tr>
      <w:tr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streamlit</w:t>
            </w:r>
          </w:p>
        </w:tc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Web viewer framework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pandas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Data utilities</w:t>
            </w:r>
          </w:p>
        </w:tc>
      </w:tr>
    </w:tbl>
    <w:p/>
    <w:p>
      <w:pPr>
        <w:pBdr>
          <w:bottom w:val="single" w:sz="6" w:space="1" w:color="E2E6EA"/>
        </w:pBdr>
        <w:spacing w:before="160" w:after="160"/>
      </w:pPr>
    </w:p>
    <w:p>
      <w:pPr>
        <w:pStyle w:val="Heading2"/>
        <w:spacing w:before="320" w:after="80"/>
      </w:pPr>
      <w:r>
        <w:rPr>
          <w:b/>
          <w:color w:val="1E3A5F"/>
          <w:sz w:val="30"/>
        </w:rPr>
        <w:t>3. Configuration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API Keys</w:t>
      </w:r>
    </w:p>
    <w:p>
      <w:pPr>
        <w:spacing w:before="40" w:after="120"/>
      </w:pPr>
      <w:r>
        <w:rPr>
          <w:sz w:val="21"/>
        </w:rPr>
        <w:t xml:space="preserve">Create a </w:t>
      </w:r>
      <w:r>
        <w:rPr>
          <w:rFonts w:ascii="Courier New" w:hAnsi="Courier New"/>
          <w:color w:val="D63384"/>
          <w:sz w:val="21"/>
        </w:rPr>
        <w:t>.env</w:t>
      </w:r>
      <w:r>
        <w:rPr>
          <w:sz w:val="21"/>
        </w:rPr>
        <w:t xml:space="preserve"> file in the project root directory: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DATALAB_API_KEY=dl_xxxxxxxxxxxxxxxxxxxxxxxxxxxxxxxx</w:t>
        <w:br/>
        <w:t>ANTHROPIC_API_KEY=sk-ant-xxxxxxxxxxxxxxxxxxxxxxxxxxxxxxxx</w:t>
      </w:r>
    </w:p>
    <w:p>
      <w:pPr>
        <w:spacing w:before="40" w:after="120"/>
      </w:pPr>
      <w:r>
        <w:rPr>
          <w:b/>
          <w:color w:val="1E3A5F"/>
          <w:sz w:val="21"/>
        </w:rPr>
        <w:t>Getting a Datalab key:</w:t>
      </w:r>
    </w:p>
    <w:p>
      <w:pPr>
        <w:pStyle w:val="ListNumber"/>
        <w:spacing w:before="20" w:after="20"/>
        <w:ind w:left="227"/>
      </w:pPr>
      <w:r>
        <w:rPr>
          <w:sz w:val="21"/>
        </w:rPr>
        <w:t>Create an account at https://www.datalab.to</w:t>
      </w:r>
    </w:p>
    <w:p>
      <w:pPr>
        <w:pStyle w:val="ListNumber"/>
        <w:spacing w:before="20" w:after="20"/>
        <w:ind w:left="227"/>
      </w:pPr>
      <w:r>
        <w:rPr>
          <w:sz w:val="21"/>
        </w:rPr>
        <w:t>Navigate to API Keys in your dashboard</w:t>
      </w:r>
    </w:p>
    <w:p>
      <w:pPr>
        <w:pStyle w:val="ListNumber"/>
        <w:spacing w:before="20" w:after="20"/>
        <w:ind w:left="227"/>
      </w:pPr>
      <w:r>
        <w:rPr>
          <w:sz w:val="21"/>
        </w:rPr>
        <w:t>Generate a new key</w:t>
      </w:r>
    </w:p>
    <w:p>
      <w:pPr>
        <w:spacing w:before="40" w:after="120"/>
      </w:pPr>
      <w:r>
        <w:rPr>
          <w:b/>
          <w:color w:val="1E3A5F"/>
          <w:sz w:val="21"/>
        </w:rPr>
        <w:t>Getting an Anthropic key:</w:t>
      </w:r>
    </w:p>
    <w:p>
      <w:pPr>
        <w:pStyle w:val="ListNumber"/>
        <w:spacing w:before="20" w:after="20"/>
        <w:ind w:left="227"/>
      </w:pPr>
      <w:r>
        <w:rPr>
          <w:sz w:val="21"/>
        </w:rPr>
        <w:t>Create an account at https://console.anthropic.com</w:t>
      </w:r>
    </w:p>
    <w:p>
      <w:pPr>
        <w:pStyle w:val="ListNumber"/>
        <w:spacing w:before="20" w:after="20"/>
        <w:ind w:left="227"/>
      </w:pPr>
      <w:r>
        <w:rPr>
          <w:sz w:val="21"/>
        </w:rPr>
        <w:t>Navigate to API Keys</w:t>
      </w:r>
    </w:p>
    <w:p>
      <w:pPr>
        <w:pStyle w:val="ListNumber"/>
        <w:spacing w:before="20" w:after="20"/>
        <w:ind w:left="227"/>
      </w:pPr>
      <w:r>
        <w:rPr>
          <w:sz w:val="21"/>
        </w:rPr>
        <w:t xml:space="preserve">Generate a new key (only needed if using </w:t>
      </w:r>
      <w:r>
        <w:rPr>
          <w:rFonts w:ascii="Courier New" w:hAnsi="Courier New"/>
          <w:color w:val="D63384"/>
          <w:sz w:val="21"/>
        </w:rPr>
        <w:t>--ai</w:t>
      </w:r>
      <w:r>
        <w:rPr>
          <w:sz w:val="21"/>
        </w:rPr>
        <w:t xml:space="preserve"> flag)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Environment Validation</w:t>
      </w:r>
    </w:p>
    <w:p>
      <w:pPr>
        <w:spacing w:before="40" w:after="120"/>
      </w:pPr>
      <w:r>
        <w:rPr>
          <w:sz w:val="21"/>
        </w:rPr>
        <w:t>Both clients validate their keys on startup and print a clear error if missing: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[ERROR] DATALAB_API_KEY is not set.</w:t>
        <w:br/>
        <w:t>Steps to fix:</w:t>
        <w:br/>
        <w:t xml:space="preserve">  1. Open your .env file</w:t>
        <w:br/>
        <w:t xml:space="preserve">  2. Set DATALAB_API_KEY=your_actual_key</w:t>
        <w:br/>
        <w:t xml:space="preserve">  3. Get a key at https://www.datalab.to/app/keys</w:t>
      </w:r>
    </w:p>
    <w:p>
      <w:pPr>
        <w:pBdr>
          <w:bottom w:val="single" w:sz="6" w:space="1" w:color="E2E6EA"/>
        </w:pBdr>
        <w:spacing w:before="160" w:after="160"/>
      </w:pPr>
    </w:p>
    <w:p>
      <w:pPr>
        <w:pStyle w:val="Heading2"/>
        <w:spacing w:before="320" w:after="80"/>
      </w:pPr>
      <w:r>
        <w:rPr>
          <w:b/>
          <w:color w:val="1E3A5F"/>
          <w:sz w:val="30"/>
        </w:rPr>
        <w:t>4. Running the Pipeline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Basic Usage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python main.py path/to/your_document.pdf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Pipeline Steps</w:t>
      </w:r>
    </w:p>
    <w:p>
      <w:pPr>
        <w:spacing w:before="40" w:after="120"/>
      </w:pPr>
      <w:r>
        <w:rPr>
          <w:sz w:val="21"/>
        </w:rPr>
        <w:t>The pipeline runs four sequential steps: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[Step 1/4] Extracting PDF...</w:t>
        <w:br/>
        <w:t xml:space="preserve">  → Submits PDF to Datalab API (or loads from cache)</w:t>
        <w:br/>
        <w:t xml:space="preserve">  → Saves/loads: storage/raw_{pdf_stem}.json</w:t>
        <w:br/>
        <w:br/>
        <w:t>[Step 2/4] Parsing document structure...</w:t>
        <w:br/>
        <w:t xml:space="preserve">  → Builds Chapter → Section → Clause hierarchy</w:t>
        <w:br/>
        <w:t xml:space="preserve">  → Extracts tables, figures, equations</w:t>
        <w:br/>
        <w:t xml:space="preserve">  → Saves figures to: storage/figures/</w:t>
        <w:br/>
        <w:br/>
        <w:t>[Step 3/4] Linking internal references...</w:t>
        <w:br/>
        <w:t xml:space="preserve">  → Resolves cross-references (Sentence X, Table X, etc.)</w:t>
        <w:br/>
        <w:t xml:space="preserve">  → Resolves appendix note refs (See Note A-X.X.X.(N).)</w:t>
        <w:br/>
        <w:t xml:space="preserve">  → Prints resolution statistics</w:t>
        <w:br/>
        <w:br/>
        <w:t>[Step 4/4] Saving / AI enhancement...</w:t>
        <w:br/>
        <w:t xml:space="preserve">  → Writes: storage/output/structured_document.json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Command-Line Flags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# Re-call Datalab API (skip cache) — use when you have a new version of the PDF</w:t>
        <w:br/>
        <w:t>python main.py doc.pdf --force-extract</w:t>
        <w:br/>
        <w:br/>
        <w:t># Enable Claude AI enhancement (adds semantic column labels to tables)</w:t>
        <w:br/>
        <w:t>python main.py doc.pdf --ai</w:t>
        <w:br/>
        <w:br/>
        <w:t># Both flags</w:t>
        <w:br/>
        <w:t>python main.py doc.pdf --force-extract --ai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Caching</w:t>
      </w:r>
    </w:p>
    <w:p>
      <w:pPr>
        <w:spacing w:before="40" w:after="120"/>
      </w:pPr>
      <w:r>
        <w:rPr>
          <w:sz w:val="21"/>
        </w:rPr>
        <w:t xml:space="preserve">On the first run, the Datalab API response is saved to </w:t>
      </w:r>
      <w:r>
        <w:rPr>
          <w:rFonts w:ascii="Courier New" w:hAnsi="Courier New"/>
          <w:color w:val="D63384"/>
          <w:sz w:val="21"/>
        </w:rPr>
        <w:t>storage/raw_{pdf_stem}.json</w:t>
      </w:r>
      <w:r>
        <w:rPr>
          <w:sz w:val="21"/>
        </w:rPr>
        <w:t>. Every subsequent run loads from this cache instead of calling the API. This means:</w:t>
      </w:r>
    </w:p>
    <w:p>
      <w:pPr>
        <w:pStyle w:val="ListBullet"/>
        <w:spacing w:before="20" w:after="20"/>
        <w:ind w:left="227"/>
      </w:pPr>
      <w:r>
        <w:rPr>
          <w:sz w:val="21"/>
        </w:rPr>
        <w:t xml:space="preserve">Parser/viewer changes can be tested at </w:t>
      </w:r>
      <w:r>
        <w:rPr>
          <w:b/>
          <w:color w:val="1E3A5F"/>
          <w:sz w:val="21"/>
        </w:rPr>
        <w:t>zero API cost</w:t>
      </w:r>
    </w:p>
    <w:p>
      <w:pPr>
        <w:pStyle w:val="ListBullet"/>
        <w:spacing w:before="20" w:after="20"/>
        <w:ind w:left="227"/>
      </w:pPr>
      <w:r>
        <w:rPr>
          <w:sz w:val="21"/>
        </w:rPr>
        <w:t xml:space="preserve">Only use </w:t>
      </w:r>
      <w:r>
        <w:rPr>
          <w:rFonts w:ascii="Courier New" w:hAnsi="Courier New"/>
          <w:color w:val="D63384"/>
          <w:sz w:val="21"/>
        </w:rPr>
        <w:t>--force-extract</w:t>
      </w:r>
      <w:r>
        <w:rPr>
          <w:sz w:val="21"/>
        </w:rPr>
        <w:t xml:space="preserve"> when the PDF itself changes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Expected Output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============================================================</w:t>
        <w:br/>
        <w:t xml:space="preserve">  EXTRACTION COMPLETE</w:t>
        <w:br/>
        <w:t>============================================================</w:t>
        <w:br/>
        <w:t xml:space="preserve">  Document:    Part 4 Structural Design</w:t>
        <w:br/>
        <w:t xml:space="preserve">  Pages:       146</w:t>
        <w:br/>
        <w:t xml:space="preserve">  Chapters:    1</w:t>
        <w:br/>
        <w:t xml:space="preserve">  Sections:    31</w:t>
        <w:br/>
        <w:t xml:space="preserve">  Clauses:     202</w:t>
        <w:br/>
        <w:t xml:space="preserve">  Tables:      28</w:t>
        <w:br/>
        <w:t xml:space="preserve">  References:  366 found, 93.2% resolved</w:t>
        <w:br/>
        <w:t xml:space="preserve">  Output:      storage\output\structured_document.json</w:t>
        <w:br/>
        <w:t>============================================================</w:t>
      </w:r>
    </w:p>
    <w:p>
      <w:pPr>
        <w:pBdr>
          <w:bottom w:val="single" w:sz="6" w:space="1" w:color="E2E6EA"/>
        </w:pBdr>
        <w:spacing w:before="160" w:after="160"/>
      </w:pPr>
    </w:p>
    <w:p>
      <w:pPr>
        <w:pStyle w:val="Heading2"/>
        <w:spacing w:before="320" w:after="80"/>
      </w:pPr>
      <w:r>
        <w:rPr>
          <w:b/>
          <w:color w:val="1E3A5F"/>
          <w:sz w:val="30"/>
        </w:rPr>
        <w:t>5. Data Model</w:t>
      </w:r>
    </w:p>
    <w:p>
      <w:pPr>
        <w:spacing w:before="40" w:after="120"/>
      </w:pPr>
      <w:r>
        <w:rPr>
          <w:sz w:val="21"/>
        </w:rPr>
        <w:t>The structured document is a nested JSON tree: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Document</w:t>
        <w:br/>
        <w:t xml:space="preserve">  ├── title: str</w:t>
        <w:br/>
        <w:t xml:space="preserve">  ├── source_pdf: str</w:t>
        <w:br/>
        <w:t xml:space="preserve">  ├── total_pages: int</w:t>
        <w:br/>
        <w:t xml:space="preserve">  ├── extracted_at: str  (ISO timestamp)</w:t>
        <w:br/>
        <w:t xml:space="preserve">  ├── _stats: { reference counts }</w:t>
        <w:br/>
        <w:t xml:space="preserve">  └── chapters: [Chapter]</w:t>
        <w:br/>
        <w:t xml:space="preserve">        └── Chapter</w:t>
        <w:br/>
        <w:t xml:space="preserve">              ├── id: "CH-4"</w:t>
        <w:br/>
        <w:t xml:space="preserve">              ├── number: "4"</w:t>
        <w:br/>
        <w:t xml:space="preserve">              ├── title: "Structural Design"</w:t>
        <w:br/>
        <w:t xml:space="preserve">              └── sections: [Section]</w:t>
        <w:br/>
        <w:t xml:space="preserve">                    └── Section</w:t>
        <w:br/>
        <w:t xml:space="preserve">                          ├── id: "SEC-4-1"</w:t>
        <w:br/>
        <w:t xml:space="preserve">                          ├── number: "4.1"</w:t>
        <w:br/>
        <w:t xml:space="preserve">                          ├── title: "Loads"</w:t>
        <w:br/>
        <w:t xml:space="preserve">                          └── clauses: [Clause]</w:t>
        <w:br/>
        <w:t xml:space="preserve">                                └── Clause</w:t>
        <w:br/>
        <w:t xml:space="preserve">                                      ├── id: "CL-4-1-6-5"</w:t>
        <w:br/>
        <w:t xml:space="preserve">                                      ├── number: "4.1.6.5"</w:t>
        <w:br/>
        <w:t xml:space="preserve">                                      ├── title: "..."</w:t>
        <w:br/>
        <w:t xml:space="preserve">                                      ├── page_span: [int, ...]</w:t>
        <w:br/>
        <w:t xml:space="preserve">                                      ├── content: [ContentItem]</w:t>
        <w:br/>
        <w:t xml:space="preserve">                                      ├── tables: [Table]</w:t>
        <w:br/>
        <w:t xml:space="preserve">                                      ├── figures: [Figure]</w:t>
        <w:br/>
        <w:t xml:space="preserve">                                      ├── equations: [Equation]</w:t>
        <w:br/>
        <w:t xml:space="preserve">                                      ├── references: [Reference]</w:t>
        <w:br/>
        <w:t xml:space="preserve">                                      └── note_refs: [NoteRef]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ContentItem types</w:t>
      </w:r>
    </w:p>
    <w:p>
      <w:pPr>
        <w:spacing w:before="40" w:after="120"/>
      </w:pPr>
      <w:r>
        <w:rPr>
          <w:sz w:val="21"/>
        </w:rPr>
        <w:t xml:space="preserve">Every piece of clause body content is stored as an ordered </w:t>
      </w:r>
      <w:r>
        <w:rPr>
          <w:rFonts w:ascii="Courier New" w:hAnsi="Courier New"/>
          <w:color w:val="D63384"/>
          <w:sz w:val="21"/>
        </w:rPr>
        <w:t>content[]</w:t>
      </w:r>
      <w:r>
        <w:rPr>
          <w:sz w:val="21"/>
        </w:rPr>
        <w:t xml:space="preserve"> array to preserve PDF reading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35"/>
            <w:vAlign w:val="center"/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Fields</w:t>
            </w:r>
          </w:p>
        </w:tc>
        <w:tc>
          <w:tcPr>
            <w:tcW w:type="dxa" w:w="3135"/>
            <w:vAlign w:val="center"/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text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value: str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t>Plain paragraph or inline-math text (</w:t>
            </w:r>
            <w:r>
              <w:rPr>
                <w:rFonts w:ascii="Courier New" w:hAnsi="Courier New"/>
                <w:color w:val="D63384"/>
                <w:sz w:val="19"/>
              </w:rPr>
              <w:t>$...$</w:t>
            </w:r>
            <w:r>
              <w:rPr>
                <w:sz w:val="19"/>
              </w:rPr>
              <w:t xml:space="preserve"> notation)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sub_clause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marker: str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9"/>
              </w:rPr>
              <w:t>value: str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t xml:space="preserve">Labelled sub-item, e.g. </w:t>
            </w:r>
            <w:r>
              <w:rPr>
                <w:rFonts w:ascii="Courier New" w:hAnsi="Courier New"/>
                <w:color w:val="D63384"/>
                <w:sz w:val="19"/>
              </w:rPr>
              <w:t>(a)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9"/>
              </w:rPr>
              <w:t>i.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9"/>
              </w:rPr>
              <w:t>a)</w:t>
            </w:r>
          </w:p>
        </w:tc>
      </w:tr>
      <w:tr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equation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latex: str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9"/>
              </w:rPr>
              <w:t>id: str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t xml:space="preserve">Display equation, one per </w:t>
            </w:r>
            <w:r>
              <w:rPr>
                <w:rFonts w:ascii="Courier New" w:hAnsi="Courier New"/>
                <w:color w:val="D63384"/>
                <w:sz w:val="19"/>
              </w:rPr>
              <w:t>&lt;math&gt;</w:t>
            </w:r>
            <w:r>
              <w:rPr>
                <w:sz w:val="19"/>
              </w:rPr>
              <w:t xml:space="preserve"> block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figure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figure_id: str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9"/>
              </w:rPr>
              <w:t>image_path: str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9"/>
              </w:rPr>
              <w:t>caption: str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Embedded image</w:t>
            </w:r>
          </w:p>
        </w:tc>
      </w:tr>
      <w:tr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table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table_id: str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9"/>
              </w:rPr>
              <w:t>value: str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t xml:space="preserve">Reference to a table in </w:t>
            </w:r>
            <w:r>
              <w:rPr>
                <w:rFonts w:ascii="Courier New" w:hAnsi="Courier New"/>
                <w:color w:val="D63384"/>
                <w:sz w:val="19"/>
              </w:rPr>
              <w:t>tables[]</w:t>
            </w:r>
          </w:p>
        </w:tc>
      </w:tr>
    </w:tbl>
    <w:p/>
    <w:p>
      <w:pPr>
        <w:pStyle w:val="Heading3"/>
        <w:spacing w:before="240" w:after="40"/>
      </w:pPr>
      <w:r>
        <w:rPr>
          <w:b/>
          <w:color w:val="374151"/>
          <w:sz w:val="26"/>
        </w:rPr>
        <w:t>Table structure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{</w:t>
        <w:br/>
        <w:t xml:space="preserve">  "id": "TBL-14",</w:t>
        <w:br/>
        <w:t xml:space="preserve">  "caption": "Table 4.1.6.2.-B ...",</w:t>
        <w:br/>
        <w:t xml:space="preserve">  "headers": ["Value of $l_c C_w^2$", "Value of $C_w$ / 1.0 / Value of $C_b$"],</w:t>
        <w:br/>
        <w:t xml:space="preserve">  "rows": [["70", "0.80"], ["80", "0.82"]],</w:t>
        <w:br/>
        <w:t xml:space="preserve">  "page": 42,</w:t>
        <w:br/>
        <w:t xml:space="preserve">  "column_semantics": []</w:t>
        <w:br/>
        <w:t>}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Reference structure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{</w:t>
        <w:br/>
        <w:t xml:space="preserve">  "text": "Article 4.1.6.5.",</w:t>
        <w:br/>
        <w:t xml:space="preserve">  "kind": "Article",</w:t>
        <w:br/>
        <w:t xml:space="preserve">  "target_id": "CL-4-1-6-5",</w:t>
        <w:br/>
        <w:t xml:space="preserve">  "resolved": true</w:t>
        <w:br/>
        <w:t>}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Note reference structure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{</w:t>
        <w:br/>
        <w:t xml:space="preserve">  "raw": "(See Note A-4.1.6.16.(6).)",</w:t>
        <w:br/>
        <w:t xml:space="preserve">  "note_ref": "A-4.1.6.16.(6).",</w:t>
        <w:br/>
        <w:t xml:space="preserve">  "target_ids": ["CL-AUTO-49"],</w:t>
        <w:br/>
        <w:t xml:space="preserve">  "resolved": true</w:t>
        <w:br/>
        <w:t>}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ID Naming Conventions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Node type</w:t>
            </w:r>
          </w:p>
        </w:tc>
        <w:tc>
          <w:tcPr>
            <w:tcW w:type="dxa" w:w="3135"/>
            <w:vAlign w:val="center"/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Pattern</w:t>
            </w:r>
          </w:p>
        </w:tc>
        <w:tc>
          <w:tcPr>
            <w:tcW w:type="dxa" w:w="3135"/>
            <w:vAlign w:val="center"/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Chapter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CH-{n}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CH-4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Section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SEC-{n}-{m}[-{k}…]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SEC-4-1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9"/>
              </w:rPr>
              <w:t>SEC-4-1-6</w:t>
            </w:r>
          </w:p>
        </w:tc>
      </w:tr>
      <w:tr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Clause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CL-{n}-{m}-{k}[-{j}…]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CL-4-1-6-5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Unnumbered clause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CL-AUTO-{n}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CL-AUTO-39</w:t>
            </w:r>
          </w:p>
        </w:tc>
      </w:tr>
      <w:tr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Table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TBL-{n}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TBL-14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Figure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FIG-{n}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FIG-3</w:t>
            </w:r>
          </w:p>
        </w:tc>
      </w:tr>
      <w:tr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Equation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EQ-{n}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EQ-2</w:t>
            </w:r>
          </w:p>
        </w:tc>
      </w:tr>
    </w:tbl>
    <w:p/>
    <w:p>
      <w:pPr>
        <w:spacing w:before="40" w:after="120"/>
      </w:pPr>
      <w:r>
        <w:rPr>
          <w:sz w:val="21"/>
        </w:rPr>
        <w:t xml:space="preserve">Dots in numbers are replaced with hyphens: </w:t>
      </w:r>
      <w:r>
        <w:rPr>
          <w:rFonts w:ascii="Courier New" w:hAnsi="Courier New"/>
          <w:color w:val="D63384"/>
          <w:sz w:val="21"/>
        </w:rPr>
        <w:t>4.1.6.5</w:t>
      </w:r>
      <w:r>
        <w:rPr>
          <w:sz w:val="21"/>
        </w:rPr>
        <w:t xml:space="preserve"> → </w:t>
      </w:r>
      <w:r>
        <w:rPr>
          <w:rFonts w:ascii="Courier New" w:hAnsi="Courier New"/>
          <w:color w:val="D63384"/>
          <w:sz w:val="21"/>
        </w:rPr>
        <w:t>CL-4-1-6-5</w:t>
      </w:r>
      <w:r>
        <w:rPr>
          <w:sz w:val="21"/>
        </w:rPr>
        <w:t>.</w:t>
      </w:r>
    </w:p>
    <w:p>
      <w:pPr>
        <w:pBdr>
          <w:bottom w:val="single" w:sz="6" w:space="1" w:color="E2E6EA"/>
        </w:pBdr>
        <w:spacing w:before="160" w:after="160"/>
      </w:pPr>
    </w:p>
    <w:p>
      <w:pPr>
        <w:pStyle w:val="Heading2"/>
        <w:spacing w:before="320" w:after="80"/>
      </w:pPr>
      <w:r>
        <w:rPr>
          <w:b/>
          <w:color w:val="1E3A5F"/>
          <w:sz w:val="30"/>
        </w:rPr>
        <w:t>6. Module Reference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6.1 Ingestion — datalab_client.py</w:t>
      </w:r>
    </w:p>
    <w:p>
      <w:pPr>
        <w:spacing w:before="40" w:after="120"/>
      </w:pPr>
      <w:r>
        <w:rPr>
          <w:sz w:val="21"/>
        </w:rPr>
        <w:t>Handles PDF submission and result retrieval from the Datalab Marker API.</w:t>
      </w:r>
    </w:p>
    <w:p>
      <w:pPr>
        <w:spacing w:before="40" w:after="120"/>
      </w:pPr>
      <w:r>
        <w:rPr>
          <w:b/>
          <w:color w:val="1E3A5F"/>
          <w:sz w:val="21"/>
        </w:rPr>
        <w:t>Key parameters sent to Datalab: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{</w:t>
        <w:br/>
        <w:t xml:space="preserve">    "output_format": "json",</w:t>
        <w:br/>
        <w:t xml:space="preserve">    "use_llm": "true",       # enables LLM-enhanced extraction</w:t>
        <w:br/>
        <w:t xml:space="preserve">    "extract_images": "false"</w:t>
        <w:br/>
        <w:t>}</w:t>
      </w:r>
    </w:p>
    <w:p>
      <w:pPr>
        <w:spacing w:before="40" w:after="120"/>
      </w:pPr>
      <w:r>
        <w:rPr>
          <w:b/>
          <w:color w:val="1E3A5F"/>
          <w:sz w:val="21"/>
        </w:rPr>
        <w:t>Polling:</w:t>
      </w:r>
      <w:r>
        <w:rPr>
          <w:sz w:val="21"/>
        </w:rPr>
        <w:t xml:space="preserve"> 5-second interval, 300-second timeout. Raises </w:t>
      </w:r>
      <w:r>
        <w:rPr>
          <w:rFonts w:ascii="Courier New" w:hAnsi="Courier New"/>
          <w:color w:val="D63384"/>
          <w:sz w:val="21"/>
        </w:rPr>
        <w:t>TimeoutError</w:t>
      </w:r>
      <w:r>
        <w:rPr>
          <w:sz w:val="21"/>
        </w:rPr>
        <w:t xml:space="preserve"> if the job does not complete.</w:t>
      </w:r>
    </w:p>
    <w:p>
      <w:pPr>
        <w:spacing w:before="40" w:after="120"/>
      </w:pPr>
      <w:r>
        <w:rPr>
          <w:b/>
          <w:color w:val="1E3A5F"/>
          <w:sz w:val="21"/>
        </w:rPr>
        <w:t>Cache path:</w:t>
      </w:r>
      <w:r>
        <w:rPr>
          <w:sz w:val="21"/>
        </w:rPr>
        <w:t xml:space="preserve"> </w:t>
      </w:r>
      <w:r>
        <w:rPr>
          <w:rFonts w:ascii="Courier New" w:hAnsi="Courier New"/>
          <w:color w:val="D63384"/>
          <w:sz w:val="21"/>
        </w:rPr>
        <w:t>storage/raw_{pdf_stem}.json</w:t>
      </w:r>
      <w:r>
        <w:rPr>
          <w:sz w:val="21"/>
        </w:rPr>
        <w:t xml:space="preserve"> — derived from the PDF filename (spaces → underscores).</w:t>
      </w:r>
    </w:p>
    <w:p>
      <w:pPr>
        <w:pBdr>
          <w:bottom w:val="single" w:sz="6" w:space="1" w:color="E2E6EA"/>
        </w:pBdr>
        <w:spacing w:before="160" w:after="160"/>
      </w:pPr>
    </w:p>
    <w:p>
      <w:pPr>
        <w:pStyle w:val="Heading3"/>
        <w:spacing w:before="240" w:after="40"/>
      </w:pPr>
      <w:r>
        <w:rPr>
          <w:b/>
          <w:color w:val="374151"/>
          <w:sz w:val="26"/>
        </w:rPr>
        <w:t>6.2 Parser — structure_parser.py</w:t>
      </w:r>
    </w:p>
    <w:p>
      <w:pPr>
        <w:spacing w:before="40" w:after="120"/>
      </w:pPr>
      <w:r>
        <w:rPr>
          <w:sz w:val="21"/>
        </w:rPr>
        <w:t>Converts the Datalab JSON into the structured document tree.</w:t>
      </w:r>
    </w:p>
    <w:p>
      <w:pPr>
        <w:spacing w:before="40" w:after="120"/>
      </w:pPr>
      <w:r>
        <w:rPr>
          <w:b/>
          <w:color w:val="1E3A5F"/>
          <w:sz w:val="21"/>
        </w:rPr>
        <w:t>Entry point: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from parser.structure_parser import parse_datalab_output</w:t>
        <w:br/>
        <w:br/>
        <w:t>document_dict = parse_datalab_output(</w:t>
        <w:br/>
        <w:t xml:space="preserve">    datalab_result,</w:t>
        <w:br/>
        <w:t xml:space="preserve">    source_pdf="my_doc.pdf",</w:t>
        <w:br/>
        <w:t xml:space="preserve">    figures_dir="storage/figures"</w:t>
        <w:br/>
        <w:t>)</w:t>
      </w:r>
    </w:p>
    <w:p>
      <w:pPr>
        <w:spacing w:before="40" w:after="120"/>
      </w:pPr>
      <w:r>
        <w:rPr>
          <w:b/>
          <w:color w:val="1E3A5F"/>
          <w:sz w:val="21"/>
        </w:rPr>
        <w:t>Heading-to-hierarchy mapping: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Heading level</w:t>
            </w:r>
          </w:p>
        </w:tc>
        <w:tc>
          <w:tcPr>
            <w:tcW w:type="dxa" w:w="4703"/>
            <w:vAlign w:val="center"/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Rule</w:t>
            </w:r>
          </w:p>
        </w:tc>
      </w:tr>
      <w:tr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h1</w:t>
            </w:r>
          </w:p>
        </w:tc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New Chapter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h2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t xml:space="preserve">New Section (if matches </w:t>
            </w:r>
            <w:r>
              <w:rPr>
                <w:rFonts w:ascii="Courier New" w:hAnsi="Courier New"/>
                <w:color w:val="D63384"/>
                <w:sz w:val="19"/>
              </w:rPr>
              <w:t>N.N</w:t>
            </w:r>
            <w:r>
              <w:rPr>
                <w:sz w:val="19"/>
              </w:rPr>
              <w:t xml:space="preserve"> pattern)</w:t>
            </w:r>
          </w:p>
        </w:tc>
      </w:tr>
      <w:tr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h3</w:t>
            </w:r>
          </w:p>
        </w:tc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t xml:space="preserve">New Section (if matches </w:t>
            </w:r>
            <w:r>
              <w:rPr>
                <w:rFonts w:ascii="Courier New" w:hAnsi="Courier New"/>
                <w:color w:val="D63384"/>
                <w:sz w:val="19"/>
              </w:rPr>
              <w:t>N.N.N</w:t>
            </w:r>
            <w:r>
              <w:rPr>
                <w:sz w:val="19"/>
              </w:rPr>
              <w:t>); else label clause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h4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New Clause (checks 4-part number first, then 3-part)</w:t>
            </w:r>
          </w:p>
        </w:tc>
      </w:tr>
      <w:tr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h5</w:t>
            </w:r>
          </w:p>
        </w:tc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t xml:space="preserve">Notes / Appendix entries → </w:t>
            </w:r>
            <w:r>
              <w:rPr>
                <w:rFonts w:ascii="Courier New" w:hAnsi="Courier New"/>
                <w:color w:val="D63384"/>
                <w:sz w:val="19"/>
              </w:rPr>
              <w:t>CL-AUTO-N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h6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Bold text item in current clause; or new unnumbered clause</w:t>
            </w:r>
          </w:p>
        </w:tc>
      </w:tr>
    </w:tbl>
    <w:p/>
    <w:p>
      <w:pPr>
        <w:spacing w:before="40" w:after="120"/>
      </w:pPr>
      <w:r>
        <w:rPr>
          <w:b/>
          <w:color w:val="1E3A5F"/>
          <w:sz w:val="21"/>
        </w:rPr>
        <w:t>Text block auto-promotion:</w:t>
      </w:r>
      <w:r>
        <w:rPr>
          <w:sz w:val="21"/>
        </w:rPr>
        <w:t xml:space="preserve"> Plain text blocks whose first line matches a structural number pattern are promoted to Section or Clause automatically, with duplicate-ID guards.</w:t>
      </w:r>
    </w:p>
    <w:p>
      <w:pPr>
        <w:spacing w:before="40" w:after="120"/>
      </w:pPr>
      <w:r>
        <w:rPr>
          <w:b/>
          <w:color w:val="1E3A5F"/>
          <w:sz w:val="21"/>
        </w:rPr>
        <w:t>Math handling:</w:t>
      </w:r>
    </w:p>
    <w:p>
      <w:pPr>
        <w:pStyle w:val="ListBullet"/>
        <w:spacing w:before="20" w:after="20"/>
        <w:ind w:left="227"/>
      </w:pPr>
      <w:r>
        <w:rPr>
          <w:rFonts w:ascii="Courier New" w:hAnsi="Courier New"/>
          <w:color w:val="D63384"/>
          <w:sz w:val="21"/>
        </w:rPr>
        <w:t>&lt;math&gt;</w:t>
      </w:r>
      <w:r>
        <w:rPr>
          <w:sz w:val="21"/>
        </w:rPr>
        <w:t xml:space="preserve"> tags in body text → </w:t>
      </w:r>
      <w:r>
        <w:rPr>
          <w:rFonts w:ascii="Courier New" w:hAnsi="Courier New"/>
          <w:color w:val="D63384"/>
          <w:sz w:val="21"/>
        </w:rPr>
        <w:t>$...$</w:t>
      </w:r>
      <w:r>
        <w:rPr>
          <w:sz w:val="21"/>
        </w:rPr>
        <w:t xml:space="preserve"> inline notation (rendered by Streamlit/KaTeX)</w:t>
      </w:r>
    </w:p>
    <w:p>
      <w:pPr>
        <w:pStyle w:val="ListBullet"/>
        <w:spacing w:before="20" w:after="20"/>
        <w:ind w:left="227"/>
      </w:pPr>
      <w:r>
        <w:rPr>
          <w:rFonts w:ascii="Courier New" w:hAnsi="Courier New"/>
          <w:color w:val="D63384"/>
          <w:sz w:val="21"/>
        </w:rPr>
        <w:t>&lt;math&gt;</w:t>
      </w:r>
      <w:r>
        <w:rPr>
          <w:sz w:val="21"/>
        </w:rPr>
        <w:t xml:space="preserve"> tags in Equation blocks → one </w:t>
      </w:r>
      <w:r>
        <w:rPr>
          <w:rFonts w:ascii="Courier New" w:hAnsi="Courier New"/>
          <w:color w:val="D63384"/>
          <w:sz w:val="21"/>
        </w:rPr>
        <w:t>EQ-N</w:t>
      </w:r>
      <w:r>
        <w:rPr>
          <w:sz w:val="21"/>
        </w:rPr>
        <w:t xml:space="preserve"> ContentItem per tag</w:t>
      </w:r>
    </w:p>
    <w:p>
      <w:pPr>
        <w:spacing w:before="40" w:after="120"/>
      </w:pPr>
      <w:r>
        <w:rPr>
          <w:b/>
          <w:color w:val="1E3A5F"/>
          <w:sz w:val="21"/>
        </w:rPr>
        <w:t>Table merging:</w:t>
      </w:r>
      <w:r>
        <w:rPr>
          <w:sz w:val="21"/>
        </w:rPr>
        <w:t xml:space="preserve"> Cross-page </w:t>
      </w:r>
      <w:r>
        <w:rPr>
          <w:rFonts w:ascii="Courier New" w:hAnsi="Courier New"/>
          <w:color w:val="D63384"/>
          <w:sz w:val="21"/>
        </w:rPr>
        <w:t>(continued)</w:t>
      </w:r>
      <w:r>
        <w:rPr>
          <w:sz w:val="21"/>
        </w:rPr>
        <w:t xml:space="preserve"> table fragments are detected and merged into the base table after parsing. Cross-page rowspan carry is applied via a "sandwich detection" heuristic for 2-column use/load tables.</w:t>
      </w:r>
    </w:p>
    <w:p>
      <w:pPr>
        <w:spacing w:before="40" w:after="120"/>
      </w:pPr>
      <w:r>
        <w:rPr>
          <w:b/>
          <w:color w:val="1E3A5F"/>
          <w:sz w:val="21"/>
        </w:rPr>
        <w:t>Decorative image filtering:</w:t>
      </w:r>
      <w:r>
        <w:rPr>
          <w:sz w:val="21"/>
        </w:rPr>
        <w:t xml:space="preserve"> Images with alt text under 60 characters matching patterns like </w:t>
      </w:r>
      <w:r>
        <w:rPr>
          <w:rFonts w:ascii="Courier New" w:hAnsi="Courier New"/>
          <w:color w:val="D63384"/>
          <w:sz w:val="21"/>
        </w:rPr>
        <w:t>"horizontal line"</w:t>
      </w:r>
      <w:r>
        <w:rPr>
          <w:sz w:val="21"/>
        </w:rPr>
        <w:t xml:space="preserve">, </w:t>
      </w:r>
      <w:r>
        <w:rPr>
          <w:rFonts w:ascii="Courier New" w:hAnsi="Courier New"/>
          <w:color w:val="D63384"/>
          <w:sz w:val="21"/>
        </w:rPr>
        <w:t>"divider"</w:t>
      </w:r>
      <w:r>
        <w:rPr>
          <w:sz w:val="21"/>
        </w:rPr>
        <w:t xml:space="preserve">, </w:t>
      </w:r>
      <w:r>
        <w:rPr>
          <w:rFonts w:ascii="Courier New" w:hAnsi="Courier New"/>
          <w:color w:val="D63384"/>
          <w:sz w:val="21"/>
        </w:rPr>
        <w:t>"decorative"</w:t>
      </w:r>
      <w:r>
        <w:rPr>
          <w:sz w:val="21"/>
        </w:rPr>
        <w:t xml:space="preserve"> etc. are silently dropped.</w:t>
      </w:r>
    </w:p>
    <w:p>
      <w:pPr>
        <w:pBdr>
          <w:bottom w:val="single" w:sz="6" w:space="1" w:color="E2E6EA"/>
        </w:pBdr>
        <w:spacing w:before="160" w:after="160"/>
      </w:pPr>
    </w:p>
    <w:p>
      <w:pPr>
        <w:pStyle w:val="Heading3"/>
        <w:spacing w:before="240" w:after="40"/>
      </w:pPr>
      <w:r>
        <w:rPr>
          <w:b/>
          <w:color w:val="374151"/>
          <w:sz w:val="26"/>
        </w:rPr>
        <w:t>6.3 Parser — reference_linker.py</w:t>
      </w:r>
    </w:p>
    <w:p>
      <w:pPr>
        <w:spacing w:before="40" w:after="120"/>
      </w:pPr>
      <w:r>
        <w:rPr>
          <w:sz w:val="21"/>
        </w:rPr>
        <w:t>Scans all clause content for cross-references and resolves them against the document ID index.</w:t>
      </w:r>
    </w:p>
    <w:p>
      <w:pPr>
        <w:spacing w:before="40" w:after="120"/>
      </w:pPr>
      <w:r>
        <w:rPr>
          <w:b/>
          <w:color w:val="1E3A5F"/>
          <w:sz w:val="21"/>
        </w:rPr>
        <w:t>Entry point: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from parser.reference_linker import link_references</w:t>
        <w:br/>
        <w:br/>
        <w:t>document_dict = link_references(document_dict)</w:t>
      </w:r>
    </w:p>
    <w:p>
      <w:pPr>
        <w:spacing w:before="40" w:after="120"/>
      </w:pPr>
      <w:r>
        <w:rPr>
          <w:b/>
          <w:color w:val="1E3A5F"/>
          <w:sz w:val="21"/>
        </w:rPr>
        <w:t>Standard cross-references</w:t>
      </w:r>
      <w:r>
        <w:rPr>
          <w:sz w:val="21"/>
        </w:rPr>
        <w:t xml:space="preserve"> (added to </w:t>
      </w:r>
      <w:r>
        <w:rPr>
          <w:rFonts w:ascii="Courier New" w:hAnsi="Courier New"/>
          <w:color w:val="D63384"/>
          <w:sz w:val="21"/>
        </w:rPr>
        <w:t>clause.references[]</w:t>
      </w:r>
      <w:r>
        <w:rPr>
          <w:sz w:val="21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Kind</w:t>
            </w:r>
          </w:p>
        </w:tc>
        <w:tc>
          <w:tcPr>
            <w:tcW w:type="dxa" w:w="3135"/>
            <w:vAlign w:val="center"/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3135"/>
            <w:vAlign w:val="center"/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Sentence / Article / Clause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Sentence 4.1.6.5.(1)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CL-4-1-6-5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Section / Subsection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Section 4.1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SEC-4-1</w:t>
            </w:r>
          </w:p>
        </w:tc>
      </w:tr>
      <w:tr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Table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Table 4.1.3.2.-B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t xml:space="preserve">caption lookup → </w:t>
            </w:r>
            <w:r>
              <w:rPr>
                <w:rFonts w:ascii="Courier New" w:hAnsi="Courier New"/>
                <w:color w:val="D63384"/>
                <w:sz w:val="19"/>
              </w:rPr>
              <w:t>TBL-N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Figure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Figure 4.1.6.5.-A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t xml:space="preserve">caption lookup → </w:t>
            </w:r>
            <w:r>
              <w:rPr>
                <w:rFonts w:ascii="Courier New" w:hAnsi="Courier New"/>
                <w:color w:val="D63384"/>
                <w:sz w:val="19"/>
              </w:rPr>
              <w:t>FIG-N</w:t>
            </w:r>
          </w:p>
        </w:tc>
      </w:tr>
    </w:tbl>
    <w:p/>
    <w:p>
      <w:pPr>
        <w:spacing w:before="40" w:after="120"/>
      </w:pPr>
      <w:r>
        <w:rPr>
          <w:b/>
          <w:color w:val="1E3A5F"/>
          <w:sz w:val="21"/>
        </w:rPr>
        <w:t>Appendix note references</w:t>
      </w:r>
      <w:r>
        <w:rPr>
          <w:sz w:val="21"/>
        </w:rPr>
        <w:t xml:space="preserve"> (added to </w:t>
      </w:r>
      <w:r>
        <w:rPr>
          <w:rFonts w:ascii="Courier New" w:hAnsi="Courier New"/>
          <w:color w:val="D63384"/>
          <w:sz w:val="21"/>
        </w:rPr>
        <w:t>clause.note_refs[]</w:t>
      </w:r>
      <w:r>
        <w:rPr>
          <w:sz w:val="21"/>
        </w:rPr>
        <w:t>):</w:t>
      </w:r>
    </w:p>
    <w:p>
      <w:pPr>
        <w:spacing w:before="40" w:after="120"/>
      </w:pPr>
      <w:r>
        <w:rPr>
          <w:sz w:val="21"/>
        </w:rPr>
        <w:t xml:space="preserve">Pattern: </w:t>
      </w:r>
      <w:r>
        <w:rPr>
          <w:rFonts w:ascii="Courier New" w:hAnsi="Courier New"/>
          <w:color w:val="D63384"/>
          <w:sz w:val="21"/>
        </w:rPr>
        <w:t>(See Note A-4.1.6.16.(6).)</w:t>
      </w:r>
      <w:r>
        <w:rPr>
          <w:sz w:val="21"/>
        </w:rPr>
        <w:t xml:space="preserve"> → resolved via a two-pass note index:</w:t>
      </w:r>
    </w:p>
    <w:p>
      <w:pPr>
        <w:pStyle w:val="ListBullet"/>
        <w:spacing w:before="20" w:after="20"/>
        <w:ind w:left="227"/>
      </w:pPr>
      <w:r>
        <w:rPr>
          <w:sz w:val="21"/>
        </w:rPr>
        <w:t xml:space="preserve">Pass 1: Clauses whose titles start with </w:t>
      </w:r>
      <w:r>
        <w:rPr>
          <w:rFonts w:ascii="Courier New" w:hAnsi="Courier New"/>
          <w:color w:val="D63384"/>
          <w:sz w:val="21"/>
        </w:rPr>
        <w:t>A-</w:t>
      </w:r>
      <w:r>
        <w:rPr>
          <w:sz w:val="21"/>
        </w:rPr>
        <w:t xml:space="preserve"> are indexed</w:t>
      </w:r>
    </w:p>
    <w:p>
      <w:pPr>
        <w:pStyle w:val="ListBullet"/>
        <w:spacing w:before="20" w:after="20"/>
        <w:ind w:left="227"/>
      </w:pPr>
      <w:r>
        <w:rPr>
          <w:sz w:val="21"/>
        </w:rPr>
        <w:t xml:space="preserve">Pass 2: Embedded text items inside </w:t>
      </w:r>
      <w:r>
        <w:rPr>
          <w:rFonts w:ascii="Courier New" w:hAnsi="Courier New"/>
          <w:color w:val="D63384"/>
          <w:sz w:val="21"/>
        </w:rPr>
        <w:t>CL-AUTO</w:t>
      </w:r>
      <w:r>
        <w:rPr>
          <w:sz w:val="21"/>
        </w:rPr>
        <w:t xml:space="preserve"> clauses that start with </w:t>
      </w:r>
      <w:r>
        <w:rPr>
          <w:rFonts w:ascii="Courier New" w:hAnsi="Courier New"/>
          <w:color w:val="D63384"/>
          <w:sz w:val="21"/>
        </w:rPr>
        <w:t>A-</w:t>
      </w:r>
      <w:r>
        <w:rPr>
          <w:sz w:val="21"/>
        </w:rPr>
        <w:t xml:space="preserve"> are also indexed</w:t>
      </w:r>
    </w:p>
    <w:p>
      <w:pPr>
        <w:spacing w:before="40" w:after="120"/>
      </w:pPr>
      <w:r>
        <w:rPr>
          <w:sz w:val="21"/>
        </w:rPr>
        <w:t>Resolution tries exact match first (</w:t>
      </w:r>
      <w:r>
        <w:rPr>
          <w:rFonts w:ascii="Courier New" w:hAnsi="Courier New"/>
          <w:color w:val="D63384"/>
          <w:sz w:val="21"/>
        </w:rPr>
        <w:t>A-4.1.6.16.(6)</w:t>
      </w:r>
      <w:r>
        <w:rPr>
          <w:sz w:val="21"/>
        </w:rPr>
        <w:t>), then base match (</w:t>
      </w:r>
      <w:r>
        <w:rPr>
          <w:rFonts w:ascii="Courier New" w:hAnsi="Courier New"/>
          <w:color w:val="D63384"/>
          <w:sz w:val="21"/>
        </w:rPr>
        <w:t>A-4.1.6.16</w:t>
      </w:r>
      <w:r>
        <w:rPr>
          <w:sz w:val="21"/>
        </w:rPr>
        <w:t>).</w:t>
      </w:r>
    </w:p>
    <w:p>
      <w:pPr>
        <w:spacing w:before="40" w:after="120"/>
      </w:pPr>
      <w:r>
        <w:rPr>
          <w:b/>
          <w:color w:val="1E3A5F"/>
          <w:sz w:val="21"/>
        </w:rPr>
        <w:t>Important regex fix:</w:t>
      </w:r>
      <w:r>
        <w:rPr>
          <w:sz w:val="21"/>
        </w:rPr>
        <w:t xml:space="preserve"> The note patterns use </w:t>
      </w:r>
      <w:r>
        <w:rPr>
          <w:rFonts w:ascii="Courier New" w:hAnsi="Courier New"/>
          <w:color w:val="D63384"/>
          <w:sz w:val="21"/>
        </w:rPr>
        <w:t>\d+(?:\.\d+)*</w:t>
      </w:r>
      <w:r>
        <w:rPr>
          <w:sz w:val="21"/>
        </w:rPr>
        <w:t xml:space="preserve"> (not </w:t>
      </w:r>
      <w:r>
        <w:rPr>
          <w:rFonts w:ascii="Courier New" w:hAnsi="Courier New"/>
          <w:color w:val="D63384"/>
          <w:sz w:val="21"/>
        </w:rPr>
        <w:t>[\d\.]+</w:t>
      </w:r>
      <w:r>
        <w:rPr>
          <w:sz w:val="21"/>
        </w:rPr>
        <w:t xml:space="preserve">) to correctly parse sub-note identifiers like </w:t>
      </w:r>
      <w:r>
        <w:rPr>
          <w:rFonts w:ascii="Courier New" w:hAnsi="Courier New"/>
          <w:color w:val="D63384"/>
          <w:sz w:val="21"/>
        </w:rPr>
        <w:t>A-4.1.6.16.(6)</w:t>
      </w:r>
      <w:r>
        <w:rPr>
          <w:sz w:val="21"/>
        </w:rPr>
        <w:t xml:space="preserve">. The naive </w:t>
      </w:r>
      <w:r>
        <w:rPr>
          <w:rFonts w:ascii="Courier New" w:hAnsi="Courier New"/>
          <w:color w:val="D63384"/>
          <w:sz w:val="21"/>
        </w:rPr>
        <w:t>[\d\.]+</w:t>
      </w:r>
      <w:r>
        <w:rPr>
          <w:sz w:val="21"/>
        </w:rPr>
        <w:t xml:space="preserve"> greedily consumes the dot before </w:t>
      </w:r>
      <w:r>
        <w:rPr>
          <w:rFonts w:ascii="Courier New" w:hAnsi="Courier New"/>
          <w:color w:val="D63384"/>
          <w:sz w:val="21"/>
        </w:rPr>
        <w:t>.(6)</w:t>
      </w:r>
      <w:r>
        <w:rPr>
          <w:sz w:val="21"/>
        </w:rPr>
        <w:t xml:space="preserve"> making the sub-clause suffix unreachable.</w:t>
      </w:r>
    </w:p>
    <w:p>
      <w:pPr>
        <w:pBdr>
          <w:bottom w:val="single" w:sz="6" w:space="1" w:color="E2E6EA"/>
        </w:pBdr>
        <w:spacing w:before="160" w:after="160"/>
      </w:pPr>
    </w:p>
    <w:p>
      <w:pPr>
        <w:pStyle w:val="Heading3"/>
        <w:spacing w:before="240" w:after="40"/>
      </w:pPr>
      <w:r>
        <w:rPr>
          <w:b/>
          <w:color w:val="374151"/>
          <w:sz w:val="26"/>
        </w:rPr>
        <w:t>6.4 Parser — ai_enhancer.py</w:t>
      </w:r>
    </w:p>
    <w:p>
      <w:pPr>
        <w:spacing w:before="40" w:after="120"/>
      </w:pPr>
      <w:r>
        <w:rPr>
          <w:sz w:val="21"/>
        </w:rPr>
        <w:t>Optional Claude-powered enhancement. Currently adds semantic column labels to tables.</w:t>
      </w:r>
    </w:p>
    <w:p>
      <w:pPr>
        <w:spacing w:before="40" w:after="120"/>
      </w:pPr>
      <w:r>
        <w:rPr>
          <w:b/>
          <w:color w:val="1E3A5F"/>
          <w:sz w:val="21"/>
        </w:rPr>
        <w:t>Entry point: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from parser.ai_enhancer import enhance_document</w:t>
        <w:br/>
        <w:br/>
        <w:t>document_dict = enhance_document(document_dict, use_ai_for_tables=True)</w:t>
      </w:r>
    </w:p>
    <w:p>
      <w:pPr>
        <w:spacing w:before="40" w:after="120"/>
      </w:pPr>
      <w:r>
        <w:rPr>
          <w:sz w:val="21"/>
        </w:rPr>
        <w:t xml:space="preserve">Writes </w:t>
      </w:r>
      <w:r>
        <w:rPr>
          <w:rFonts w:ascii="Courier New" w:hAnsi="Courier New"/>
          <w:color w:val="D63384"/>
          <w:sz w:val="21"/>
        </w:rPr>
        <w:t>column_semantics[]</w:t>
      </w:r>
      <w:r>
        <w:rPr>
          <w:sz w:val="21"/>
        </w:rPr>
        <w:t xml:space="preserve"> on each table — a list of </w:t>
      </w:r>
      <w:r>
        <w:rPr>
          <w:rFonts w:ascii="Courier New" w:hAnsi="Courier New"/>
          <w:color w:val="D63384"/>
          <w:sz w:val="21"/>
        </w:rPr>
        <w:t>{original, semantic}</w:t>
      </w:r>
      <w:r>
        <w:rPr>
          <w:sz w:val="21"/>
        </w:rPr>
        <w:t xml:space="preserve"> dicts mapping raw header strings to descriptive labels (e.g. </w:t>
      </w:r>
      <w:r>
        <w:rPr>
          <w:rFonts w:ascii="Courier New" w:hAnsi="Courier New"/>
          <w:color w:val="D63384"/>
          <w:sz w:val="21"/>
        </w:rPr>
        <w:t>"Col 3"</w:t>
      </w:r>
      <w:r>
        <w:rPr>
          <w:sz w:val="21"/>
        </w:rPr>
        <w:t xml:space="preserve"> → </w:t>
      </w:r>
      <w:r>
        <w:rPr>
          <w:rFonts w:ascii="Courier New" w:hAnsi="Courier New"/>
          <w:color w:val="D63384"/>
          <w:sz w:val="21"/>
        </w:rPr>
        <w:t>"Factored Resistance (kN/m²)"</w:t>
      </w:r>
      <w:r>
        <w:rPr>
          <w:sz w:val="21"/>
        </w:rPr>
        <w:t>).</w:t>
      </w:r>
    </w:p>
    <w:p>
      <w:pPr>
        <w:spacing w:before="40" w:after="120"/>
      </w:pPr>
      <w:r>
        <w:rPr>
          <w:sz w:val="21"/>
        </w:rPr>
        <w:t xml:space="preserve">Only runs when </w:t>
      </w:r>
      <w:r>
        <w:rPr>
          <w:rFonts w:ascii="Courier New" w:hAnsi="Courier New"/>
          <w:color w:val="D63384"/>
          <w:sz w:val="21"/>
        </w:rPr>
        <w:t>--ai</w:t>
      </w:r>
      <w:r>
        <w:rPr>
          <w:sz w:val="21"/>
        </w:rPr>
        <w:t xml:space="preserve"> is passed to </w:t>
      </w:r>
      <w:r>
        <w:rPr>
          <w:rFonts w:ascii="Courier New" w:hAnsi="Courier New"/>
          <w:color w:val="D63384"/>
          <w:sz w:val="21"/>
        </w:rPr>
        <w:t>main.py</w:t>
      </w:r>
      <w:r>
        <w:rPr>
          <w:sz w:val="21"/>
        </w:rPr>
        <w:t>.</w:t>
      </w:r>
    </w:p>
    <w:p>
      <w:pPr>
        <w:pBdr>
          <w:bottom w:val="single" w:sz="6" w:space="1" w:color="E2E6EA"/>
        </w:pBdr>
        <w:spacing w:before="160" w:after="160"/>
      </w:pPr>
    </w:p>
    <w:p>
      <w:pPr>
        <w:pStyle w:val="Heading3"/>
        <w:spacing w:before="240" w:after="40"/>
      </w:pPr>
      <w:r>
        <w:rPr>
          <w:b/>
          <w:color w:val="374151"/>
          <w:sz w:val="26"/>
        </w:rPr>
        <w:t>6.5 Storage — document_store.py</w:t>
      </w:r>
    </w:p>
    <w:p>
      <w:pPr>
        <w:spacing w:before="40" w:after="120"/>
      </w:pPr>
      <w:r>
        <w:rPr>
          <w:sz w:val="21"/>
        </w:rPr>
        <w:t>Simple JSON file read/write plus search index builder.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from storage.document_store import save_document, load_document, build_search_index</w:t>
        <w:br/>
        <w:br/>
        <w:t>save_document(document_dict)          # → storage/output/structured_document.json</w:t>
        <w:br/>
        <w:t>doc = load_document()                 # loads structured_document.json</w:t>
        <w:br/>
        <w:t>index = build_search_index(doc)       # flat list for /search endpoint</w:t>
      </w:r>
    </w:p>
    <w:p>
      <w:pPr>
        <w:spacing w:before="40" w:after="120"/>
      </w:pPr>
      <w:r>
        <w:rPr>
          <w:rFonts w:ascii="Courier New" w:hAnsi="Courier New"/>
          <w:color w:val="D63384"/>
          <w:sz w:val="21"/>
        </w:rPr>
        <w:t>build_search_index()</w:t>
      </w:r>
      <w:r>
        <w:rPr>
          <w:sz w:val="21"/>
        </w:rPr>
        <w:t xml:space="preserve"> returns one entry per clause containing:</w:t>
      </w:r>
    </w:p>
    <w:p>
      <w:pPr>
        <w:pStyle w:val="ListBullet"/>
        <w:spacing w:before="20" w:after="20"/>
        <w:ind w:left="227"/>
      </w:pPr>
      <w:r>
        <w:rPr>
          <w:rFonts w:ascii="Courier New" w:hAnsi="Courier New"/>
          <w:color w:val="D63384"/>
          <w:sz w:val="21"/>
        </w:rPr>
        <w:t>id</w:t>
      </w:r>
      <w:r>
        <w:rPr>
          <w:sz w:val="21"/>
        </w:rPr>
        <w:t xml:space="preserve">, </w:t>
      </w:r>
      <w:r>
        <w:rPr>
          <w:rFonts w:ascii="Courier New" w:hAnsi="Courier New"/>
          <w:color w:val="D63384"/>
          <w:sz w:val="21"/>
        </w:rPr>
        <w:t>type</w:t>
      </w:r>
      <w:r>
        <w:rPr>
          <w:sz w:val="21"/>
        </w:rPr>
        <w:t xml:space="preserve">, </w:t>
      </w:r>
      <w:r>
        <w:rPr>
          <w:rFonts w:ascii="Courier New" w:hAnsi="Courier New"/>
          <w:color w:val="D63384"/>
          <w:sz w:val="21"/>
        </w:rPr>
        <w:t>number</w:t>
      </w:r>
      <w:r>
        <w:rPr>
          <w:sz w:val="21"/>
        </w:rPr>
        <w:t xml:space="preserve">, </w:t>
      </w:r>
      <w:r>
        <w:rPr>
          <w:rFonts w:ascii="Courier New" w:hAnsi="Courier New"/>
          <w:color w:val="D63384"/>
          <w:sz w:val="21"/>
        </w:rPr>
        <w:t>title</w:t>
      </w:r>
    </w:p>
    <w:p>
      <w:pPr>
        <w:pStyle w:val="ListBullet"/>
        <w:spacing w:before="20" w:after="20"/>
        <w:ind w:left="227"/>
      </w:pPr>
      <w:r>
        <w:rPr>
          <w:rFonts w:ascii="Courier New" w:hAnsi="Courier New"/>
          <w:color w:val="D63384"/>
          <w:sz w:val="21"/>
        </w:rPr>
        <w:t>text</w:t>
      </w:r>
      <w:r>
        <w:rPr>
          <w:sz w:val="21"/>
        </w:rPr>
        <w:t xml:space="preserve"> — all content items concatenated</w:t>
      </w:r>
    </w:p>
    <w:p>
      <w:pPr>
        <w:pStyle w:val="ListBullet"/>
        <w:spacing w:before="20" w:after="20"/>
        <w:ind w:left="227"/>
      </w:pPr>
      <w:r>
        <w:rPr>
          <w:rFonts w:ascii="Courier New" w:hAnsi="Courier New"/>
          <w:color w:val="D63384"/>
          <w:sz w:val="21"/>
        </w:rPr>
        <w:t>snippet</w:t>
      </w:r>
      <w:r>
        <w:rPr>
          <w:sz w:val="21"/>
        </w:rPr>
        <w:t xml:space="preserve"> — first 200 chars of first text item</w:t>
      </w:r>
    </w:p>
    <w:p>
      <w:pPr>
        <w:pStyle w:val="ListBullet"/>
        <w:spacing w:before="20" w:after="20"/>
        <w:ind w:left="227"/>
      </w:pPr>
      <w:r>
        <w:rPr>
          <w:rFonts w:ascii="Courier New" w:hAnsi="Courier New"/>
          <w:color w:val="D63384"/>
          <w:sz w:val="21"/>
        </w:rPr>
        <w:t>breadcrumb</w:t>
      </w:r>
      <w:r>
        <w:rPr>
          <w:sz w:val="21"/>
        </w:rPr>
        <w:t xml:space="preserve"> — </w:t>
      </w:r>
      <w:r>
        <w:rPr>
          <w:rFonts w:ascii="Courier New" w:hAnsi="Courier New"/>
          <w:color w:val="D63384"/>
          <w:sz w:val="21"/>
        </w:rPr>
        <w:t>"Chapter N &gt; M.K &gt; L"</w:t>
      </w:r>
    </w:p>
    <w:p>
      <w:pPr>
        <w:pStyle w:val="ListBullet"/>
        <w:spacing w:before="20" w:after="20"/>
        <w:ind w:left="227"/>
      </w:pPr>
      <w:r>
        <w:rPr>
          <w:rFonts w:ascii="Courier New" w:hAnsi="Courier New"/>
          <w:color w:val="D63384"/>
          <w:sz w:val="21"/>
        </w:rPr>
        <w:t>page</w:t>
      </w:r>
      <w:r>
        <w:rPr>
          <w:sz w:val="21"/>
        </w:rPr>
        <w:t xml:space="preserve"> — first page of the clause</w:t>
      </w:r>
    </w:p>
    <w:p>
      <w:pPr>
        <w:pBdr>
          <w:bottom w:val="single" w:sz="6" w:space="1" w:color="E2E6EA"/>
        </w:pBdr>
        <w:spacing w:before="160" w:after="160"/>
      </w:pPr>
    </w:p>
    <w:p>
      <w:pPr>
        <w:pStyle w:val="Heading3"/>
        <w:spacing w:before="240" w:after="40"/>
      </w:pPr>
      <w:r>
        <w:rPr>
          <w:b/>
          <w:color w:val="374151"/>
          <w:sz w:val="26"/>
        </w:rPr>
        <w:t>6.6 API — api/main.py</w:t>
      </w:r>
    </w:p>
    <w:p>
      <w:pPr>
        <w:spacing w:before="40" w:after="120"/>
      </w:pPr>
      <w:r>
        <w:rPr>
          <w:sz w:val="21"/>
        </w:rPr>
        <w:t>FastAPI application serving the structured document.</w:t>
      </w:r>
    </w:p>
    <w:p>
      <w:pPr>
        <w:spacing w:before="40" w:after="120"/>
      </w:pPr>
      <w:r>
        <w:rPr>
          <w:b/>
          <w:color w:val="1E3A5F"/>
          <w:sz w:val="21"/>
        </w:rPr>
        <w:t>Starting the server: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uvicorn api.main:app --reload --port 8000</w:t>
      </w:r>
    </w:p>
    <w:p>
      <w:pPr>
        <w:spacing w:before="40" w:after="120"/>
      </w:pPr>
      <w:r>
        <w:rPr>
          <w:sz w:val="21"/>
        </w:rPr>
        <w:t>The document is loaded once at startup and cached as module globals (</w:t>
      </w:r>
      <w:r>
        <w:rPr>
          <w:rFonts w:ascii="Courier New" w:hAnsi="Courier New"/>
          <w:color w:val="D63384"/>
          <w:sz w:val="21"/>
        </w:rPr>
        <w:t>_document_cache</w:t>
      </w:r>
      <w:r>
        <w:rPr>
          <w:sz w:val="21"/>
        </w:rPr>
        <w:t xml:space="preserve">, </w:t>
      </w:r>
      <w:r>
        <w:rPr>
          <w:rFonts w:ascii="Courier New" w:hAnsi="Courier New"/>
          <w:color w:val="D63384"/>
          <w:sz w:val="21"/>
        </w:rPr>
        <w:t>_search_index_cache</w:t>
      </w:r>
      <w:r>
        <w:rPr>
          <w:sz w:val="21"/>
        </w:rPr>
        <w:t xml:space="preserve">). CORS is configured for </w:t>
      </w:r>
      <w:r>
        <w:rPr>
          <w:rFonts w:ascii="Courier New" w:hAnsi="Courier New"/>
          <w:color w:val="D63384"/>
          <w:sz w:val="21"/>
        </w:rPr>
        <w:t>http://localhost:8501</w:t>
      </w:r>
      <w:r>
        <w:rPr>
          <w:sz w:val="21"/>
        </w:rPr>
        <w:t xml:space="preserve"> (Streamlit).</w:t>
      </w:r>
    </w:p>
    <w:p>
      <w:pPr>
        <w:pBdr>
          <w:bottom w:val="single" w:sz="6" w:space="1" w:color="E2E6EA"/>
        </w:pBdr>
        <w:spacing w:before="160" w:after="160"/>
      </w:pPr>
    </w:p>
    <w:p>
      <w:pPr>
        <w:pStyle w:val="Heading3"/>
        <w:spacing w:before="240" w:after="40"/>
      </w:pPr>
      <w:r>
        <w:rPr>
          <w:b/>
          <w:color w:val="374151"/>
          <w:sz w:val="26"/>
        </w:rPr>
        <w:t>6.7 Viewer — viewer_streamlit.py</w:t>
      </w:r>
    </w:p>
    <w:p>
      <w:pPr>
        <w:spacing w:before="40" w:after="120"/>
      </w:pPr>
      <w:r>
        <w:rPr>
          <w:sz w:val="21"/>
        </w:rPr>
        <w:t xml:space="preserve">The main user interface. Reads </w:t>
      </w:r>
      <w:r>
        <w:rPr>
          <w:rFonts w:ascii="Courier New" w:hAnsi="Courier New"/>
          <w:color w:val="D63384"/>
          <w:sz w:val="21"/>
        </w:rPr>
        <w:t>storage/output/structured_document.json</w:t>
      </w:r>
      <w:r>
        <w:rPr>
          <w:sz w:val="21"/>
        </w:rPr>
        <w:t xml:space="preserve"> directly.</w:t>
      </w:r>
    </w:p>
    <w:p>
      <w:pPr>
        <w:spacing w:before="40" w:after="120"/>
      </w:pPr>
      <w:r>
        <w:rPr>
          <w:b/>
          <w:color w:val="1E3A5F"/>
          <w:sz w:val="21"/>
        </w:rPr>
        <w:t>Starting the viewer: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streamlit run viewer_streamlit.py</w:t>
      </w:r>
    </w:p>
    <w:p>
      <w:pPr>
        <w:spacing w:before="40" w:after="120"/>
      </w:pPr>
      <w:r>
        <w:rPr>
          <w:b/>
          <w:color w:val="1E3A5F"/>
          <w:sz w:val="21"/>
        </w:rPr>
        <w:t>Deep linking:</w:t>
      </w:r>
      <w:r>
        <w:rPr>
          <w:sz w:val="21"/>
        </w:rPr>
        <w:t xml:space="preserve"> Append </w:t>
      </w:r>
      <w:r>
        <w:rPr>
          <w:rFonts w:ascii="Courier New" w:hAnsi="Courier New"/>
          <w:color w:val="D63384"/>
          <w:sz w:val="21"/>
        </w:rPr>
        <w:t>?clause=CL-4-1-6-5</w:t>
      </w:r>
      <w:r>
        <w:rPr>
          <w:sz w:val="21"/>
        </w:rPr>
        <w:t xml:space="preserve"> to the URL to navigate directly to a clause. The viewer reads </w:t>
      </w:r>
      <w:r>
        <w:rPr>
          <w:rFonts w:ascii="Courier New" w:hAnsi="Courier New"/>
          <w:color w:val="D63384"/>
          <w:sz w:val="21"/>
        </w:rPr>
        <w:t>st.query_params["clause"]</w:t>
      </w:r>
      <w:r>
        <w:rPr>
          <w:sz w:val="21"/>
        </w:rPr>
        <w:t xml:space="preserve"> on load.</w:t>
      </w:r>
    </w:p>
    <w:p>
      <w:pPr>
        <w:spacing w:before="40" w:after="120"/>
      </w:pPr>
      <w:r>
        <w:rPr>
          <w:b/>
          <w:color w:val="1E3A5F"/>
          <w:sz w:val="21"/>
        </w:rPr>
        <w:t>Math rendering:</w:t>
      </w:r>
      <w:r>
        <w:rPr>
          <w:sz w:val="21"/>
        </w:rPr>
        <w:t xml:space="preserve"> Inline </w:t>
      </w:r>
      <w:r>
        <w:rPr>
          <w:rFonts w:ascii="Courier New" w:hAnsi="Courier New"/>
          <w:color w:val="D63384"/>
          <w:sz w:val="21"/>
        </w:rPr>
        <w:t>$...$</w:t>
      </w:r>
      <w:r>
        <w:rPr>
          <w:sz w:val="21"/>
        </w:rPr>
        <w:t xml:space="preserve"> expressions are rendered as KaTeX by Streamlit's markdown engine. Display equations use </w:t>
      </w:r>
      <w:r>
        <w:rPr>
          <w:rFonts w:ascii="Courier New" w:hAnsi="Courier New"/>
          <w:color w:val="D63384"/>
          <w:sz w:val="21"/>
        </w:rPr>
        <w:t>st.latex()</w:t>
      </w:r>
      <w:r>
        <w:rPr>
          <w:sz w:val="21"/>
        </w:rPr>
        <w:t>. HTML tables render math via the KaTeX CDN (</w:t>
      </w:r>
      <w:r>
        <w:rPr>
          <w:rFonts w:ascii="Courier New" w:hAnsi="Courier New"/>
          <w:color w:val="D63384"/>
          <w:sz w:val="21"/>
        </w:rPr>
        <w:t>v0.16.9</w:t>
      </w:r>
      <w:r>
        <w:rPr>
          <w:sz w:val="21"/>
        </w:rPr>
        <w:t>) inside an iframe.</w:t>
      </w:r>
    </w:p>
    <w:p>
      <w:pPr>
        <w:spacing w:before="40" w:after="120"/>
      </w:pPr>
      <w:r>
        <w:rPr>
          <w:b/>
          <w:color w:val="1E3A5F"/>
          <w:sz w:val="21"/>
        </w:rPr>
        <w:t>Inline note buttons:</w:t>
      </w:r>
      <w:r>
        <w:rPr>
          <w:sz w:val="21"/>
        </w:rPr>
        <w:t xml:space="preserve"> Text items containing </w:t>
      </w:r>
      <w:r>
        <w:rPr>
          <w:rFonts w:ascii="Courier New" w:hAnsi="Courier New"/>
          <w:color w:val="D63384"/>
          <w:sz w:val="21"/>
        </w:rPr>
        <w:t>(See Note A-X.X.X.(N).)</w:t>
      </w:r>
      <w:r>
        <w:rPr>
          <w:sz w:val="21"/>
        </w:rPr>
        <w:t xml:space="preserve"> are split and the note segment is rendered as a clickable button if the note resolves to a clause in this PDF, or as a styled amber badge if it is in an external PDF.</w:t>
      </w:r>
    </w:p>
    <w:p>
      <w:pPr>
        <w:pBdr>
          <w:bottom w:val="single" w:sz="6" w:space="1" w:color="E2E6EA"/>
        </w:pBdr>
        <w:spacing w:before="160" w:after="160"/>
      </w:pPr>
    </w:p>
    <w:p>
      <w:pPr>
        <w:pStyle w:val="Heading2"/>
        <w:spacing w:before="320" w:after="80"/>
      </w:pPr>
      <w:r>
        <w:rPr>
          <w:b/>
          <w:color w:val="1E3A5F"/>
          <w:sz w:val="30"/>
        </w:rPr>
        <w:t>7. Viewer Usage Guide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Browse Mode</w:t>
      </w:r>
    </w:p>
    <w:p>
      <w:pPr>
        <w:pStyle w:val="ListNumber"/>
        <w:spacing w:before="20" w:after="20"/>
        <w:ind w:left="227"/>
      </w:pPr>
      <w:r>
        <w:rPr>
          <w:sz w:val="21"/>
        </w:rPr>
        <w:t xml:space="preserve">Select a </w:t>
      </w:r>
      <w:r>
        <w:rPr>
          <w:b/>
          <w:color w:val="1E3A5F"/>
          <w:sz w:val="21"/>
        </w:rPr>
        <w:t>Chapter</w:t>
      </w:r>
      <w:r>
        <w:rPr>
          <w:sz w:val="21"/>
        </w:rPr>
        <w:t xml:space="preserve"> in the left sidebar</w:t>
      </w:r>
    </w:p>
    <w:p>
      <w:pPr>
        <w:pStyle w:val="ListNumber"/>
        <w:spacing w:before="20" w:after="20"/>
        <w:ind w:left="227"/>
      </w:pPr>
      <w:r>
        <w:rPr>
          <w:sz w:val="21"/>
        </w:rPr>
        <w:t xml:space="preserve">Select a </w:t>
      </w:r>
      <w:r>
        <w:rPr>
          <w:b/>
          <w:color w:val="1E3A5F"/>
          <w:sz w:val="21"/>
        </w:rPr>
        <w:t>Section</w:t>
      </w:r>
    </w:p>
    <w:p>
      <w:pPr>
        <w:pStyle w:val="ListNumber"/>
        <w:spacing w:before="20" w:after="20"/>
        <w:ind w:left="227"/>
      </w:pPr>
      <w:r>
        <w:rPr>
          <w:sz w:val="21"/>
        </w:rPr>
        <w:t>Clause content appears in the main area — tabs for ≤6 clauses, a dropdown for more</w:t>
      </w:r>
    </w:p>
    <w:p>
      <w:pPr>
        <w:spacing w:before="40" w:after="120"/>
      </w:pPr>
      <w:r>
        <w:rPr>
          <w:b/>
          <w:color w:val="1E3A5F"/>
          <w:sz w:val="21"/>
        </w:rPr>
        <w:t>Navigating references:</w:t>
      </w:r>
    </w:p>
    <w:p>
      <w:pPr>
        <w:pStyle w:val="ListBullet"/>
        <w:spacing w:before="20" w:after="20"/>
        <w:ind w:left="227"/>
      </w:pPr>
      <w:r>
        <w:rPr>
          <w:sz w:val="21"/>
        </w:rPr>
        <w:t>Blue buttons in the clause body = resolved cross-references → click to jump</w:t>
      </w:r>
    </w:p>
    <w:p>
      <w:pPr>
        <w:pStyle w:val="ListBullet"/>
        <w:spacing w:before="20" w:after="20"/>
        <w:ind w:left="227"/>
      </w:pPr>
      <w:r>
        <w:rPr>
          <w:sz w:val="21"/>
        </w:rPr>
        <w:t>Grey badges = unresolved (target is in a different PDF)</w:t>
      </w:r>
    </w:p>
    <w:p>
      <w:pPr>
        <w:pStyle w:val="ListBullet"/>
        <w:spacing w:before="20" w:after="20"/>
        <w:ind w:left="227"/>
      </w:pPr>
      <w:r>
        <w:rPr>
          <w:sz w:val="21"/>
        </w:rPr>
        <w:t>Green buttons = resolved appendix notes → click to jump to appendix clause</w:t>
      </w:r>
    </w:p>
    <w:p>
      <w:pPr>
        <w:pStyle w:val="ListBullet"/>
        <w:spacing w:before="20" w:after="20"/>
        <w:ind w:left="227"/>
      </w:pPr>
      <w:r>
        <w:rPr>
          <w:sz w:val="21"/>
        </w:rPr>
        <w:t>Amber badges = external appendix notes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Search Mode</w:t>
      </w:r>
    </w:p>
    <w:p>
      <w:pPr>
        <w:spacing w:before="40" w:after="120"/>
      </w:pPr>
      <w:r>
        <w:rPr>
          <w:sz w:val="21"/>
        </w:rPr>
        <w:t>Type two or more characters to search across all clause titles and body text. Results show a snippet with the matching term in context. Click any result to navigate.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Flagged Issues Mode</w:t>
      </w:r>
    </w:p>
    <w:p>
      <w:pPr>
        <w:spacing w:before="40" w:after="120"/>
      </w:pPr>
      <w:r>
        <w:rPr>
          <w:sz w:val="21"/>
        </w:rPr>
        <w:t xml:space="preserve">While browsing, click the </w:t>
      </w:r>
      <w:r>
        <w:rPr>
          <w:b/>
          <w:color w:val="1E3A5F"/>
          <w:sz w:val="21"/>
        </w:rPr>
        <w:t>🚩 Flag an issue</w:t>
      </w:r>
      <w:r>
        <w:rPr>
          <w:sz w:val="21"/>
        </w:rPr>
        <w:t xml:space="preserve"> expander inside any clause to mark a parsing problem. Choose an issue type and add a note. All flags are saved to </w:t>
      </w:r>
      <w:r>
        <w:rPr>
          <w:rFonts w:ascii="Courier New" w:hAnsi="Courier New"/>
          <w:color w:val="D63384"/>
          <w:sz w:val="21"/>
        </w:rPr>
        <w:t>storage/output/flagged_issues.json</w:t>
      </w:r>
      <w:r>
        <w:rPr>
          <w:sz w:val="21"/>
        </w:rPr>
        <w:t xml:space="preserve"> and reviewable in this tab.</w:t>
      </w:r>
    </w:p>
    <w:p>
      <w:pPr>
        <w:spacing w:before="40" w:after="120"/>
      </w:pPr>
      <w:r>
        <w:rPr>
          <w:b/>
          <w:color w:val="1E3A5F"/>
          <w:sz w:val="21"/>
        </w:rPr>
        <w:t>Issue types available:</w:t>
      </w:r>
    </w:p>
    <w:p>
      <w:pPr>
        <w:pStyle w:val="ListBullet"/>
        <w:spacing w:before="20" w:after="20"/>
        <w:ind w:left="227"/>
      </w:pPr>
      <w:r>
        <w:rPr>
          <w:sz w:val="21"/>
        </w:rPr>
        <w:t>Missing text, Wrong hierarchy, Table error, Sub-clause split wrong</w:t>
      </w:r>
    </w:p>
    <w:p>
      <w:pPr>
        <w:pStyle w:val="ListBullet"/>
        <w:spacing w:before="20" w:after="20"/>
        <w:ind w:left="227"/>
      </w:pPr>
      <w:r>
        <w:rPr>
          <w:sz w:val="21"/>
        </w:rPr>
        <w:t>Equation wrong, Figure missing, Figure wrong position</w:t>
      </w:r>
    </w:p>
    <w:p>
      <w:pPr>
        <w:pStyle w:val="ListBullet"/>
        <w:spacing w:before="20" w:after="20"/>
        <w:ind w:left="227"/>
      </w:pPr>
      <w:r>
        <w:rPr>
          <w:sz w:val="21"/>
        </w:rPr>
        <w:t>Reference not resolved, Wrong page number, Other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Stats &amp; Raw Mode</w:t>
      </w:r>
    </w:p>
    <w:p>
      <w:pPr>
        <w:spacing w:before="40" w:after="120"/>
      </w:pPr>
      <w:r>
        <w:rPr>
          <w:sz w:val="21"/>
        </w:rPr>
        <w:t>Shows:</w:t>
      </w:r>
    </w:p>
    <w:p>
      <w:pPr>
        <w:pStyle w:val="ListBullet"/>
        <w:spacing w:before="20" w:after="20"/>
        <w:ind w:left="227"/>
      </w:pPr>
      <w:r>
        <w:rPr>
          <w:sz w:val="21"/>
        </w:rPr>
        <w:t>Per-chapter clause and section counts</w:t>
      </w:r>
    </w:p>
    <w:p>
      <w:pPr>
        <w:pStyle w:val="ListBullet"/>
        <w:spacing w:before="20" w:after="20"/>
        <w:ind w:left="227"/>
      </w:pPr>
      <w:r>
        <w:rPr>
          <w:sz w:val="21"/>
        </w:rPr>
        <w:t>Reference resolution rate</w:t>
      </w:r>
    </w:p>
    <w:p>
      <w:pPr>
        <w:pStyle w:val="ListBullet"/>
        <w:spacing w:before="20" w:after="20"/>
        <w:ind w:left="227"/>
      </w:pPr>
      <w:r>
        <w:rPr>
          <w:sz w:val="21"/>
        </w:rPr>
        <w:t>Table of all unresolved references per clause</w:t>
      </w:r>
    </w:p>
    <w:p>
      <w:pPr>
        <w:pStyle w:val="ListBullet"/>
        <w:spacing w:before="20" w:after="20"/>
        <w:ind w:left="227"/>
      </w:pPr>
      <w:r>
        <w:rPr>
          <w:sz w:val="21"/>
        </w:rPr>
        <w:t>Download button for the full structured JSON</w:t>
      </w:r>
    </w:p>
    <w:p>
      <w:pPr>
        <w:pBdr>
          <w:bottom w:val="single" w:sz="6" w:space="1" w:color="E2E6EA"/>
        </w:pBdr>
        <w:spacing w:before="160" w:after="160"/>
      </w:pPr>
    </w:p>
    <w:p>
      <w:pPr>
        <w:pStyle w:val="Heading2"/>
        <w:spacing w:before="320" w:after="80"/>
      </w:pPr>
      <w:r>
        <w:rPr>
          <w:b/>
          <w:color w:val="1E3A5F"/>
          <w:sz w:val="30"/>
        </w:rPr>
        <w:t>8. REST API Reference</w:t>
      </w:r>
    </w:p>
    <w:p>
      <w:pPr>
        <w:spacing w:before="40" w:after="120"/>
      </w:pPr>
      <w:r>
        <w:rPr>
          <w:sz w:val="21"/>
        </w:rPr>
        <w:t xml:space="preserve">Base URL: </w:t>
      </w:r>
      <w:r>
        <w:rPr>
          <w:rFonts w:ascii="Courier New" w:hAnsi="Courier New"/>
          <w:color w:val="D63384"/>
          <w:sz w:val="21"/>
        </w:rPr>
        <w:t>http://localhost:8000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GET /</w:t>
      </w:r>
    </w:p>
    <w:p>
      <w:pPr>
        <w:spacing w:before="40" w:after="120"/>
      </w:pPr>
      <w:r>
        <w:rPr>
          <w:sz w:val="21"/>
        </w:rPr>
        <w:t>Health check.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{"status": "ok", "message": "Building Code API is running"}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GET /document</w:t>
      </w:r>
    </w:p>
    <w:p>
      <w:pPr>
        <w:spacing w:before="40" w:after="120"/>
      </w:pPr>
      <w:r>
        <w:rPr>
          <w:sz w:val="21"/>
        </w:rPr>
        <w:t>Returns the full document tree. Can be large (1–2 MB).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GET /document/summary</w:t>
      </w:r>
    </w:p>
    <w:p>
      <w:pPr>
        <w:spacing w:before="40" w:after="120"/>
      </w:pPr>
      <w:r>
        <w:rPr>
          <w:sz w:val="21"/>
        </w:rPr>
        <w:t>Lightweight navigation tree. Returns chapter/section structure with clause counts but no clause body content. Use this for sidebar navigation in a frontend.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GET /section/{section_id}</w:t>
      </w:r>
    </w:p>
    <w:p>
      <w:pPr>
        <w:spacing w:before="40" w:after="120"/>
      </w:pPr>
      <w:r>
        <w:rPr>
          <w:sz w:val="21"/>
        </w:rPr>
        <w:t>Returns a single section with all its clauses.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GET /section/SEC-4-1-6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GET /clause/{clause_id}</w:t>
      </w:r>
    </w:p>
    <w:p>
      <w:pPr>
        <w:spacing w:before="40" w:after="120"/>
      </w:pPr>
      <w:r>
        <w:rPr>
          <w:sz w:val="21"/>
        </w:rPr>
        <w:t xml:space="preserve">Returns a single clause with a </w:t>
      </w:r>
      <w:r>
        <w:rPr>
          <w:rFonts w:ascii="Courier New" w:hAnsi="Courier New"/>
          <w:color w:val="D63384"/>
          <w:sz w:val="21"/>
        </w:rPr>
        <w:t>_breadcrumb</w:t>
      </w:r>
      <w:r>
        <w:rPr>
          <w:sz w:val="21"/>
        </w:rPr>
        <w:t xml:space="preserve"> context object.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GET /clause/CL-4-1-6-5</w:t>
      </w:r>
    </w:p>
    <w:p>
      <w:pPr>
        <w:spacing w:before="40" w:after="120"/>
      </w:pPr>
      <w:r>
        <w:rPr>
          <w:sz w:val="21"/>
        </w:rPr>
        <w:t xml:space="preserve">Response includes a </w:t>
      </w:r>
      <w:r>
        <w:rPr>
          <w:rFonts w:ascii="Courier New" w:hAnsi="Courier New"/>
          <w:color w:val="D63384"/>
          <w:sz w:val="21"/>
        </w:rPr>
        <w:t>_breadcrumb</w:t>
      </w:r>
      <w:r>
        <w:rPr>
          <w:sz w:val="21"/>
        </w:rPr>
        <w:t xml:space="preserve"> field: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"_breadcrumb": {</w:t>
        <w:br/>
        <w:t xml:space="preserve">    "chapter": {"id": "CH-4", "title": "Structural Design"},</w:t>
        <w:br/>
        <w:t xml:space="preserve">    "section": {"id": "SEC-4-1-6", "title": "Snow Loads"}</w:t>
        <w:br/>
        <w:t>}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GET /search?q={term}</w:t>
      </w:r>
    </w:p>
    <w:p>
      <w:pPr>
        <w:spacing w:before="40" w:after="120"/>
      </w:pPr>
      <w:r>
        <w:rPr>
          <w:sz w:val="21"/>
        </w:rPr>
        <w:t>Full-text search. Minimum 2 characters. Returns up to 50 results.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GET /search?q=snow+load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{</w:t>
        <w:br/>
        <w:t xml:space="preserve">    "query": "snow load",</w:t>
        <w:br/>
        <w:t xml:space="preserve">    "count": 12,</w:t>
        <w:br/>
        <w:t xml:space="preserve">    "results": [</w:t>
        <w:br/>
        <w:t xml:space="preserve">        {</w:t>
        <w:br/>
        <w:t xml:space="preserve">            "id": "CL-4-1-6-2",</w:t>
        <w:br/>
        <w:t xml:space="preserve">            "number": "4.1.6.2",</w:t>
        <w:br/>
        <w:t xml:space="preserve">            "title": "Specified Snow Load",</w:t>
        <w:br/>
        <w:t xml:space="preserve">            "breadcrumb": "Chapter 4 &gt; 4.1 &gt; 4.1.6",</w:t>
        <w:br/>
        <w:t xml:space="preserve">            "snippet": "...the specified snow load, S, shall be...",</w:t>
        <w:br/>
        <w:t xml:space="preserve">            "page": 38</w:t>
        <w:br/>
        <w:t xml:space="preserve">        }</w:t>
        <w:br/>
        <w:t xml:space="preserve">    ]</w:t>
        <w:br/>
        <w:t>}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GET /references/{node_id}</w:t>
      </w:r>
    </w:p>
    <w:p>
      <w:pPr>
        <w:spacing w:before="40" w:after="120"/>
      </w:pPr>
      <w:r>
        <w:rPr>
          <w:sz w:val="21"/>
        </w:rPr>
        <w:t>Reverse lookup: which clauses contain a reference pointing to this node.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GET /references/CL-4-1-6-5</w:t>
      </w:r>
    </w:p>
    <w:p>
      <w:pPr>
        <w:pBdr>
          <w:bottom w:val="single" w:sz="6" w:space="1" w:color="E2E6EA"/>
        </w:pBdr>
        <w:spacing w:before="160" w:after="160"/>
      </w:pPr>
    </w:p>
    <w:p>
      <w:pPr>
        <w:pStyle w:val="Heading2"/>
        <w:spacing w:before="320" w:after="80"/>
      </w:pPr>
      <w:r>
        <w:rPr>
          <w:b/>
          <w:color w:val="1E3A5F"/>
          <w:sz w:val="30"/>
        </w:rPr>
        <w:t>9. Testing with Different PDFs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What PDFs Work Well</w:t>
      </w:r>
    </w:p>
    <w:p>
      <w:pPr>
        <w:spacing w:before="40" w:after="120"/>
      </w:pPr>
      <w:r>
        <w:rPr>
          <w:sz w:val="21"/>
        </w:rPr>
        <w:t xml:space="preserve">The parser is optimised for </w:t>
      </w:r>
      <w:r>
        <w:rPr>
          <w:b/>
          <w:color w:val="1E3A5F"/>
          <w:sz w:val="21"/>
        </w:rPr>
        <w:t>structured technical/regulatory documents</w:t>
      </w:r>
      <w:r>
        <w:rPr>
          <w:sz w:val="21"/>
        </w:rPr>
        <w:t xml:space="preserve"> such as:</w:t>
      </w:r>
    </w:p>
    <w:p>
      <w:pPr>
        <w:pStyle w:val="ListBullet"/>
        <w:spacing w:before="20" w:after="20"/>
        <w:ind w:left="227"/>
      </w:pPr>
      <w:r>
        <w:rPr>
          <w:sz w:val="21"/>
        </w:rPr>
        <w:t>Building codes (BCBC, NBC, OBC, IBC, Eurocodes)</w:t>
      </w:r>
    </w:p>
    <w:p>
      <w:pPr>
        <w:pStyle w:val="ListBullet"/>
        <w:spacing w:before="20" w:after="20"/>
        <w:ind w:left="227"/>
      </w:pPr>
      <w:r>
        <w:rPr>
          <w:sz w:val="21"/>
        </w:rPr>
        <w:t>Engineering standards (CSA, ASTM, ISO)</w:t>
      </w:r>
    </w:p>
    <w:p>
      <w:pPr>
        <w:pStyle w:val="ListBullet"/>
        <w:spacing w:before="20" w:after="20"/>
        <w:ind w:left="227"/>
      </w:pPr>
      <w:r>
        <w:rPr>
          <w:sz w:val="21"/>
        </w:rPr>
        <w:t>Municipal bylaws with numbered clause hierarchies</w:t>
      </w:r>
    </w:p>
    <w:p>
      <w:pPr>
        <w:spacing w:before="40" w:after="120"/>
      </w:pPr>
      <w:r>
        <w:rPr>
          <w:sz w:val="21"/>
        </w:rPr>
        <w:t>Key characteristics of a compatible PDF:</w:t>
      </w:r>
    </w:p>
    <w:p>
      <w:pPr>
        <w:pStyle w:val="ListBullet"/>
        <w:spacing w:before="20" w:after="20"/>
        <w:ind w:left="227"/>
      </w:pPr>
      <w:r>
        <w:rPr>
          <w:sz w:val="21"/>
        </w:rPr>
        <w:t xml:space="preserve">Numbered sections in a hierarchical pattern (e.g. </w:t>
      </w:r>
      <w:r>
        <w:rPr>
          <w:rFonts w:ascii="Courier New" w:hAnsi="Courier New"/>
          <w:color w:val="D63384"/>
          <w:sz w:val="21"/>
        </w:rPr>
        <w:t>4.1.6.5</w:t>
      </w:r>
      <w:r>
        <w:rPr>
          <w:sz w:val="21"/>
        </w:rPr>
        <w:t xml:space="preserve">, </w:t>
      </w:r>
      <w:r>
        <w:rPr>
          <w:rFonts w:ascii="Courier New" w:hAnsi="Courier New"/>
          <w:color w:val="D63384"/>
          <w:sz w:val="21"/>
        </w:rPr>
        <w:t>Clause 3.2.1</w:t>
      </w:r>
      <w:r>
        <w:rPr>
          <w:sz w:val="21"/>
        </w:rPr>
        <w:t>)</w:t>
      </w:r>
    </w:p>
    <w:p>
      <w:pPr>
        <w:pStyle w:val="ListBullet"/>
        <w:spacing w:before="20" w:after="20"/>
        <w:ind w:left="227"/>
      </w:pPr>
      <w:r>
        <w:rPr>
          <w:sz w:val="21"/>
        </w:rPr>
        <w:t xml:space="preserve">Consistent heading levels (PDF headings → Datalab </w:t>
      </w:r>
      <w:r>
        <w:rPr>
          <w:rFonts w:ascii="Courier New" w:hAnsi="Courier New"/>
          <w:color w:val="D63384"/>
          <w:sz w:val="21"/>
        </w:rPr>
        <w:t>SectionHeader</w:t>
      </w:r>
      <w:r>
        <w:rPr>
          <w:sz w:val="21"/>
        </w:rPr>
        <w:t xml:space="preserve"> blocks)</w:t>
      </w:r>
    </w:p>
    <w:p>
      <w:pPr>
        <w:pStyle w:val="ListBullet"/>
        <w:spacing w:before="20" w:after="20"/>
        <w:ind w:left="227"/>
      </w:pPr>
      <w:r>
        <w:rPr>
          <w:sz w:val="21"/>
        </w:rPr>
        <w:t xml:space="preserve">HTML tables with </w:t>
      </w:r>
      <w:r>
        <w:rPr>
          <w:rFonts w:ascii="Courier New" w:hAnsi="Courier New"/>
          <w:color w:val="D63384"/>
          <w:sz w:val="21"/>
        </w:rPr>
        <w:t>&lt;thead&gt;</w:t>
      </w:r>
      <w:r>
        <w:rPr>
          <w:sz w:val="21"/>
        </w:rPr>
        <w:t xml:space="preserve"> / </w:t>
      </w:r>
      <w:r>
        <w:rPr>
          <w:rFonts w:ascii="Courier New" w:hAnsi="Courier New"/>
          <w:color w:val="D63384"/>
          <w:sz w:val="21"/>
        </w:rPr>
        <w:t>&lt;tbody&gt;</w:t>
      </w:r>
      <w:r>
        <w:rPr>
          <w:sz w:val="21"/>
        </w:rPr>
        <w:t xml:space="preserve"> structure</w:t>
      </w:r>
    </w:p>
    <w:p>
      <w:pPr>
        <w:pStyle w:val="ListBullet"/>
        <w:spacing w:before="20" w:after="20"/>
        <w:ind w:left="227"/>
      </w:pPr>
      <w:r>
        <w:rPr>
          <w:sz w:val="21"/>
        </w:rPr>
        <w:t>Equations in MathML or as image+alt-text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Step-by-Step: Testing a New PDF</w:t>
      </w:r>
    </w:p>
    <w:p>
      <w:pPr>
        <w:spacing w:before="40" w:after="120"/>
      </w:pPr>
      <w:r>
        <w:rPr>
          <w:b/>
          <w:color w:val="1E3A5F"/>
          <w:sz w:val="21"/>
        </w:rPr>
        <w:t>1. Run the pipeline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python main.py your_new_document.pdf</w:t>
      </w:r>
    </w:p>
    <w:p>
      <w:pPr>
        <w:spacing w:before="40" w:after="120"/>
      </w:pPr>
      <w:r>
        <w:rPr>
          <w:b/>
          <w:color w:val="1E3A5F"/>
          <w:sz w:val="21"/>
        </w:rPr>
        <w:t>2. Check the extraction summary</w:t>
      </w:r>
    </w:p>
    <w:p>
      <w:pPr>
        <w:spacing w:before="40" w:after="120"/>
      </w:pPr>
      <w:r>
        <w:rPr>
          <w:sz w:val="21"/>
        </w:rPr>
        <w:t>The pipeline prints: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Chapters:    X</w:t>
        <w:br/>
        <w:t>Sections:    Y</w:t>
        <w:br/>
        <w:t>Clauses:     Z</w:t>
        <w:br/>
        <w:t>Tables:      N</w:t>
        <w:br/>
        <w:t>References:  NNN found, XX.X% resolved</w:t>
      </w:r>
    </w:p>
    <w:p>
      <w:pPr>
        <w:spacing w:before="40" w:after="120"/>
      </w:pPr>
      <w:r>
        <w:rPr>
          <w:sz w:val="21"/>
        </w:rPr>
        <w:t>A reference resolution rate below 80% suggests the document numbering pattern differs from the current regex rules.</w:t>
      </w:r>
    </w:p>
    <w:p>
      <w:pPr>
        <w:spacing w:before="40" w:after="120"/>
      </w:pPr>
      <w:r>
        <w:rPr>
          <w:b/>
          <w:color w:val="1E3A5F"/>
          <w:sz w:val="21"/>
        </w:rPr>
        <w:t>3. Open the viewer and spot-check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streamlit run viewer_streamlit.py</w:t>
      </w:r>
    </w:p>
    <w:p>
      <w:pPr>
        <w:pStyle w:val="ListBullet"/>
        <w:spacing w:before="20" w:after="20"/>
        <w:ind w:left="227"/>
      </w:pPr>
      <w:r>
        <w:rPr>
          <w:sz w:val="21"/>
        </w:rPr>
        <w:t>Open Browse mode and navigate to a known clause</w:t>
      </w:r>
    </w:p>
    <w:p>
      <w:pPr>
        <w:pStyle w:val="ListBullet"/>
        <w:spacing w:before="20" w:after="20"/>
        <w:ind w:left="227"/>
      </w:pPr>
      <w:r>
        <w:rPr>
          <w:sz w:val="21"/>
        </w:rPr>
        <w:t>Check that the clause hierarchy matches the PDF structure</w:t>
      </w:r>
    </w:p>
    <w:p>
      <w:pPr>
        <w:pStyle w:val="ListBullet"/>
        <w:spacing w:before="20" w:after="20"/>
        <w:ind w:left="227"/>
      </w:pPr>
      <w:r>
        <w:rPr>
          <w:sz w:val="21"/>
        </w:rPr>
        <w:t>Verify a table is rendered correctly</w:t>
      </w:r>
    </w:p>
    <w:p>
      <w:pPr>
        <w:pStyle w:val="ListBullet"/>
        <w:spacing w:before="20" w:after="20"/>
        <w:ind w:left="227"/>
      </w:pPr>
      <w:r>
        <w:rPr>
          <w:sz w:val="21"/>
        </w:rPr>
        <w:t>Search for a term you know exists</w:t>
      </w:r>
    </w:p>
    <w:p>
      <w:pPr>
        <w:spacing w:before="40" w:after="120"/>
      </w:pPr>
      <w:r>
        <w:rPr>
          <w:b/>
          <w:color w:val="1E3A5F"/>
          <w:sz w:val="21"/>
        </w:rPr>
        <w:t>4. Common issues with different PDFs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135"/>
            <w:vAlign w:val="center"/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Likely cause</w:t>
            </w:r>
          </w:p>
        </w:tc>
        <w:tc>
          <w:tcPr>
            <w:tcW w:type="dxa" w:w="3135"/>
            <w:vAlign w:val="center"/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What to check</w:t>
            </w:r>
          </w:p>
        </w:tc>
      </w:tr>
      <w:tr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All content in one clause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Heading levels not detected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t xml:space="preserve">Check if Datalab returns </w:t>
            </w:r>
            <w:r>
              <w:rPr>
                <w:rFonts w:ascii="Courier New" w:hAnsi="Courier New"/>
                <w:color w:val="D63384"/>
                <w:sz w:val="19"/>
              </w:rPr>
              <w:t>SectionHeader</w:t>
            </w:r>
            <w:r>
              <w:rPr>
                <w:sz w:val="19"/>
              </w:rPr>
              <w:t xml:space="preserve"> blocks; PDF may use images for headings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Low reference resolution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Different numbering pattern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t xml:space="preserve">The PDF may use </w:t>
            </w:r>
            <w:r>
              <w:rPr>
                <w:rFonts w:ascii="Courier New" w:hAnsi="Courier New"/>
                <w:color w:val="D63384"/>
                <w:sz w:val="19"/>
              </w:rPr>
              <w:t>Clause X.X</w:t>
            </w:r>
            <w:r>
              <w:t xml:space="preserve"> or </w:t>
            </w:r>
            <w:r>
              <w:rPr>
                <w:rFonts w:ascii="Courier New" w:hAnsi="Courier New"/>
                <w:color w:val="D63384"/>
                <w:sz w:val="19"/>
              </w:rPr>
              <w:t>Art. X</w:t>
            </w:r>
            <w:r>
              <w:t xml:space="preserve"> — check </w:t>
            </w:r>
            <w:r>
              <w:rPr>
                <w:rFonts w:ascii="Courier New" w:hAnsi="Courier New"/>
                <w:color w:val="D63384"/>
                <w:sz w:val="19"/>
              </w:rPr>
              <w:t>REFERENCE_PATTERNS</w:t>
            </w:r>
            <w:r>
              <w:t xml:space="preserve"> in </w:t>
            </w:r>
            <w:r>
              <w:rPr>
                <w:rFonts w:ascii="Courier New" w:hAnsi="Courier New"/>
                <w:color w:val="D63384"/>
                <w:sz w:val="19"/>
              </w:rPr>
              <w:t>reference_linker.py</w:t>
            </w:r>
          </w:p>
        </w:tc>
      </w:tr>
      <w:tr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Tables rendering as empty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Datalab table HTML format differs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Check the raw JSON for table HTML structure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Missing equations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Equations as images only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20" w:after="20"/>
            </w:pPr>
            <w:r>
              <w:t xml:space="preserve">Datalab </w:t>
            </w:r>
            <w:r>
              <w:rPr>
                <w:rFonts w:ascii="Courier New" w:hAnsi="Courier New"/>
                <w:color w:val="D63384"/>
                <w:sz w:val="19"/>
              </w:rPr>
              <w:t>use_llm=true</w:t>
            </w:r>
            <w:r>
              <w:rPr>
                <w:sz w:val="19"/>
              </w:rPr>
              <w:t xml:space="preserve"> may not have extracted MathML</w:t>
            </w:r>
          </w:p>
        </w:tc>
      </w:tr>
      <w:tr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Wrong clause hierarchy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Section numbers have fewer/more parts</w:t>
            </w:r>
          </w:p>
        </w:tc>
        <w:tc>
          <w:tcPr>
            <w:tcW w:type="dxa" w:w="3135"/>
            <w:vAlign w:val="center"/>
            <w:shd w:val="clear" w:color="auto" w:fill="F1F5F9"/>
          </w:tcPr>
          <w:p>
            <w:pPr>
              <w:spacing w:before="20" w:after="20"/>
            </w:pPr>
            <w:r>
              <w:t xml:space="preserve">Adjust </w:t>
            </w:r>
            <w:r>
              <w:rPr>
                <w:rFonts w:ascii="Courier New" w:hAnsi="Courier New"/>
                <w:color w:val="D63384"/>
                <w:sz w:val="19"/>
              </w:rPr>
              <w:t>RE_SECTION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9"/>
              </w:rPr>
              <w:t>RE_ARTICLE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9"/>
              </w:rPr>
              <w:t>RE_SENTENCE</w:t>
            </w:r>
            <w:r>
              <w:t xml:space="preserve"> regex in </w:t>
            </w:r>
            <w:r>
              <w:rPr>
                <w:rFonts w:ascii="Courier New" w:hAnsi="Courier New"/>
                <w:color w:val="D63384"/>
                <w:sz w:val="19"/>
              </w:rPr>
              <w:t>structure_parser.py</w:t>
            </w:r>
          </w:p>
        </w:tc>
      </w:tr>
    </w:tbl>
    <w:p/>
    <w:p>
      <w:pPr>
        <w:spacing w:before="40" w:after="120"/>
      </w:pPr>
      <w:r>
        <w:rPr>
          <w:b/>
          <w:color w:val="1E3A5F"/>
          <w:sz w:val="21"/>
        </w:rPr>
        <w:t>5. Regenerate after fixing the parser</w:t>
      </w:r>
    </w:p>
    <w:p>
      <w:pPr>
        <w:spacing w:before="40" w:after="120"/>
      </w:pPr>
      <w:r>
        <w:rPr>
          <w:sz w:val="21"/>
        </w:rPr>
        <w:t>Since the raw Datalab response is cached, you can fix the parser and re-run at zero cost: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python main.py your_new_document.pdf   # uses cache, reruns parser only</w:t>
      </w:r>
    </w:p>
    <w:p>
      <w:pPr>
        <w:spacing w:before="40" w:after="120"/>
      </w:pPr>
      <w:r>
        <w:rPr>
          <w:b/>
          <w:color w:val="1E3A5F"/>
          <w:sz w:val="21"/>
        </w:rPr>
        <w:t>6. Force fresh extraction</w:t>
      </w:r>
    </w:p>
    <w:p>
      <w:pPr>
        <w:spacing w:before="40" w:after="120"/>
      </w:pPr>
      <w:r>
        <w:rPr>
          <w:sz w:val="21"/>
        </w:rPr>
        <w:t>Only needed if the PDF itself has changed: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python main.py your_new_document.pdf --force-extract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Adapting Regex Patterns for Different Document Styles</w:t>
      </w:r>
    </w:p>
    <w:p>
      <w:pPr>
        <w:spacing w:before="40" w:after="120"/>
      </w:pPr>
      <w:r>
        <w:rPr>
          <w:sz w:val="21"/>
        </w:rPr>
        <w:t xml:space="preserve">If the new document uses different numbering (e.g. </w:t>
      </w:r>
      <w:r>
        <w:rPr>
          <w:rFonts w:ascii="Courier New" w:hAnsi="Courier New"/>
          <w:color w:val="D63384"/>
          <w:sz w:val="21"/>
        </w:rPr>
        <w:t>Article 3.2.1</w:t>
      </w:r>
      <w:r>
        <w:rPr>
          <w:sz w:val="21"/>
        </w:rPr>
        <w:t xml:space="preserve"> or </w:t>
      </w:r>
      <w:r>
        <w:rPr>
          <w:rFonts w:ascii="Courier New" w:hAnsi="Courier New"/>
          <w:color w:val="D63384"/>
          <w:sz w:val="21"/>
        </w:rPr>
        <w:t>Section A.1.2</w:t>
      </w:r>
      <w:r>
        <w:rPr>
          <w:sz w:val="21"/>
        </w:rPr>
        <w:t xml:space="preserve">), update these patterns in </w:t>
      </w:r>
      <w:r>
        <w:rPr>
          <w:rFonts w:ascii="Courier New" w:hAnsi="Courier New"/>
          <w:color w:val="D63384"/>
          <w:sz w:val="21"/>
        </w:rPr>
        <w:t>parser/structure_parser.py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RE_SECTION   = r'^(?:Section\s+)?(\d+\.\d+)\.?\s*(.*)'</w:t>
        <w:br/>
        <w:t>RE_ARTICLE   = r'^(\d+\.\d+\.\d+)\.?\s*(.*)'</w:t>
        <w:br/>
        <w:t>RE_SENTENCE  = r'^(\d+\.\d+\.\d+\.\d+)\.?\s*(.*)'</w:t>
      </w:r>
    </w:p>
    <w:p>
      <w:pPr>
        <w:spacing w:before="40" w:after="120"/>
      </w:pPr>
      <w:r>
        <w:rPr>
          <w:sz w:val="21"/>
        </w:rPr>
        <w:t xml:space="preserve">And in </w:t>
      </w:r>
      <w:r>
        <w:rPr>
          <w:rFonts w:ascii="Courier New" w:hAnsi="Courier New"/>
          <w:color w:val="D63384"/>
          <w:sz w:val="21"/>
        </w:rPr>
        <w:t>parser/reference_linker.py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REFERENCE_PATTERNS = [</w:t>
        <w:br/>
        <w:t xml:space="preserve">    re.compile(</w:t>
        <w:br/>
        <w:t xml:space="preserve">        r'(?P&lt;kind&gt;Sentence|Article|Subsection|Section|Clause)\s+'</w:t>
        <w:br/>
        <w:t xml:space="preserve">        r'(?P&lt;ref&gt;\d+(?:\.\d+)*(?:\.\d+)?(?:\([^)]+\))?)',</w:t>
        <w:br/>
        <w:t xml:space="preserve">        re.IGNORECASE</w:t>
        <w:br/>
        <w:t xml:space="preserve">    ),</w:t>
        <w:br/>
        <w:t xml:space="preserve">    ...</w:t>
        <w:br/>
        <w:t>]</w:t>
      </w:r>
    </w:p>
    <w:p>
      <w:pPr>
        <w:pBdr>
          <w:bottom w:val="single" w:sz="6" w:space="1" w:color="E2E6EA"/>
        </w:pBdr>
        <w:spacing w:before="160" w:after="160"/>
      </w:pPr>
    </w:p>
    <w:p>
      <w:pPr>
        <w:pStyle w:val="Heading2"/>
        <w:spacing w:before="320" w:after="80"/>
      </w:pPr>
      <w:r>
        <w:rPr>
          <w:b/>
          <w:color w:val="1E3A5F"/>
          <w:sz w:val="30"/>
        </w:rPr>
        <w:t>10. Troubleshooting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ModuleNotFoundError: No module named 'dotenv'</w:t>
      </w:r>
    </w:p>
    <w:p>
      <w:pPr>
        <w:spacing w:before="40" w:after="120"/>
      </w:pPr>
      <w:r>
        <w:rPr>
          <w:sz w:val="21"/>
        </w:rPr>
        <w:t>The virtual environment is not activated, or dependencies are not installed.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# Activate venv first</w:t>
        <w:br/>
        <w:t>.venv\Scripts\activate       # Windows</w:t>
        <w:br/>
        <w:t>source .venv/bin/activate    # macOS/Linux</w:t>
        <w:br/>
        <w:br/>
        <w:t>pip install -r requirements.txt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[ERROR] DATALAB_API_KEY is not set</w:t>
      </w:r>
    </w:p>
    <w:p>
      <w:pPr>
        <w:spacing w:before="40" w:after="120"/>
      </w:pPr>
      <w:r>
        <w:rPr>
          <w:sz w:val="21"/>
        </w:rPr>
        <w:t xml:space="preserve">Your </w:t>
      </w:r>
      <w:r>
        <w:rPr>
          <w:rFonts w:ascii="Courier New" w:hAnsi="Courier New"/>
          <w:color w:val="D63384"/>
          <w:sz w:val="21"/>
        </w:rPr>
        <w:t>.env</w:t>
      </w:r>
      <w:r>
        <w:rPr>
          <w:sz w:val="21"/>
        </w:rPr>
        <w:t xml:space="preserve"> file is missing or the key is the placeholder value. Check: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# Confirm .env exists and has the real key</w:t>
        <w:br/>
        <w:t>cat .env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FileNotFoundError: Document not found at storage/output/structured_document.json</w:t>
      </w:r>
    </w:p>
    <w:p>
      <w:pPr>
        <w:spacing w:before="40" w:after="120"/>
      </w:pPr>
      <w:r>
        <w:rPr>
          <w:sz w:val="21"/>
        </w:rPr>
        <w:t>You need to run the pipeline before launching the viewer or API: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python main.py path/to/your.pdf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[Datalab] Job did not complete within 300 seconds</w:t>
      </w:r>
    </w:p>
    <w:p>
      <w:pPr>
        <w:spacing w:before="40" w:after="120"/>
      </w:pPr>
      <w:r>
        <w:rPr>
          <w:sz w:val="21"/>
        </w:rPr>
        <w:t>The PDF is very large or the Datalab API is slow. Options:</w:t>
      </w:r>
    </w:p>
    <w:p>
      <w:pPr>
        <w:pStyle w:val="ListBullet"/>
        <w:spacing w:before="20" w:after="20"/>
        <w:ind w:left="227"/>
      </w:pPr>
      <w:r>
        <w:rPr>
          <w:sz w:val="21"/>
        </w:rPr>
        <w:t>Retry: run the same command again</w:t>
      </w:r>
    </w:p>
    <w:p>
      <w:pPr>
        <w:pStyle w:val="ListBullet"/>
        <w:spacing w:before="20" w:after="20"/>
        <w:ind w:left="227"/>
      </w:pPr>
      <w:r>
        <w:rPr>
          <w:sz w:val="21"/>
        </w:rPr>
        <w:t>Split the PDF into smaller parts and process each separately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Viewer shows blank content / no clauses</w:t>
      </w:r>
    </w:p>
    <w:p>
      <w:pPr>
        <w:spacing w:before="40" w:after="120"/>
      </w:pPr>
      <w:r>
        <w:rPr>
          <w:sz w:val="21"/>
        </w:rPr>
        <w:t xml:space="preserve">The parser may not have recognised the heading structure. Check the Stats &amp; Raw tab — if </w:t>
      </w:r>
      <w:r>
        <w:rPr>
          <w:rFonts w:ascii="Courier New" w:hAnsi="Courier New"/>
          <w:color w:val="D63384"/>
          <w:sz w:val="21"/>
        </w:rPr>
        <w:t>Clauses: 0</w:t>
      </w:r>
      <w:r>
        <w:rPr>
          <w:sz w:val="21"/>
        </w:rPr>
        <w:t>, the headings are likely images (not text) in the PDF, or the numbering pattern doesn't match the regex.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Tables cut off at the bottom</w:t>
      </w:r>
    </w:p>
    <w:p>
      <w:pPr>
        <w:spacing w:before="40" w:after="120"/>
      </w:pPr>
      <w:r>
        <w:rPr>
          <w:sz w:val="21"/>
        </w:rPr>
        <w:t xml:space="preserve">Fixed in the current version (dynamic height estimation + </w:t>
      </w:r>
      <w:r>
        <w:rPr>
          <w:rFonts w:ascii="Courier New" w:hAnsi="Courier New"/>
          <w:color w:val="D63384"/>
          <w:sz w:val="21"/>
        </w:rPr>
        <w:t>scrolling=True</w:t>
      </w:r>
      <w:r>
        <w:rPr>
          <w:sz w:val="21"/>
        </w:rPr>
        <w:t>). If it still occurs on a specific table, the table is likely extremely wide — use horizontal scrolling.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References show 0% resolution</w:t>
      </w:r>
    </w:p>
    <w:p>
      <w:pPr>
        <w:spacing w:before="40" w:after="120"/>
      </w:pPr>
      <w:r>
        <w:rPr>
          <w:sz w:val="21"/>
        </w:rPr>
        <w:t xml:space="preserve">The document numbering format differs from the patterns in </w:t>
      </w:r>
      <w:r>
        <w:rPr>
          <w:rFonts w:ascii="Courier New" w:hAnsi="Courier New"/>
          <w:color w:val="D63384"/>
          <w:sz w:val="21"/>
        </w:rPr>
        <w:t>REFERENCE_PATTERNS</w:t>
      </w:r>
      <w:r>
        <w:rPr>
          <w:sz w:val="21"/>
        </w:rPr>
        <w:t>. Check the raw JSON (</w:t>
      </w:r>
      <w:r>
        <w:rPr>
          <w:rFonts w:ascii="Courier New" w:hAnsi="Courier New"/>
          <w:color w:val="D63384"/>
          <w:sz w:val="21"/>
        </w:rPr>
        <w:t>Stats &amp; Raw</w:t>
      </w:r>
      <w:r>
        <w:rPr>
          <w:sz w:val="21"/>
        </w:rPr>
        <w:t xml:space="preserve"> tab → Download) to see what reference text looks like in the clauses.</w:t>
      </w:r>
    </w:p>
    <w:p>
      <w:pPr>
        <w:pBdr>
          <w:bottom w:val="single" w:sz="6" w:space="1" w:color="E2E6EA"/>
        </w:pBdr>
        <w:spacing w:before="160" w:after="160"/>
      </w:pPr>
    </w:p>
    <w:p>
      <w:pPr>
        <w:pStyle w:val="Heading2"/>
        <w:spacing w:before="320" w:after="80"/>
      </w:pPr>
      <w:r>
        <w:rPr>
          <w:b/>
          <w:color w:val="1E3A5F"/>
          <w:sz w:val="30"/>
        </w:rPr>
        <w:t>11. Known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Limitation</w:t>
            </w:r>
          </w:p>
        </w:tc>
        <w:tc>
          <w:tcPr>
            <w:tcW w:type="dxa" w:w="4703"/>
            <w:vAlign w:val="center"/>
            <w:shd w:val="clear" w:color="auto" w:fill="1E3A5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Single document</w:t>
            </w:r>
          </w:p>
        </w:tc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The pipeline processes one PDF at a time; output overwrites the previous result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Datalab dependency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Extraction quality depends on Datalab's LLM-enhanced parser; purely image-based PDFs will produce poor results</w:t>
            </w:r>
          </w:p>
        </w:tc>
      </w:tr>
      <w:tr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English only</w:t>
            </w:r>
          </w:p>
        </w:tc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All regex patterns, heading detection, and reference resolution are English-language specific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Figure images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63384"/>
                <w:sz w:val="19"/>
              </w:rPr>
              <w:t>extract_images=false</w:t>
            </w:r>
            <w:r>
              <w:rPr>
                <w:sz w:val="19"/>
              </w:rPr>
              <w:t xml:space="preserve"> is passed to Datalab (cost/speed tradeoff); figures in the viewer show alt text only unless you change this flag</w:t>
            </w:r>
          </w:p>
        </w:tc>
      </w:tr>
      <w:tr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External references</w:t>
            </w:r>
          </w:p>
        </w:tc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t xml:space="preserve">References to clauses in other PDF volumes (e.g. </w:t>
            </w:r>
            <w:r>
              <w:rPr>
                <w:rFonts w:ascii="Courier New" w:hAnsi="Courier New"/>
                <w:color w:val="D63384"/>
                <w:sz w:val="19"/>
              </w:rPr>
              <w:t>See Note A-3.X.X</w:t>
            </w:r>
            <w:r>
              <w:rPr>
                <w:sz w:val="19"/>
              </w:rPr>
              <w:t>) cannot be resolved and show as amber badges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No user authentication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20" w:after="20"/>
            </w:pPr>
            <w:r>
              <w:rPr>
                <w:sz w:val="19"/>
              </w:rPr>
              <w:t>The FastAPI server has no authentication layer</w:t>
            </w:r>
          </w:p>
        </w:tc>
      </w:tr>
      <w:tr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No multi-document search</w:t>
            </w:r>
          </w:p>
        </w:tc>
        <w:tc>
          <w:tcPr>
            <w:tcW w:type="dxa" w:w="4703"/>
            <w:vAlign w:val="center"/>
            <w:shd w:val="clear" w:color="auto" w:fill="F1F5F9"/>
          </w:tcPr>
          <w:p>
            <w:pPr>
              <w:spacing w:before="20" w:after="20"/>
            </w:pPr>
            <w:r>
              <w:rPr>
                <w:sz w:val="19"/>
              </w:rPr>
              <w:t>Search operates within a single processed document</w:t>
            </w:r>
          </w:p>
        </w:tc>
      </w:tr>
    </w:tbl>
    <w:p/>
    <w:p>
      <w:pPr>
        <w:pBdr>
          <w:bottom w:val="single" w:sz="6" w:space="1" w:color="E2E6EA"/>
        </w:pBdr>
        <w:spacing w:before="160" w:after="160"/>
      </w:pPr>
    </w:p>
    <w:p>
      <w:pPr>
        <w:pStyle w:val="Heading2"/>
        <w:spacing w:before="320" w:after="80"/>
      </w:pPr>
      <w:r>
        <w:rPr>
          <w:b/>
          <w:color w:val="1E3A5F"/>
          <w:sz w:val="30"/>
        </w:rPr>
        <w:t>12. Extending the System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Adding a React Frontend</w:t>
      </w:r>
    </w:p>
    <w:p>
      <w:pPr>
        <w:spacing w:before="40" w:after="120"/>
      </w:pPr>
      <w:r>
        <w:rPr>
          <w:sz w:val="21"/>
        </w:rPr>
        <w:t xml:space="preserve">The FastAPI CORS config currently allows </w:t>
      </w:r>
      <w:r>
        <w:rPr>
          <w:rFonts w:ascii="Courier New" w:hAnsi="Courier New"/>
          <w:color w:val="D63384"/>
          <w:sz w:val="21"/>
        </w:rPr>
        <w:t>http://localhost:8501</w:t>
      </w:r>
      <w:r>
        <w:rPr>
          <w:sz w:val="21"/>
        </w:rPr>
        <w:t xml:space="preserve"> (Streamlit). To add a React frontend on port 3000, update </w:t>
      </w:r>
      <w:r>
        <w:rPr>
          <w:rFonts w:ascii="Courier New" w:hAnsi="Courier New"/>
          <w:color w:val="D63384"/>
          <w:sz w:val="21"/>
        </w:rPr>
        <w:t>api/main.py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0F172A"/>
      </w:pPr>
      <w:r>
        <w:rPr>
          <w:rFonts w:ascii="Courier New" w:hAnsi="Courier New"/>
          <w:color w:val="E2E8F0"/>
          <w:sz w:val="17"/>
        </w:rPr>
        <w:t>allow_origins=[</w:t>
        <w:br/>
        <w:t xml:space="preserve">    "http://localhost:8501",</w:t>
        <w:br/>
        <w:t xml:space="preserve">    "http://localhost:3000",   # add this</w:t>
        <w:br/>
        <w:t>],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Switching to a Database</w:t>
      </w:r>
    </w:p>
    <w:p>
      <w:pPr>
        <w:spacing w:before="40" w:after="120"/>
      </w:pPr>
      <w:r>
        <w:rPr>
          <w:rFonts w:ascii="Courier New" w:hAnsi="Courier New"/>
          <w:color w:val="D63384"/>
          <w:sz w:val="21"/>
        </w:rPr>
        <w:t>storage/document_store.py</w:t>
      </w:r>
      <w:r>
        <w:rPr>
          <w:sz w:val="21"/>
        </w:rPr>
        <w:t xml:space="preserve"> is designed as a swap point. Replace </w:t>
      </w:r>
      <w:r>
        <w:rPr>
          <w:rFonts w:ascii="Courier New" w:hAnsi="Courier New"/>
          <w:color w:val="D63384"/>
          <w:sz w:val="21"/>
        </w:rPr>
        <w:t>save_document</w:t>
      </w:r>
      <w:r>
        <w:rPr>
          <w:sz w:val="21"/>
        </w:rPr>
        <w:t xml:space="preserve"> / </w:t>
      </w:r>
      <w:r>
        <w:rPr>
          <w:rFonts w:ascii="Courier New" w:hAnsi="Courier New"/>
          <w:color w:val="D63384"/>
          <w:sz w:val="21"/>
        </w:rPr>
        <w:t>load_document</w:t>
      </w:r>
      <w:r>
        <w:rPr>
          <w:sz w:val="21"/>
        </w:rPr>
        <w:t xml:space="preserve"> with PostgreSQL or SQLite calls. The document structure maps naturally to a JSONB column in PostgreSQL.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Multi-Document Support</w:t>
      </w:r>
    </w:p>
    <w:p>
      <w:pPr>
        <w:spacing w:before="40" w:after="120"/>
      </w:pPr>
      <w:r>
        <w:rPr>
          <w:sz w:val="21"/>
        </w:rPr>
        <w:t>The current model uses a fixed output path (</w:t>
      </w:r>
      <w:r>
        <w:rPr>
          <w:rFonts w:ascii="Courier New" w:hAnsi="Courier New"/>
          <w:color w:val="D63384"/>
          <w:sz w:val="21"/>
        </w:rPr>
        <w:t>structured_document.json</w:t>
      </w:r>
      <w:r>
        <w:rPr>
          <w:sz w:val="21"/>
        </w:rPr>
        <w:t>). To support multiple documents:</w:t>
      </w:r>
    </w:p>
    <w:p>
      <w:pPr>
        <w:pStyle w:val="ListNumber"/>
        <w:spacing w:before="20" w:after="20"/>
        <w:ind w:left="227"/>
      </w:pPr>
      <w:r>
        <w:rPr>
          <w:sz w:val="21"/>
        </w:rPr>
        <w:t>Add a document registry (a simple JSON index file or a database table)</w:t>
      </w:r>
    </w:p>
    <w:p>
      <w:pPr>
        <w:pStyle w:val="ListNumber"/>
        <w:spacing w:before="20" w:after="20"/>
        <w:ind w:left="227"/>
      </w:pPr>
      <w:r>
        <w:rPr>
          <w:sz w:val="21"/>
        </w:rPr>
        <w:t xml:space="preserve">Parameterise </w:t>
      </w:r>
      <w:r>
        <w:rPr>
          <w:rFonts w:ascii="Courier New" w:hAnsi="Courier New"/>
          <w:color w:val="D63384"/>
          <w:sz w:val="21"/>
        </w:rPr>
        <w:t>load_document(filename)</w:t>
      </w:r>
      <w:r>
        <w:rPr>
          <w:sz w:val="21"/>
        </w:rPr>
        <w:t xml:space="preserve"> — the signature already accepts a </w:t>
      </w:r>
      <w:r>
        <w:rPr>
          <w:rFonts w:ascii="Courier New" w:hAnsi="Courier New"/>
          <w:color w:val="D63384"/>
          <w:sz w:val="21"/>
        </w:rPr>
        <w:t>filename</w:t>
      </w:r>
      <w:r>
        <w:rPr>
          <w:sz w:val="21"/>
        </w:rPr>
        <w:t xml:space="preserve"> argument</w:t>
      </w:r>
    </w:p>
    <w:p>
      <w:pPr>
        <w:pStyle w:val="ListNumber"/>
        <w:spacing w:before="20" w:after="20"/>
        <w:ind w:left="227"/>
      </w:pPr>
      <w:r>
        <w:rPr>
          <w:sz w:val="21"/>
        </w:rPr>
        <w:t xml:space="preserve">Update the FastAPI routes to accept a </w:t>
      </w:r>
      <w:r>
        <w:rPr>
          <w:rFonts w:ascii="Courier New" w:hAnsi="Courier New"/>
          <w:color w:val="D63384"/>
          <w:sz w:val="21"/>
        </w:rPr>
        <w:t>document_id</w:t>
      </w:r>
      <w:r>
        <w:rPr>
          <w:sz w:val="21"/>
        </w:rPr>
        <w:t xml:space="preserve"> path parameter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Adding More AI Enhancement</w:t>
      </w:r>
    </w:p>
    <w:p>
      <w:pPr>
        <w:spacing w:before="40" w:after="120"/>
      </w:pPr>
      <w:r>
        <w:rPr>
          <w:sz w:val="21"/>
        </w:rPr>
        <w:t xml:space="preserve">The </w:t>
      </w:r>
      <w:r>
        <w:rPr>
          <w:rFonts w:ascii="Courier New" w:hAnsi="Courier New"/>
          <w:color w:val="D63384"/>
          <w:sz w:val="21"/>
        </w:rPr>
        <w:t>ai_enhancer.py</w:t>
      </w:r>
      <w:r>
        <w:rPr>
          <w:sz w:val="21"/>
        </w:rPr>
        <w:t xml:space="preserve"> module has stubs for:</w:t>
      </w:r>
    </w:p>
    <w:p>
      <w:pPr>
        <w:pStyle w:val="ListBullet"/>
        <w:spacing w:before="20" w:after="20"/>
        <w:ind w:left="227"/>
      </w:pPr>
      <w:r>
        <w:rPr>
          <w:rFonts w:ascii="Courier New" w:hAnsi="Courier New"/>
          <w:color w:val="D63384"/>
          <w:sz w:val="21"/>
        </w:rPr>
        <w:t>classify_block()</w:t>
      </w:r>
      <w:r>
        <w:rPr>
          <w:sz w:val="21"/>
        </w:rPr>
        <w:t xml:space="preserve"> — classify ambiguous text blocks</w:t>
      </w:r>
    </w:p>
    <w:p>
      <w:pPr>
        <w:pStyle w:val="ListBullet"/>
        <w:spacing w:before="20" w:after="20"/>
        <w:ind w:left="227"/>
      </w:pPr>
      <w:r>
        <w:rPr>
          <w:rFonts w:ascii="Courier New" w:hAnsi="Courier New"/>
          <w:color w:val="D63384"/>
          <w:sz w:val="21"/>
        </w:rPr>
        <w:t>should_join_fragments()</w:t>
      </w:r>
      <w:r>
        <w:rPr>
          <w:sz w:val="21"/>
        </w:rPr>
        <w:t xml:space="preserve"> — detect cross-page list continuations</w:t>
      </w:r>
    </w:p>
    <w:p>
      <w:pPr>
        <w:pStyle w:val="ListBullet"/>
        <w:spacing w:before="20" w:after="20"/>
        <w:ind w:left="227"/>
      </w:pPr>
      <w:r>
        <w:rPr>
          <w:rFonts w:ascii="Courier New" w:hAnsi="Courier New"/>
          <w:color w:val="D63384"/>
          <w:sz w:val="21"/>
        </w:rPr>
        <w:t>resolve_ambiguous_reference()</w:t>
      </w:r>
      <w:r>
        <w:rPr>
          <w:sz w:val="21"/>
        </w:rPr>
        <w:t xml:space="preserve"> — resolve informal references like "the above table"</w:t>
      </w:r>
    </w:p>
    <w:p>
      <w:pPr>
        <w:spacing w:before="40" w:after="120"/>
      </w:pPr>
      <w:r>
        <w:rPr>
          <w:sz w:val="21"/>
        </w:rPr>
        <w:t xml:space="preserve">These are not wired into the main pipeline by default but can be called from </w:t>
      </w:r>
      <w:r>
        <w:rPr>
          <w:rFonts w:ascii="Courier New" w:hAnsi="Courier New"/>
          <w:color w:val="D63384"/>
          <w:sz w:val="21"/>
        </w:rPr>
        <w:t>enhance_document()</w:t>
      </w:r>
      <w:r>
        <w:rPr>
          <w:sz w:val="21"/>
        </w:rPr>
        <w:t>.</w:t>
      </w:r>
    </w:p>
    <w:p>
      <w:pPr>
        <w:pStyle w:val="Heading3"/>
        <w:spacing w:before="240" w:after="40"/>
      </w:pPr>
      <w:r>
        <w:rPr>
          <w:b/>
          <w:color w:val="374151"/>
          <w:sz w:val="26"/>
        </w:rPr>
        <w:t>Supporting Other Languages</w:t>
      </w:r>
    </w:p>
    <w:p>
      <w:pPr>
        <w:spacing w:before="40" w:after="120"/>
      </w:pPr>
      <w:r>
        <w:rPr>
          <w:sz w:val="21"/>
        </w:rPr>
        <w:t>To support non-English building codes:</w:t>
      </w:r>
    </w:p>
    <w:p>
      <w:pPr>
        <w:pStyle w:val="ListNumber"/>
        <w:spacing w:before="20" w:after="20"/>
        <w:ind w:left="227"/>
      </w:pPr>
      <w:r>
        <w:rPr>
          <w:sz w:val="21"/>
        </w:rPr>
        <w:t xml:space="preserve">Update all regex patterns in </w:t>
      </w:r>
      <w:r>
        <w:rPr>
          <w:rFonts w:ascii="Courier New" w:hAnsi="Courier New"/>
          <w:color w:val="D63384"/>
          <w:sz w:val="21"/>
        </w:rPr>
        <w:t>structure_parser.py</w:t>
      </w:r>
      <w:r>
        <w:rPr>
          <w:sz w:val="21"/>
        </w:rPr>
        <w:t xml:space="preserve"> and </w:t>
      </w:r>
      <w:r>
        <w:rPr>
          <w:rFonts w:ascii="Courier New" w:hAnsi="Courier New"/>
          <w:color w:val="D63384"/>
          <w:sz w:val="21"/>
        </w:rPr>
        <w:t>reference_linker.py</w:t>
      </w:r>
    </w:p>
    <w:p>
      <w:pPr>
        <w:pStyle w:val="ListNumber"/>
        <w:spacing w:before="20" w:after="20"/>
        <w:ind w:left="227"/>
      </w:pPr>
      <w:r>
        <w:rPr>
          <w:sz w:val="21"/>
        </w:rPr>
        <w:t xml:space="preserve">Update the reference kind matching in </w:t>
      </w:r>
      <w:r>
        <w:rPr>
          <w:rFonts w:ascii="Courier New" w:hAnsi="Courier New"/>
          <w:color w:val="D63384"/>
          <w:sz w:val="21"/>
        </w:rPr>
        <w:t>_ref_to_id()</w:t>
      </w:r>
      <w:r>
        <w:rPr>
          <w:sz w:val="21"/>
        </w:rPr>
        <w:t xml:space="preserve"> (</w:t>
      </w:r>
      <w:r>
        <w:rPr>
          <w:rFonts w:ascii="Courier New" w:hAnsi="Courier New"/>
          <w:color w:val="D63384"/>
          <w:sz w:val="21"/>
        </w:rPr>
        <w:t>"sentence"</w:t>
      </w:r>
      <w:r>
        <w:rPr>
          <w:sz w:val="21"/>
        </w:rPr>
        <w:t xml:space="preserve">, </w:t>
      </w:r>
      <w:r>
        <w:rPr>
          <w:rFonts w:ascii="Courier New" w:hAnsi="Courier New"/>
          <w:color w:val="D63384"/>
          <w:sz w:val="21"/>
        </w:rPr>
        <w:t>"article"</w:t>
      </w:r>
      <w:r>
        <w:rPr>
          <w:sz w:val="21"/>
        </w:rPr>
        <w:t>, etc.)</w:t>
      </w:r>
    </w:p>
    <w:p>
      <w:pPr>
        <w:pStyle w:val="ListNumber"/>
        <w:spacing w:before="20" w:after="20"/>
        <w:ind w:left="227"/>
      </w:pPr>
      <w:r>
        <w:rPr>
          <w:sz w:val="21"/>
        </w:rPr>
        <w:t xml:space="preserve">Update </w:t>
      </w:r>
      <w:r>
        <w:rPr>
          <w:rFonts w:ascii="Courier New" w:hAnsi="Courier New"/>
          <w:color w:val="D63384"/>
          <w:sz w:val="21"/>
        </w:rPr>
        <w:t>RE_NOTE</w:t>
      </w:r>
      <w:r>
        <w:rPr>
          <w:sz w:val="21"/>
        </w:rPr>
        <w:t xml:space="preserve"> and </w:t>
      </w:r>
      <w:r>
        <w:rPr>
          <w:rFonts w:ascii="Courier New" w:hAnsi="Courier New"/>
          <w:color w:val="D63384"/>
          <w:sz w:val="21"/>
        </w:rPr>
        <w:t>RE_A_TITLE</w:t>
      </w:r>
      <w:r>
        <w:rPr>
          <w:sz w:val="21"/>
        </w:rPr>
        <w:t xml:space="preserve"> if the appendix note format differs</w:t>
      </w:r>
    </w:p>
    <w:p>
      <w:pPr>
        <w:pBdr>
          <w:bottom w:val="single" w:sz="6" w:space="1" w:color="E2E6EA"/>
        </w:pBdr>
        <w:spacing w:before="160" w:after="160"/>
      </w:pPr>
    </w:p>
    <w:p>
      <w:pPr>
        <w:spacing w:before="40" w:after="120"/>
      </w:pPr>
      <w:r>
        <w:rPr>
          <w:sz w:val="21"/>
        </w:rPr>
        <w:t>*Last updated: 2026-03-18*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B7280"/>
        <w:sz w:val="17"/>
      </w:rPr>
      <w:t>Building Code Web Project — System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