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Frontend Schema Briefing — BCBC 2024 Structured Document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Source file: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C7254E"/>
          <w:sz w:val="18"/>
        </w:rPr>
        <w:t>storage/output/structured_document.json</w:t>
      </w:r>
      <w:r>
        <w:rPr>
          <w:rFonts w:ascii="Calibri" w:hAnsi="Calibri"/>
          <w:sz w:val="22"/>
        </w:rPr>
        <w:t xml:space="preserve"> (~19.9 MB)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Document:</w:t>
      </w:r>
      <w:r>
        <w:rPr>
          <w:rFonts w:ascii="Calibri" w:hAnsi="Calibri"/>
          <w:sz w:val="22"/>
        </w:rPr>
        <w:t xml:space="preserve"> British Columbia Building Code 2024 (1906 pages)</w:t>
      </w:r>
    </w:p>
    <w:p/>
    <w:p/>
    <w:p>
      <w:pPr>
        <w:pStyle w:val="Heading2"/>
      </w:pPr>
      <w:r>
        <w:t>1. Overview</w:t>
      </w:r>
    </w:p>
    <w:p/>
    <w:p>
      <w:r>
        <w:rPr>
          <w:rFonts w:ascii="Calibri" w:hAnsi="Calibri"/>
          <w:sz w:val="22"/>
        </w:rPr>
        <w:t>The JSON document is a fully parsed, hierarchically structured representation of the BCBC 2024 PDF. It organizes the code into the full legal hierarchy:</w:t>
      </w:r>
    </w:p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Divisions → Parts → Sections → Subsections → Articles → Sentences → Clauses → Subclauses</w:t>
      </w:r>
      <w:r>
        <w:rPr>
          <w:rFonts w:ascii="Calibri" w:hAnsi="Calibri"/>
          <w:sz w:val="22"/>
        </w:rPr>
      </w:r>
    </w:p>
    <w:p/>
    <w:p>
      <w:r>
        <w:rPr>
          <w:rFonts w:ascii="Calibri" w:hAnsi="Calibri"/>
          <w:sz w:val="22"/>
        </w:rPr>
        <w:t xml:space="preserve">Each </w:t>
      </w:r>
      <w:r>
        <w:rPr>
          <w:rFonts w:ascii="Calibri" w:hAnsi="Calibri"/>
          <w:b/>
          <w:sz w:val="22"/>
        </w:rPr>
        <w:t>Article</w:t>
      </w:r>
      <w:r>
        <w:rPr>
          <w:rFonts w:ascii="Calibri" w:hAnsi="Calibri"/>
          <w:sz w:val="22"/>
        </w:rPr>
        <w:t xml:space="preserve"> (a 4-part numbered provision like </w:t>
      </w:r>
      <w:r>
        <w:rPr>
          <w:rFonts w:ascii="Courier New" w:hAnsi="Courier New"/>
          <w:color w:val="C7254E"/>
          <w:sz w:val="18"/>
        </w:rPr>
        <w:t>4.1.1.3</w:t>
      </w:r>
      <w:r>
        <w:rPr>
          <w:rFonts w:ascii="Calibri" w:hAnsi="Calibri"/>
          <w:sz w:val="22"/>
        </w:rPr>
        <w:t xml:space="preserve">) contains explicit </w:t>
      </w:r>
      <w:r>
        <w:rPr>
          <w:rFonts w:ascii="Calibri" w:hAnsi="Calibri"/>
          <w:b/>
          <w:sz w:val="22"/>
        </w:rPr>
        <w:t>Sentence</w:t>
      </w:r>
      <w:r>
        <w:rPr>
          <w:rFonts w:ascii="Calibri" w:hAnsi="Calibri"/>
          <w:sz w:val="22"/>
        </w:rPr>
        <w:t xml:space="preserve"> nodes for numbered items (</w:t>
      </w:r>
      <w:r>
        <w:rPr>
          <w:rFonts w:ascii="Courier New" w:hAnsi="Courier New"/>
          <w:color w:val="C7254E"/>
          <w:sz w:val="18"/>
        </w:rPr>
        <w:t>1)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rFonts w:ascii="Calibri" w:hAnsi="Calibri"/>
          <w:sz w:val="22"/>
        </w:rPr>
        <w:t xml:space="preserve">), which in turn hold </w:t>
      </w:r>
      <w:r>
        <w:rPr>
          <w:rFonts w:ascii="Calibri" w:hAnsi="Calibri"/>
          <w:b/>
          <w:sz w:val="22"/>
        </w:rPr>
        <w:t>Clause</w:t>
      </w:r>
      <w:r>
        <w:rPr>
          <w:rFonts w:ascii="Calibri" w:hAnsi="Calibri"/>
          <w:sz w:val="22"/>
        </w:rPr>
        <w:t xml:space="preserve"> nodes for lettered items (</w:t>
      </w:r>
      <w:r>
        <w:rPr>
          <w:rFonts w:ascii="Courier New" w:hAnsi="Courier New"/>
          <w:color w:val="C7254E"/>
          <w:sz w:val="18"/>
        </w:rPr>
        <w:t>(a)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rFonts w:ascii="Calibri" w:hAnsi="Calibri"/>
          <w:sz w:val="22"/>
        </w:rPr>
        <w:t xml:space="preserve">), which hold </w:t>
      </w:r>
      <w:r>
        <w:rPr>
          <w:rFonts w:ascii="Calibri" w:hAnsi="Calibri"/>
          <w:b/>
          <w:sz w:val="22"/>
        </w:rPr>
        <w:t>Subclause</w:t>
      </w:r>
      <w:r>
        <w:rPr>
          <w:rFonts w:ascii="Calibri" w:hAnsi="Calibri"/>
          <w:sz w:val="22"/>
        </w:rPr>
        <w:t xml:space="preserve"> nodes for roman-numeral items (</w:t>
      </w:r>
      <w:r>
        <w:rPr>
          <w:rFonts w:ascii="Courier New" w:hAnsi="Courier New"/>
          <w:color w:val="C7254E"/>
          <w:sz w:val="18"/>
        </w:rPr>
        <w:t>(i)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rFonts w:ascii="Calibri" w:hAnsi="Calibri"/>
          <w:sz w:val="22"/>
        </w:rPr>
        <w:t xml:space="preserve">). This replaces the previous flat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rFonts w:ascii="Calibri" w:hAnsi="Calibri"/>
          <w:sz w:val="22"/>
        </w:rPr>
        <w:t xml:space="preserve"> approach.</w:t>
      </w:r>
    </w:p>
    <w:p/>
    <w:p>
      <w:r>
        <w:rPr>
          <w:rFonts w:ascii="Calibri" w:hAnsi="Calibri"/>
          <w:sz w:val="22"/>
        </w:rPr>
        <w:t>Cross-references and appendix note references are resolved and embedded per-article.</w:t>
      </w:r>
    </w:p>
    <w:p/>
    <w:p>
      <w:r>
        <w:rPr>
          <w:rFonts w:ascii="Calibri" w:hAnsi="Calibri"/>
          <w:sz w:val="22"/>
        </w:rPr>
        <w:t xml:space="preserve">Each Part that contains a "Notes to Part" section in the PDF also includes a dedicated </w:t>
      </w:r>
      <w:r>
        <w:rPr>
          <w:rFonts w:ascii="Calibri" w:hAnsi="Calibri"/>
          <w:b/>
          <w:sz w:val="22"/>
        </w:rPr>
        <w:t>Notes Section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C7254E"/>
          <w:sz w:val="18"/>
        </w:rPr>
        <w:t>SEC-NOTES-*</w:t>
      </w:r>
      <w:r>
        <w:rPr>
          <w:rFonts w:ascii="Calibri" w:hAnsi="Calibri"/>
          <w:sz w:val="22"/>
        </w:rPr>
        <w:t>) at the same level as regular code sections. Notes sections hold note articles (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rFonts w:ascii="Calibri" w:hAnsi="Calibri"/>
          <w:sz w:val="22"/>
        </w:rPr>
        <w:t>) directly — no subsection nesting.</w:t>
      </w:r>
    </w:p>
    <w:p/>
    <w:p>
      <w:pPr>
        <w:pStyle w:val="Heading3"/>
      </w:pPr>
      <w:r>
        <w:t>Scale (actual counts from file)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Divisions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15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Sections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114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Subsections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445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Articles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3,118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Sentences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5,383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Clauses (lettered)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3,695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Subclauses (roman)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111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Tables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469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Figures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212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Equations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110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Cross-references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2,945 (84.7% resolved)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Appendix note refs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922 (99.8% resolved)</w:t>
            </w:r>
          </w:p>
        </w:tc>
      </w:tr>
    </w:tbl>
    <w:p/>
    <w:p/>
    <w:p/>
    <w:p>
      <w:pPr>
        <w:pStyle w:val="Heading2"/>
      </w:pPr>
      <w:r>
        <w:t>2. Top-Level Document Object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"British Columbia BUILDING CODE 2024",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"source_pdf": "bcbc_2024_web_version_revision2.pdf",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"total_pages": 1906,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"preface": { ...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"divisions": [ ...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"conversion_factors": { ...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"_stats": { ...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Document title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`source_pdf`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Original PDF filename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`total_pages`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Total page count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`preface`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`Preface`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Front-matter preface object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`divisions`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`Division[]`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Main content — array of 3 divisions (A, B, C)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`conversion_factors`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`ConversionFactors`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Standalone conversion factors section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`_stats`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`Stats`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Reference resolution statistics</w:t>
            </w:r>
          </w:p>
        </w:tc>
      </w:tr>
    </w:tbl>
    <w:p/>
    <w:p/>
    <w:p/>
    <w:p>
      <w:pPr>
        <w:pStyle w:val="Heading2"/>
      </w:pPr>
      <w:r>
        <w:t>3. Schema</w:t>
      </w:r>
    </w:p>
    <w:p/>
    <w:p>
      <w:pPr>
        <w:pStyle w:val="Heading3"/>
      </w:pPr>
      <w:r>
        <w:t>3.1 Stats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"_stats":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"total_references": 2945,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"resolved_references": 2495,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"resolution_rate_pct": 84.7,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"total_note_refs": 922,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"resolved_note_refs": 920,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"note_resolution_rate_pct": 99.8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`total_references`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`resolved_references`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`resolution_rate_pct`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`total_note_refs`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`resolved_note_refs`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`note_resolution_rate_pct`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</w:tr>
    </w:tbl>
    <w:p/>
    <w:p/>
    <w:p/>
    <w:p>
      <w:pPr>
        <w:pStyle w:val="Heading3"/>
      </w:pPr>
      <w:r>
        <w:t>3.2 Preface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"preface":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"PREFACE",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"Preface",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"sections": [ PrefaceSection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[11]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 — always `"PREFACE"`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`sections`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`PrefaceSection[]`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</w:tr>
    </w:tbl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PrefaceSection</w:t>
      </w:r>
      <w:r>
        <w:rPr>
          <w:rFonts w:ascii="Calibri" w:hAnsi="Calibri"/>
          <w:sz w:val="22"/>
        </w:rPr>
        <w:t xml:space="preserve"> — has its own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rFonts w:ascii="Calibri" w:hAnsi="Calibri"/>
          <w:sz w:val="22"/>
        </w:rPr>
        <w:t xml:space="preserve"> array (same ContentItem schema as §3.9.1), no </w:t>
      </w:r>
      <w:r>
        <w:rPr>
          <w:rFonts w:ascii="Courier New" w:hAnsi="Courier New"/>
          <w:color w:val="C7254E"/>
          <w:sz w:val="18"/>
        </w:rPr>
        <w:t>articles[]</w:t>
      </w:r>
      <w:r>
        <w:rPr>
          <w:rFonts w:ascii="Calibri" w:hAnsi="Calibri"/>
          <w:sz w:val="22"/>
        </w:rPr>
        <w:t>: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"PREF-SEC-01",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"Preface Content",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[ ContentItem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"subsections":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[11]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**Unchanged from previous schema** — Preface hierarchy is not affected by the Article/Sentence/Clause refactor.</w:t>
      </w:r>
    </w:p>
    <w:p/>
    <w:p/>
    <w:p/>
    <w:p>
      <w:pPr>
        <w:pStyle w:val="Heading3"/>
      </w:pPr>
      <w:r>
        <w:t>3.3 ConversionFactors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"conversion_factors":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"CONVERSION-FACTORS",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"Conversion Factors",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"sections": [ ConversionSection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ConversionSection</w:t>
      </w:r>
      <w:r>
        <w:rPr>
          <w:rFonts w:ascii="Calibri" w:hAnsi="Calibri"/>
          <w:sz w:val="22"/>
        </w:rPr>
        <w:t xml:space="preserve"> — contains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rFonts w:ascii="Calibri" w:hAnsi="Calibri"/>
          <w:sz w:val="22"/>
        </w:rPr>
        <w:t xml:space="preserve"> and </w:t>
      </w:r>
      <w:r>
        <w:rPr>
          <w:rFonts w:ascii="Courier New" w:hAnsi="Courier New"/>
          <w:color w:val="C7254E"/>
          <w:sz w:val="18"/>
        </w:rPr>
        <w:t>tables[]</w:t>
      </w:r>
      <w:r>
        <w:rPr>
          <w:rFonts w:ascii="Calibri" w:hAnsi="Calibri"/>
          <w:sz w:val="22"/>
        </w:rPr>
        <w:t xml:space="preserve"> directly (no </w:t>
      </w:r>
      <w:r>
        <w:rPr>
          <w:rFonts w:ascii="Courier New" w:hAnsi="Courier New"/>
          <w:color w:val="C7254E"/>
          <w:sz w:val="18"/>
        </w:rPr>
        <w:t>articles[]</w:t>
      </w:r>
      <w:r>
        <w:rPr>
          <w:rFonts w:ascii="Calibri" w:hAnsi="Calibri"/>
          <w:sz w:val="22"/>
        </w:rPr>
        <w:t>):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"CF-SEC-01",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[ ContentItem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"tables": [ Table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"figures": [ Figure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**Unchanged from previous schema** — ConversionFactors hierarchy is not affected by the Article/Sentence/Clause refactor.</w:t>
      </w:r>
    </w:p>
    <w:p/>
    <w:p/>
    <w:p/>
    <w:p>
      <w:pPr>
        <w:pStyle w:val="Heading3"/>
      </w:pPr>
      <w:r>
        <w:t>3.4 Division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"DIV-B",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"B",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"Division B",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"parts": [ Part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"appendices": [ Appendix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[120, 121, 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`"DIV-A"` / `"DIV-B"` / `"DIV-C"`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`"A"` / `"B"` / `"C"`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e.g. `"Division B"`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`parts`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`Part[]`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The Parts within this division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`appendices`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`Appendix[]`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Optional appendices (only DIV-B has 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All page numbers covered</w:t>
            </w:r>
          </w:p>
        </w:tc>
      </w:tr>
    </w:tbl>
    <w:p/>
    <w:p/>
    <w:p/>
    <w:p>
      <w:pPr>
        <w:pStyle w:val="Heading3"/>
      </w:pPr>
      <w:r>
        <w:t>3.5 Part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"PART-B-4",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"Structural Design",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"sections": [ Section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[490, 491, 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`"PART-{div}-{n}"` e.g. `"PART-B-4"`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Part number string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Part title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Regular code sections + optional Notes Section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/>
    <w:p/>
    <w:p>
      <w:pPr>
        <w:pStyle w:val="Heading3"/>
      </w:pPr>
      <w:r>
        <w:t>3.6 Section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"SEC-4-1",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"Structural Loads and Procedures",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"subsections": [ Subsection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"articles": [ Article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[490, 491, 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`"SEC-{n}-{m}"`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e.g. `"4.1"`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Usually populated; `articles[]` may be empty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`articles`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`Article[]`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Direct articles (uncommon — most are in subsections)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**Key design note:** Most articles live under **Subsections**, not Sections directly. Always check both `section.articles[]` and `section.subsections[].articles[]` when traversing.</w:t>
      </w:r>
    </w:p>
    <w:p/>
    <w:p/>
    <w:p/>
    <w:p>
      <w:pPr>
        <w:pStyle w:val="Heading3"/>
      </w:pPr>
      <w:r>
        <w:t>3.6a NotesSection — Part Notes (Special Section Type)</w:t>
      </w:r>
    </w:p>
    <w:p/>
    <w:p>
      <w:r>
        <w:rPr>
          <w:rFonts w:ascii="Calibri" w:hAnsi="Calibri"/>
          <w:sz w:val="22"/>
        </w:rPr>
        <w:t xml:space="preserve">Parts that include a "Notes to Part" segment in the PDF expose a dedicated notes section at the </w:t>
      </w:r>
      <w:r>
        <w:rPr>
          <w:rFonts w:ascii="Calibri" w:hAnsi="Calibri"/>
          <w:b/>
          <w:sz w:val="22"/>
        </w:rPr>
        <w:t>same level</w:t>
      </w:r>
      <w:r>
        <w:rPr>
          <w:rFonts w:ascii="Calibri" w:hAnsi="Calibri"/>
          <w:sz w:val="22"/>
        </w:rPr>
        <w:t xml:space="preserve"> as regular numbered sections inside </w:t>
      </w:r>
      <w:r>
        <w:rPr>
          <w:rFonts w:ascii="Courier New" w:hAnsi="Courier New"/>
          <w:color w:val="C7254E"/>
          <w:sz w:val="18"/>
        </w:rPr>
        <w:t>part.sections[]</w:t>
      </w:r>
      <w:r>
        <w:rPr>
          <w:rFonts w:ascii="Calibri" w:hAnsi="Calibri"/>
          <w:sz w:val="22"/>
        </w:rPr>
        <w:t>. It holds note articles directly — no subsection nesting.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"SEC-NOTES-PART-B-4",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"Notes to Part 4 Structural Design",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"subsections":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"articles": [ NoteArticle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[627, 628, 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`"SEC-NOTES-{part_id}"` e.g. `"SEC-NOTES-PART-B-4"`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Always `""` (empty)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`"Notes to Part {n} {Part Title}"`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Always empty `[]`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`articles`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`NoteArticle[]`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Note articles held directly (no subsection nesting)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Pages covered by the notes segment</w:t>
            </w:r>
          </w:p>
        </w:tc>
      </w:tr>
    </w:tbl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Which Parts have a NotesSection:</w:t>
      </w:r>
      <w:r>
        <w:rPr>
          <w:rFonts w:ascii="Calibri" w:hAnsi="Calibri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Part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Notes Section ID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PART-A-1 (Compliance)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`SEC-NOTES-PART-A-1`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PART-A-2 (Objectives)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`SEC-NOTES-PART-A-2`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PART-A-3 (Functional Statements)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`SEC-NOTES-PART-A-3`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PART-B-1 (General)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`SEC-NOTES-PART-B-1`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PART-B-3 (Fire Protection)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`SEC-NOTES-PART-B-3`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PART-B-4 (Structural Design)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`SEC-NOTES-PART-B-4`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PART-B-5 (Environmental Separation)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`SEC-NOTES-PART-B-5`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PART-B-6 (HVAC)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`SEC-NOTES-PART-B-6`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PART-B-8 (Construction Safety)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`SEC-NOTES-PART-B-8`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PART-B-9 (Housing)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`SEC-NOTES-PART-B-9`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PART-B-10 (Energy Efficiency)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`SEC-NOTES-PART-B-10`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PART-C-2 (Administrative Provisions)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`SEC-NOTES-PART-C-2`</w:t>
            </w:r>
          </w:p>
        </w:tc>
      </w:tr>
    </w:tbl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NoteArticle</w:t>
      </w:r>
      <w:r>
        <w:rPr>
          <w:rFonts w:ascii="Calibri" w:hAnsi="Calibri"/>
          <w:sz w:val="22"/>
        </w:rPr>
        <w:t xml:space="preserve"> — same outer shape as a regular </w:t>
      </w:r>
      <w:r>
        <w:rPr>
          <w:rFonts w:ascii="Courier New" w:hAnsi="Courier New"/>
          <w:color w:val="C7254E"/>
          <w:sz w:val="18"/>
        </w:rPr>
        <w:t>Article</w:t>
      </w:r>
      <w:r>
        <w:rPr>
          <w:rFonts w:ascii="Calibri" w:hAnsi="Calibri"/>
          <w:sz w:val="22"/>
        </w:rPr>
        <w:t xml:space="preserve"> (§3.8) but with an </w:t>
      </w:r>
      <w:r>
        <w:rPr>
          <w:rFonts w:ascii="Courier New" w:hAnsi="Courier New"/>
          <w:color w:val="C7254E"/>
          <w:sz w:val="18"/>
        </w:rPr>
        <w:t>A-</w:t>
      </w:r>
      <w:r>
        <w:rPr>
          <w:rFonts w:ascii="Calibri" w:hAnsi="Calibri"/>
          <w:sz w:val="22"/>
        </w:rPr>
        <w:t xml:space="preserve">-prefixed number, an </w:t>
      </w:r>
      <w:r>
        <w:rPr>
          <w:rFonts w:ascii="Courier New" w:hAnsi="Courier New"/>
          <w:color w:val="C7254E"/>
          <w:sz w:val="18"/>
        </w:rPr>
        <w:t>ART-NOTE-</w:t>
      </w:r>
      <w:r>
        <w:rPr>
          <w:rFonts w:ascii="Calibri" w:hAnsi="Calibri"/>
          <w:sz w:val="22"/>
        </w:rPr>
        <w:t xml:space="preserve"> id, and uses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rFonts w:ascii="Calibri" w:hAnsi="Calibri"/>
          <w:sz w:val="22"/>
        </w:rPr>
        <w:t xml:space="preserve"> instead of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rFonts w:ascii="Calibri" w:hAnsi="Calibri"/>
          <w:sz w:val="22"/>
        </w:rPr>
        <w:t>: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"ART-NOTE-A-4-1-1-3--1-",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"A-4.1.1.3.(1)",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"Structural Integrity",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"sentences":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[ ContentItem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"tables":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"figures":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"equations":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"note_refs":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[627]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**Identification:** Detect a NoteArticle by `id.startsWith("ART-NOTE-")` or `number.startsWith("A-")`. Detect a NotesSection by `id.startsWith("SEC-NOTES-")`.</w:t>
      </w:r>
    </w:p>
    <w:p/>
    <w:p/>
    <w:p/>
    <w:p>
      <w:pPr>
        <w:pStyle w:val="Heading3"/>
      </w:pPr>
      <w:r>
        <w:t>3.7 Subsection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"SUBSEC-4-1-6",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"4.1.6",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"Wind Load",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"articles": [ Article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[510, 511, 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 — `"SUBSEC-{n}-{m}-{k}"`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`articles`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`Article[]`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</w:tr>
    </w:tbl>
    <w:p/>
    <w:p/>
    <w:p/>
    <w:p>
      <w:pPr>
        <w:pStyle w:val="Heading3"/>
      </w:pPr>
      <w:r>
        <w:t>3.8 Article — The Core Content Node</w:t>
      </w:r>
    </w:p>
    <w:p/>
    <w:p>
      <w:r>
        <w:rPr>
          <w:rFonts w:ascii="Calibri" w:hAnsi="Calibri"/>
          <w:sz w:val="22"/>
        </w:rPr>
        <w:t xml:space="preserve">An </w:t>
      </w:r>
      <w:r>
        <w:rPr>
          <w:rFonts w:ascii="Calibri" w:hAnsi="Calibri"/>
          <w:b/>
          <w:sz w:val="22"/>
        </w:rPr>
        <w:t>Article</w:t>
      </w:r>
      <w:r>
        <w:rPr>
          <w:rFonts w:ascii="Calibri" w:hAnsi="Calibri"/>
          <w:sz w:val="22"/>
        </w:rPr>
        <w:t xml:space="preserve"> maps to a 4-part numbered provision (e.g. </w:t>
      </w:r>
      <w:r>
        <w:rPr>
          <w:rFonts w:ascii="Courier New" w:hAnsi="Courier New"/>
          <w:color w:val="C7254E"/>
          <w:sz w:val="18"/>
        </w:rPr>
        <w:t>4.1.1.3</w:t>
      </w:r>
      <w:r>
        <w:rPr>
          <w:rFonts w:ascii="Calibri" w:hAnsi="Calibri"/>
          <w:sz w:val="22"/>
        </w:rPr>
        <w:t xml:space="preserve">). Its legal content is structured as an ordered list of </w:t>
      </w:r>
      <w:r>
        <w:rPr>
          <w:rFonts w:ascii="Calibri" w:hAnsi="Calibri"/>
          <w:b/>
          <w:sz w:val="22"/>
        </w:rPr>
        <w:t>Sentences</w:t>
      </w:r>
      <w:r>
        <w:rPr>
          <w:rFonts w:ascii="Calibri" w:hAnsi="Calibri"/>
          <w:sz w:val="22"/>
        </w:rPr>
        <w:t xml:space="preserve">, each of which may contain </w:t>
      </w:r>
      <w:r>
        <w:rPr>
          <w:rFonts w:ascii="Calibri" w:hAnsi="Calibri"/>
          <w:b/>
          <w:sz w:val="22"/>
        </w:rPr>
        <w:t>Clauses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Subclauses</w:t>
      </w:r>
      <w:r>
        <w:rPr>
          <w:rFonts w:ascii="Calibri" w:hAnsi="Calibri"/>
          <w:sz w:val="22"/>
        </w:rPr>
        <w:t>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"ART-4-1-6-5",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"4.1.6.5",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"Snow Load on Lower Roofs",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"sentences": [ Sentence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"tables": [ Table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"figures": [ Figure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"equations": [ Equation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 Reference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"note_refs": [ NoteRef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[530, 531, 532]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`"ART-{n}-{m}-{k}-{j}"` or `"ART-AUTO-{n}"` for unnumbered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Dotted number e.g. `"4.1.6.5"`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Article heading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`sentences`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`Sentence[]`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Ordered numbered sentences (see §3.8.1)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`content`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`ContentItem[]`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Used **only** for note articles / unnumbered fallback — empty for regular code articles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Article-level tables (see §3.9)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Figure metadata and image paths (see §3.10)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Block equations with LaTeX (see §3.11)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Outgoing cross-references (see §3.12)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`note_refs`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`NoteRef[]`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Appendix note references (see §3.13)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Page numbers this article spans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For regular code articles, `content[]` is always `[]`. Use `sentences[]` to access the legal text.</w:t>
      </w:r>
    </w:p>
    <w:p/>
    <w:p/>
    <w:p/>
    <w:p>
      <w:pPr>
        <w:pStyle w:val="Heading3"/>
      </w:pPr>
      <w:r>
        <w:t>3.8.1 Sentence</w:t>
      </w:r>
    </w:p>
    <w:p/>
    <w:p>
      <w:r>
        <w:rPr>
          <w:rFonts w:ascii="Calibri" w:hAnsi="Calibri"/>
          <w:sz w:val="22"/>
        </w:rPr>
        <w:t xml:space="preserve">A </w:t>
      </w:r>
      <w:r>
        <w:rPr>
          <w:rFonts w:ascii="Calibri" w:hAnsi="Calibri"/>
          <w:b/>
          <w:sz w:val="22"/>
        </w:rPr>
        <w:t>Sentence</w:t>
      </w:r>
      <w:r>
        <w:rPr>
          <w:rFonts w:ascii="Calibri" w:hAnsi="Calibri"/>
          <w:sz w:val="22"/>
        </w:rPr>
        <w:t xml:space="preserve"> maps to a numbered item within an Article — e.g. </w:t>
      </w:r>
      <w:r>
        <w:rPr>
          <w:rFonts w:ascii="Courier New" w:hAnsi="Courier New"/>
          <w:color w:val="C7254E"/>
          <w:sz w:val="18"/>
        </w:rPr>
        <w:t>1)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3)</w:t>
      </w:r>
      <w:r>
        <w:rPr>
          <w:rFonts w:ascii="Calibri" w:hAnsi="Calibri"/>
          <w:sz w:val="22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</w:t>
      </w:r>
      <w:r>
        <w:rPr>
          <w:rFonts w:ascii="Calibri" w:hAnsi="Calibri"/>
          <w:sz w:val="22"/>
        </w:rPr>
        <w:t>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"SENT-4-1-6-5-1",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"4.1.6.5.(1)",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"marker": "1)",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"The snow load, S, on a roof or other surface...",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"clauses": [ Clause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"tables":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"figures":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"equations":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[530]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`"SENT-{art_safe}-{n}"` e.g. `"SENT-4-1-6-5-1"`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contextual number e.g. `"4.1.6.5.(1)"`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`marker`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Raw marker as it appeared: `"1)"`, `"2)"`, etc.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`content`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Introductory or full text of the sentence (before any clause list)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`clauses`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`Clause[]`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Lettered clause items under this sentence (see §3.8.2)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Tables attached to this sentence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Figures attached to this sentence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Equations attached to this sentence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Cross-references found in this sentence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If `clauses[]` is empty, all legal text is in `content`. If `clauses[]` is populated, `content` holds the introductory preamble before the clause list.</w:t>
      </w:r>
    </w:p>
    <w:p/>
    <w:p/>
    <w:p/>
    <w:p>
      <w:pPr>
        <w:pStyle w:val="Heading3"/>
      </w:pPr>
      <w:r>
        <w:t>3.8.2 Clause</w:t>
      </w:r>
    </w:p>
    <w:p/>
    <w:p>
      <w:r>
        <w:rPr>
          <w:rFonts w:ascii="Calibri" w:hAnsi="Calibri"/>
          <w:sz w:val="22"/>
        </w:rPr>
        <w:t xml:space="preserve">A </w:t>
      </w:r>
      <w:r>
        <w:rPr>
          <w:rFonts w:ascii="Calibri" w:hAnsi="Calibri"/>
          <w:b/>
          <w:sz w:val="22"/>
        </w:rPr>
        <w:t>Clause</w:t>
      </w:r>
      <w:r>
        <w:rPr>
          <w:rFonts w:ascii="Calibri" w:hAnsi="Calibri"/>
          <w:sz w:val="22"/>
        </w:rPr>
        <w:t xml:space="preserve"> maps to a lettered item under a Sentence — e.g. </w:t>
      </w:r>
      <w:r>
        <w:rPr>
          <w:rFonts w:ascii="Courier New" w:hAnsi="Courier New"/>
          <w:color w:val="C7254E"/>
          <w:sz w:val="18"/>
        </w:rPr>
        <w:t>(a)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(c)</w:t>
      </w:r>
      <w:r>
        <w:rPr>
          <w:rFonts w:ascii="Calibri" w:hAnsi="Calibri"/>
          <w:sz w:val="22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</w:t>
      </w:r>
      <w:r>
        <w:rPr>
          <w:rFonts w:ascii="Calibri" w:hAnsi="Calibri"/>
          <w:sz w:val="22"/>
        </w:rPr>
        <w:t>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"CLAUSE-4-1-6-5-1-a",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"4.1.6.5.(1)(a)",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"marker": "(a)",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"the specified snow load, Ss, from...",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"subclauses": [ Subclause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"tables":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"figures":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"equations":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[530]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`"CLAUSE-{art_safe}-{sent_n}-{letter}"` e.g. `"CLAUSE-4-1-6-5-1-a"`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contextual number e.g. `"4.1.6.5.(1)(a)"`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`marker`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Raw marker: `"(a)"`, `"(b)"`, etc.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`content`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Text of this clause (intro text before any subclause list)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`subclauses`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`Subclause[]`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Roman-numeral subclause items (see §3.8.3)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Tables attached to this clause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`Figure[]`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Figures attached to this clause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`Equation[]`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Equations attached to this clause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Cross-references in this clause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If `subclauses[]` is empty, all legal text is in `content`. If `subclauses[]` is populated, `content` holds the introductory preamble before the subclause list.</w:t>
      </w:r>
    </w:p>
    <w:p/>
    <w:p/>
    <w:p/>
    <w:p>
      <w:pPr>
        <w:pStyle w:val="Heading3"/>
      </w:pPr>
      <w:r>
        <w:t>3.8.3 Subclause</w:t>
      </w:r>
    </w:p>
    <w:p/>
    <w:p>
      <w:r>
        <w:rPr>
          <w:rFonts w:ascii="Calibri" w:hAnsi="Calibri"/>
          <w:sz w:val="22"/>
        </w:rPr>
        <w:t xml:space="preserve">A </w:t>
      </w:r>
      <w:r>
        <w:rPr>
          <w:rFonts w:ascii="Calibri" w:hAnsi="Calibri"/>
          <w:b/>
          <w:sz w:val="22"/>
        </w:rPr>
        <w:t>Subclause</w:t>
      </w:r>
      <w:r>
        <w:rPr>
          <w:rFonts w:ascii="Calibri" w:hAnsi="Calibri"/>
          <w:sz w:val="22"/>
        </w:rPr>
        <w:t xml:space="preserve"> maps to a roman-numeral item under a Clause — e.g. </w:t>
      </w:r>
      <w:r>
        <w:rPr>
          <w:rFonts w:ascii="Courier New" w:hAnsi="Courier New"/>
          <w:color w:val="C7254E"/>
          <w:sz w:val="18"/>
        </w:rPr>
        <w:t>(i)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(iii)</w:t>
      </w:r>
      <w:r>
        <w:rPr>
          <w:rFonts w:ascii="Calibri" w:hAnsi="Calibri"/>
          <w:sz w:val="22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4.1.1.3.(2)(a)(i)</w:t>
      </w:r>
      <w:r>
        <w:rPr>
          <w:rFonts w:ascii="Calibri" w:hAnsi="Calibri"/>
          <w:sz w:val="22"/>
        </w:rPr>
        <w:t>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"SUBCLAUSE-CLAUSE-4-1-6-5-1-a-i",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"4.1.6.5.(1)(a)(i)",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"marker": "(i)",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"content": "the specified snow load on the upper roof...",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[530],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`"SUBCLAUSE-{clause_id_safe}-{roman}"`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contextual number e.g. `"4.1.6.5.(1)(a)(i)"`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`marker`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Raw marker: `"(i)"`, `"(ii)"`, etc.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`content`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text of this subclause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Cross-references in this subclause</w:t>
            </w:r>
          </w:p>
        </w:tc>
      </w:tr>
    </w:tbl>
    <w:p/>
    <w:p/>
    <w:p/>
    <w:p>
      <w:pPr>
        <w:pStyle w:val="Heading3"/>
      </w:pPr>
      <w:r>
        <w:t>3.8.4 ContentItem — Fallback Inline Content (Notes / Legacy)</w:t>
      </w:r>
    </w:p>
    <w:p/>
    <w:p>
      <w:r>
        <w:rPr>
          <w:rFonts w:ascii="Calibri" w:hAnsi="Calibri"/>
          <w:sz w:val="22"/>
        </w:rPr>
      </w:r>
      <w:r>
        <w:rPr>
          <w:rFonts w:ascii="Courier New" w:hAnsi="Courier New"/>
          <w:color w:val="C7254E"/>
          <w:sz w:val="18"/>
        </w:rPr>
        <w:t>ContentItem</w:t>
      </w:r>
      <w:r>
        <w:rPr>
          <w:rFonts w:ascii="Calibri" w:hAnsi="Calibri"/>
          <w:sz w:val="22"/>
        </w:rPr>
        <w:t xml:space="preserve"> objects appear only in </w:t>
      </w:r>
      <w:r>
        <w:rPr>
          <w:rFonts w:ascii="Courier New" w:hAnsi="Courier New"/>
          <w:color w:val="C7254E"/>
          <w:sz w:val="18"/>
        </w:rPr>
        <w:t>article.content[]</w:t>
      </w:r>
      <w:r>
        <w:rPr>
          <w:rFonts w:ascii="Calibri" w:hAnsi="Calibri"/>
          <w:sz w:val="22"/>
        </w:rPr>
        <w:t xml:space="preserve"> for </w:t>
      </w:r>
      <w:r>
        <w:rPr>
          <w:rFonts w:ascii="Calibri" w:hAnsi="Calibri"/>
          <w:b/>
          <w:sz w:val="22"/>
        </w:rPr>
        <w:t>note articles</w:t>
      </w:r>
      <w:r>
        <w:rPr>
          <w:rFonts w:ascii="Calibri" w:hAnsi="Calibri"/>
          <w:sz w:val="22"/>
        </w:rPr>
        <w:t xml:space="preserve"> and unnumbered fallback articles. They do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appear in regular code articles (which use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rFonts w:ascii="Calibri" w:hAnsi="Calibri"/>
          <w:sz w:val="22"/>
        </w:rPr>
        <w:t xml:space="preserve"> instead).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type ContentItemType = "text" | "equation" | "figure" | "table";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interface ContentItem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type:       ContentItemType;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value:      string;   // text body, equation ID, table caption, or ""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latex:      string;   // LaTeX string — only for type="equation"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figure_id:  string;   // e.g. "FIG-56"  — only for type="figure"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image_key:  string;   // filename hash — only for type="figure"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image_path: string;   // relative path  — only for type="figure"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caption:    string;   // figure caption  — only for type="figure"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alt_text:   string;   // figure alt text — only for type="figure"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table_id:   string;   // e.g. "TBL-218" — only for type="table"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marker:     string;   // always "" in current output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The `"sub_clause"` ContentItem type from previous schema versions no longer exists. Lettered items are now explicit `Clause` nodes under `sentence.clauses[]`.</w:t>
      </w:r>
    </w:p>
    <w:p/>
    <w:p/>
    <w:p/>
    <w:p>
      <w:pPr>
        <w:pStyle w:val="Heading3"/>
      </w:pPr>
      <w:r>
        <w:t>3.9 Table</w:t>
      </w:r>
    </w:p>
    <w:p/>
    <w:p>
      <w:r>
        <w:rPr>
          <w:rFonts w:ascii="Calibri" w:hAnsi="Calibri"/>
          <w:sz w:val="22"/>
        </w:rPr>
        <w:t xml:space="preserve">Tables now use a fully structured schema. </w:t>
      </w:r>
      <w:r>
        <w:rPr>
          <w:rFonts w:ascii="Courier New" w:hAnsi="Courier New"/>
          <w:color w:val="C7254E"/>
          <w:sz w:val="18"/>
        </w:rPr>
        <w:t>caption</w:t>
      </w:r>
      <w:r>
        <w:rPr>
          <w:rFonts w:ascii="Calibri" w:hAnsi="Calibri"/>
          <w:sz w:val="22"/>
        </w:rPr>
        <w:t xml:space="preserve"> is a parsed object, </w:t>
      </w:r>
      <w:r>
        <w:rPr>
          <w:rFonts w:ascii="Courier New" w:hAnsi="Courier New"/>
          <w:color w:val="C7254E"/>
          <w:sz w:val="18"/>
        </w:rPr>
        <w:t>headers</w:t>
      </w:r>
      <w:r>
        <w:rPr>
          <w:rFonts w:ascii="Calibri" w:hAnsi="Calibri"/>
          <w:sz w:val="22"/>
        </w:rPr>
        <w:t xml:space="preserve"> are indexed objects, and </w:t>
      </w:r>
      <w:r>
        <w:rPr>
          <w:rFonts w:ascii="Courier New" w:hAnsi="Courier New"/>
          <w:color w:val="C7254E"/>
          <w:sz w:val="18"/>
        </w:rPr>
        <w:t>rows</w:t>
      </w:r>
      <w:r>
        <w:rPr>
          <w:rFonts w:ascii="Calibri" w:hAnsi="Calibri"/>
          <w:sz w:val="22"/>
        </w:rPr>
        <w:t xml:space="preserve"> are structured with per-cell reference extraction.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"TBL-2",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"caption":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"raw": "Table 1.1.1.1.(5) Alternate Compliance Methods for Heritage Buildings Forming Part of Sentence 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"table_number": "1.1.1.1.(5)",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"table_label": "Table 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"title": "Alternate Compliance Methods for Heritage Buildings",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"forming_part_of":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"kind": "Sentence",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"raw": "Sentence 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"number": "1.1.1.1.(5)",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"target_id": "SENT-1-1-1-1-5",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"resolved": true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"headers": [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 "index": 0, "text": "No."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 "index": 1, "text": "Code Requirement in Division B"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 "index": 2, "text": "Alternate Compliance Method"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"rows": [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"row_id": "TBL-2-R1",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"cells": [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"col_index": 0,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"header": "No.",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"raw": "1",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"value": "1",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"references": 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"col_index": 1,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"header": "Code Requirement in Division B",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"raw": "Fire Separations Sentence 3.1.3.1.(1), Table 3.1.3.1., Subsection 9.10.9. 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"value": "Fire Separations Sentence 3.1.3.1.(1), Table 3.1.3.1., Subsection 9.10.9. 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"references": [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"text": "Sentence 3.1.3.1.(1)",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"kind": "Sentence",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"number": "3.1.3.1.(1)",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"target_id": "SENT-3-1-3-1-1",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"resolved": true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"text": "Table 3.1.3.1.",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"kind": "Table",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"number": "3.1.3.1",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"target_id": "TBL-52",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"resolved": true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"text": "Subsection 9.10.9.",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"kind": "Subsection",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"number": "9.10.9",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"target_id": "SEC-9-10-9",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"resolved": false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"col_index": 2,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"header": "Alternate Compliance Method",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"raw": "Except for F1 occupancies...",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"value": "Except for F1 occupancies...",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"references": 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"page_span": [32]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"references": [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"text": "Sentence 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"kind": "Sentence",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"number": "1.1.1.1.(5)",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"target_id": "SENT-1-1-1-1-5",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"resolved": true,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"source": "caption"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"text": "Sentence 3.1.3.1.(1)",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"kind": "Sentence",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"number": "3.1.3.1.(1)",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"target_id": "SENT-3-1-3-1-1",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"resolved": true,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"source": "cell"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"page": 32,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[32]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Heading4"/>
      </w:pPr>
      <w:r>
        <w:t>3.9.1 Table Top-Level Fields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`"TBL-{n}"`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`caption`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`TableCaption`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Structured caption object (see §3.9.2)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`headers`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`Header[]`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Structured column headers (see §3.9.3)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`rows`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`Row[]`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Structured data rows with cell-level references (see §3.9.4)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`TableReference[]`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Deduplicated references extracted from caption + all cells (see §3.9.5)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Page where the table starts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All pages this table covers (multi-page tables after merging)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`column_semantics`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AI-generated semantic labels per column (present only when `--ai` flag used)</w:t>
            </w:r>
          </w:p>
        </w:tc>
      </w:tr>
    </w:tbl>
    <w:p/>
    <w:p/>
    <w:p>
      <w:pPr>
        <w:pStyle w:val="Heading4"/>
      </w:pPr>
      <w:r>
        <w:t>3.9.2 TableCaption Object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`raw`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Original caption string exactly as in the PDF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`table_number`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Extracted table number e.g. `"1.1.1.1.(5)"` or `"4.1.6.5.-B"`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`table_label`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`"Table {table_number}"` — ready-to-display label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Descriptive title text (caption minus the table label and forming_part_of suffix)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`forming_part_of`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`FormingPartOf \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null`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Parsed "Forming Part of …" reference, or `null` if absent</w:t>
            </w:r>
          </w:p>
        </w:tc>
      </w:tr>
    </w:tbl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FormingPartOf Object:</w:t>
      </w:r>
      <w:r>
        <w:rPr>
          <w:rFonts w:ascii="Calibri" w:hAnsi="Calibri"/>
          <w:sz w:val="22"/>
        </w:rPr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`kind`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Reference type: `"Sentence"`, `"Article"`, `"Subsection"`, etc.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`raw`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raw reference text e.g. `"Sentence 1.1.1.1.(5)"`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Numeric identifier e.g. `"1.1.1.1.(5)"`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`target_id`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Resolved document node ID e.g. `"SENT-1-1-1-1-5"` (empty string if unresolved)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`resolved`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`boolean`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`true` if the target exists in this document</w:t>
            </w:r>
          </w:p>
        </w:tc>
      </w:tr>
    </w:tbl>
    <w:p/>
    <w:p/>
    <w:p>
      <w:pPr>
        <w:pStyle w:val="Heading4"/>
      </w:pPr>
      <w:r>
        <w:t>3.9.3 Header Object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`index`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Zero-based column index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`text`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Header label text</w:t>
            </w:r>
          </w:p>
        </w:tc>
      </w:tr>
    </w:tbl>
    <w:p/>
    <w:p/>
    <w:p>
      <w:pPr>
        <w:pStyle w:val="Heading4"/>
      </w:pPr>
      <w:r>
        <w:t>3.9.4 Row and Cell Objects</w:t>
      </w:r>
    </w:p>
    <w:p/>
    <w:p>
      <w:r>
        <w:rPr>
          <w:rFonts w:ascii="Calibri" w:hAnsi="Calibri"/>
          <w:sz w:val="22"/>
        </w:rPr>
        <w:t xml:space="preserve">Each row in </w:t>
      </w:r>
      <w:r>
        <w:rPr>
          <w:rFonts w:ascii="Courier New" w:hAnsi="Courier New"/>
          <w:color w:val="C7254E"/>
          <w:sz w:val="18"/>
        </w:rPr>
        <w:t>rows[]</w:t>
      </w:r>
      <w:r>
        <w:rPr>
          <w:rFonts w:ascii="Calibri" w:hAnsi="Calibri"/>
          <w:sz w:val="22"/>
        </w:rPr>
        <w:t xml:space="preserve"> is a </w:t>
      </w:r>
      <w:r>
        <w:rPr>
          <w:rFonts w:ascii="Courier New" w:hAnsi="Courier New"/>
          <w:color w:val="C7254E"/>
          <w:sz w:val="18"/>
        </w:rPr>
        <w:t>Row</w:t>
      </w:r>
      <w:r>
        <w:rPr>
          <w:rFonts w:ascii="Calibri" w:hAnsi="Calibri"/>
          <w:sz w:val="22"/>
        </w:rPr>
        <w:t xml:space="preserve"> object: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`row_id`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`"TBL-{n}-R{rowIndex}"` e.g. `"TBL-2-R1"`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`cells`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`Cell[]`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Ordered array of cell objects, one per column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Pages this row appears on (inherits from table `page_span`)</w:t>
            </w:r>
          </w:p>
        </w:tc>
      </w:tr>
    </w:tbl>
    <w:p/>
    <w:p/>
    <w:p>
      <w:r>
        <w:rPr>
          <w:rFonts w:ascii="Calibri" w:hAnsi="Calibri"/>
          <w:sz w:val="22"/>
        </w:rPr>
        <w:t xml:space="preserve">Each </w:t>
      </w:r>
      <w:r>
        <w:rPr>
          <w:rFonts w:ascii="Courier New" w:hAnsi="Courier New"/>
          <w:color w:val="C7254E"/>
          <w:sz w:val="18"/>
        </w:rPr>
        <w:t>Cell</w:t>
      </w:r>
      <w:r>
        <w:rPr>
          <w:rFonts w:ascii="Calibri" w:hAnsi="Calibri"/>
          <w:sz w:val="22"/>
        </w:rPr>
        <w:t xml:space="preserve"> object: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`col_index`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Zero-based column index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`header`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Text of the column header for this cell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`raw`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Raw cell text as extracted from the PDF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`value`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Same as `raw` (available for future normalization)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`CellReference[]`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Structured references extracted from this cell's text</w:t>
            </w:r>
          </w:p>
        </w:tc>
      </w:tr>
    </w:tbl>
    <w:p/>
    <w:p/>
    <w:p>
      <w:r>
        <w:rPr>
          <w:rFonts w:ascii="Calibri" w:hAnsi="Calibri"/>
          <w:sz w:val="22"/>
        </w:rPr>
        <w:t xml:space="preserve">Each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rFonts w:ascii="Calibri" w:hAnsi="Calibri"/>
          <w:sz w:val="22"/>
        </w:rPr>
        <w:t xml:space="preserve"> object: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`text`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Original reference text as found in the cell e.g. `"Sentence 3.1.3.1.(1)"`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`kind`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One of: `"Sentence"`, `"Article"`, `"Subsection"`, `"Section"`, `"Clause"`, `"Table"`, `"Figure"`, `"Appendix"`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Extracted numeric identifier e.g. `"3.1.3.1.(1)"`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`target_id`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Resolved document node ID (empty string `""` if unresolved)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`resolved`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`boolean`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`true` if the target exists in this document</w:t>
            </w:r>
          </w:p>
        </w:tc>
      </w:tr>
    </w:tbl>
    <w:p/>
    <w:p/>
    <w:p>
      <w:pPr>
        <w:pStyle w:val="Heading4"/>
      </w:pPr>
      <w:r>
        <w:t>3.9.5 Table-Level References</w:t>
      </w:r>
    </w:p>
    <w:p/>
    <w:p>
      <w:r>
        <w:rPr>
          <w:rFonts w:ascii="Calibri" w:hAnsi="Calibri"/>
          <w:sz w:val="22"/>
        </w:rPr>
      </w:r>
      <w:r>
        <w:rPr>
          <w:rFonts w:ascii="Courier New" w:hAnsi="Courier New"/>
          <w:color w:val="C7254E"/>
          <w:sz w:val="18"/>
        </w:rPr>
        <w:t>table.references[]</w:t>
      </w:r>
      <w:r>
        <w:rPr>
          <w:rFonts w:ascii="Calibri" w:hAnsi="Calibri"/>
          <w:sz w:val="22"/>
        </w:rPr>
        <w:t xml:space="preserve"> is a deduplicated union of all references found anywhere in the table — from the caption's </w:t>
      </w:r>
      <w:r>
        <w:rPr>
          <w:rFonts w:ascii="Courier New" w:hAnsi="Courier New"/>
          <w:color w:val="C7254E"/>
          <w:sz w:val="18"/>
        </w:rPr>
        <w:t>forming_part_of</w:t>
      </w:r>
      <w:r>
        <w:rPr>
          <w:rFonts w:ascii="Calibri" w:hAnsi="Calibri"/>
          <w:sz w:val="22"/>
        </w:rPr>
        <w:t xml:space="preserve"> and from every cell. Each entry has all the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rFonts w:ascii="Calibri" w:hAnsi="Calibri"/>
          <w:sz w:val="22"/>
        </w:rPr>
        <w:t xml:space="preserve"> fields plus: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Additional 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`source`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`"caption"` if extracted from the caption, `"cell"` if from a row cell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**Resolution stats:** 724 total table references extracted across 388 tables; 679 resolved (93.8%). Unresolved references point to external BCBC volumes not in this PDF.</w:t>
      </w:r>
    </w:p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**Cells may contain LaTeX math** (backslash notation). Render with KaTeX or MathJax.</w:t>
      </w:r>
    </w:p>
    <w:p/>
    <w:p/>
    <w:p/>
    <w:p>
      <w:pPr>
        <w:pStyle w:val="Heading3"/>
      </w:pPr>
      <w:r>
        <w:t>3.10 Figure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"FIG-56",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"caption": "Figure 4.1.6.5.-B Snow load cases I, II and III...",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"alt_text": "Figure 4.1.6.5.-B: ROOF PLAN showing three snow load cases...",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"image_key": "223b363465c3987e97bf7cf0bc1dbe0d_img.jpg",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"image_path": "storage\\figures\\223b363465c3987e97bf7cf0bc1dbe0d_img.jpg",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"page": 532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`"FIG-{n}"`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`caption`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Figure caption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`alt_text`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Accessibility 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`image_key`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Filename (hash-based) in `storage/figures/`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`image_path`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Relative path from project root (Windows backslashes)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Source page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**Path note:** `image_path` uses Windows backslashes. Normalize to forward slashes on the frontend or use `image_key` to build the URL via the API.</w:t>
      </w:r>
    </w:p>
    <w:p/>
    <w:p/>
    <w:p/>
    <w:p>
      <w:pPr>
        <w:pStyle w:val="Heading3"/>
      </w:pPr>
      <w:r>
        <w:t>3.11 Equation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"EQ-13",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"latex": "C_{a0} = \\beta \\frac{\\gamma h}{C_b S_s} \\text{ and}",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"page": 531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`"EQ-{n}"`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`latex`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LaTeX math string (without `$` delimiters)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`page`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Source page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Render with `\[ ... \]` block display (MathJax) or `\displaystyle` (KaTeX).</w:t>
      </w:r>
    </w:p>
    <w:p/>
    <w:p/>
    <w:p/>
    <w:p>
      <w:pPr>
        <w:pStyle w:val="Heading3"/>
      </w:pPr>
      <w:r>
        <w:t>3.12 Reference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"text": "Table 4.1.6.5.-A",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"kind": "Table",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"target_id": "TBL-217",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"resolved": true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`text`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Original reference text as it appeared in the PDF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`kind`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One of: `"Sentence"`, `"Article"`, `"Subsection"`, `"Section"`, `"Clause"`, `"Table"`, `"Figure"`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`target_id`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ID of the referenced node (e.g. `"ART-4-1-6-5"`, `"TBL-217"`, `"FIG-3"`)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`resolved`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`boolean`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`true` if target exists in this document; `false` if it points to an external volume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Unresolved references (~15%) point to other BCBC volumes not in this PDF. Only render links when `resolved: true`.</w:t>
      </w:r>
    </w:p>
    <w:p/>
    <w:p/>
    <w:p/>
    <w:p>
      <w:pPr>
        <w:pStyle w:val="Heading3"/>
      </w:pPr>
      <w:r>
        <w:t>3.13 NoteRef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"raw": "See Note A-1.1.1.1.(3).",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"note_ref": "A-1.1.1.1.(3).",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"target_ids": ["ART-NOTE-A-1-1-1-1--3-"],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"resolved": true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`raw`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original text including "See Note "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`note_ref`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The extracted note identifier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`target_ids`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`string[]`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Array of article IDs (can resolve to multiple)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`resolved`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`boolean`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`true` if all targets exist in this document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`target_ids` now contains `ART-NOTE-*` IDs (previously `CL-NOTE-*`). Update any frontend lookups accordingly.</w:t>
      </w:r>
    </w:p>
    <w:p/>
    <w:p/>
    <w:p/>
    <w:p>
      <w:pPr>
        <w:pStyle w:val="Heading3"/>
      </w:pPr>
      <w:r>
        <w:t>3.14 Appendix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"id": "APP-B-C",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"number": "C",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"title": "Climatic and Seismic Information for Building Design in Canada",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"sections": [ Section ],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"page_span": [...]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`id`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 — `"APP-{div}-{letter}"`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`title`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`sections`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`Section[]`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Appendix sections use the same Article/Sentence/Clause/Subclause hierarchy as regular Part sections.</w:t>
      </w:r>
    </w:p>
    <w:p/>
    <w:p/>
    <w:p/>
    <w:p>
      <w:pPr>
        <w:pStyle w:val="Heading2"/>
      </w:pPr>
      <w:r>
        <w:t>4. ID Naming Conventions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Division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`DIV-{letter}`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`DIV-B`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Part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`PART-{div}-{n}`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`PART-B-4`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Section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`SEC-{n}-{m}`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`SEC-4-1`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Notes Section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`SEC-NOTES-{part_id}`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`SEC-NOTES-PART-B-4`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Subsection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`SUBSEC-{n}-{m}-{k}`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`SUBSEC-4-1-6`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Article (numbered)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`ART-{n}-{m}-{k}-{j}`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`ART-4-1-6-5`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Article (unnumbered)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`ART-AUTO-{n}`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`ART-AUTO-153`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Note Article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`ART-NOTE-{A-num}`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`ART-NOTE-A-4-1-1-3--1-`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Sentence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`SENT-{art_safe}-{n}`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`SENT-4-1-6-5-1`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Clause (lettered)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`CLAUSE-{art_safe}-{sent_n}-{letter}`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`CLAUSE-4-1-6-5-1-a`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Subclause (roman)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`SUBCLAUSE-{clause_id_safe}-{roman}`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`SUBCLAUSE-CLAUSE-4-1-6-5-1-a-i`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Table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`TBL-{n}`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`TBL-218`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Figure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`FIG-56`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Equation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`EQ-{n}`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`EQ-13`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Appendix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`APP-{div}-{letter}`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`APP-B-C`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Preface section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`PREF-SEC-{nn}`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`PREF-SEC-01`</w:t>
            </w:r>
          </w:p>
        </w:tc>
      </w:tr>
    </w:tbl>
    <w:p/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Dots in article numbers are replaced with hyphens: `4.1.6.5` → `ART-4-1-6-5`.</w:t>
      </w:r>
    </w:p>
    <w:p/>
    <w:p>
      <w:pPr>
        <w:pStyle w:val="NoSpacing"/>
        <w:ind w:left="432"/>
      </w:pPr>
      <w:r>
        <w:rPr>
          <w:rFonts w:ascii="Calibri" w:hAnsi="Calibri"/>
          <w:i/>
          <w:color w:val="555555"/>
          <w:sz w:val="20"/>
        </w:rPr>
        <w:t>For note articles, `.` `(` `)` are all replaced with `-`: `A-4.1.1.3.(1)` → `ART-NOTE-A-4-1-1-3--1-`.</w:t>
      </w:r>
    </w:p>
    <w:p/>
    <w:p/>
    <w:p/>
    <w:p>
      <w:pPr>
        <w:pStyle w:val="Heading2"/>
      </w:pPr>
      <w:r>
        <w:t>5. Document Tree — Full Hierarchy Diagram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Document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├── title, source_pdf, total_pages, _stats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├── preface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└── sections[]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 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    ├── content[]  ← ContentItem[]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    └── subsections[]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├── divisions[]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├── parts[]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└── sections[]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├── [Regular Section]  id="SEC-4-1", number="4.1"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├── subsections[]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└── articles[]   ←── PRIMARY CONTENT LOCATION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id="ART-4-1-6-5", number="4.1.6.5", title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sentences[]   ← Sentence[]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├── id="SENT-4-1-6-5-1", number="4.1.6.5.(1)"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├── marker="1)", content="intro text..."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├── clauses[]   ← Clause[]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│   ├── id="CLAUSE-4-1-6-5-1-a", marker="(a)"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│   ├── content="clause text..."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│   └── subclauses[]   ← Subclause[]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│       ├── id="SUBCLAUSE-...-i", marker="(i)"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│       └── content="subclause text..."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├── tables[], figures[], equations[], references[]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│   └──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content[]       ← always [] for regular articles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tables[]        ← article-level Table[]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figures[]       ← Figure[]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equations[]     ← Equation[]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├── references[]    ← Reference[]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│       └── note_refs[]     ← NoteRef[]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│   └── articles[]   ←── (direct section articles, less common)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└── [Notes Section]  id="SEC-NOTES-PART-B-4", number=""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├── id, number="",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├── subsections[]  ← always 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└── articles[]   ←── NOTE ARTICLES (direct, no subsection nesting)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id="ART-NOTE-A-4-1-1-3--1-", number="A-4.1.1.3.(1)"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sentences[]  ← always [] for note articles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content[]    ← ContentItem[] (note text here)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tables[], figures[], equations[]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├── references[]    ← Reference[]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│               └── note_refs[]     ← NoteRef[]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└── appendices[]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 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       └── sections[]  (same Article/Sentence/Clause structure as Regular Section above)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│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└── conversion_factors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├── id,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└── sections[]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├── id, number, title, page_span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├── content[]   ← ContentItem[]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└── tables[]    ← Table[]</w:t>
      </w:r>
    </w:p>
    <w:p/>
    <w:p/>
    <w:p/>
    <w:p>
      <w:pPr>
        <w:pStyle w:val="Heading2"/>
      </w:pPr>
      <w:r>
        <w:t>6. API Endpoints (port 8000)</w:t>
      </w:r>
    </w:p>
    <w:p/>
    <w:p>
      <w:r>
        <w:rPr>
          <w:rFonts w:ascii="Calibri" w:hAnsi="Calibri"/>
          <w:sz w:val="22"/>
        </w:rPr>
        <w:t>The FastAPI backend exposes the document for frontend consumption: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35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Health check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`/document`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 document tree (large — ~19.9 MB)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`/document/summary`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Lightweight nav tree (parts + section article counts only)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`/section/{section_id}`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Single section with its articles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`/clause/{clause_id}`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Single article + `_breadcrumb` context (accepts `ART-*` IDs)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`/search?q={term}`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Full-text search (max 50 results)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`GET`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`/references/{node_id}`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sz w:val="18"/>
              </w:rPr>
              <w:t>Reverse lookup: which articles reference this node</w:t>
            </w:r>
          </w:p>
        </w:tc>
      </w:tr>
    </w:tbl>
    <w:p/>
    <w:p/>
    <w:p/>
    <w:p>
      <w:pPr>
        <w:pStyle w:val="Heading2"/>
      </w:pPr>
      <w:r>
        <w:t>7. Frontend Rendering Guidance</w:t>
      </w:r>
    </w:p>
    <w:p/>
    <w:p>
      <w:pPr>
        <w:pStyle w:val="Heading3"/>
      </w:pPr>
      <w:r>
        <w:t>Legal Text Rendering</w:t>
      </w:r>
    </w:p>
    <w:p/>
    <w:p>
      <w:r>
        <w:rPr>
          <w:rFonts w:ascii="Calibri" w:hAnsi="Calibri"/>
          <w:sz w:val="22"/>
        </w:rPr>
        <w:t xml:space="preserve">The legal text is now structured as a proper hierarchy — do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attempt to render it as a flat list: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Article heading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└── 1) Sentence intro text...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└── (a) Clause text...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└── (i) Subclause text...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└── (ii) Subclause text...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└── (b) Clause text...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└── 2) Sentence text (no clauses)</w:t>
      </w:r>
    </w:p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Rendering order within an Article: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  <w:t xml:space="preserve">1. Render </w:t>
      </w:r>
      <w:r>
        <w:rPr>
          <w:rFonts w:ascii="Courier New" w:hAnsi="Courier New"/>
          <w:color w:val="C7254E"/>
          <w:sz w:val="18"/>
        </w:rPr>
        <w:t>article.title</w:t>
      </w:r>
      <w:r>
        <w:rPr>
          <w:rFonts w:ascii="Calibri" w:hAnsi="Calibri"/>
          <w:sz w:val="22"/>
        </w:rPr>
        <w:t xml:space="preserve"> as the article heading.</w:t>
      </w:r>
    </w:p>
    <w:p>
      <w:r>
        <w:rPr>
          <w:rFonts w:ascii="Calibri" w:hAnsi="Calibri"/>
          <w:sz w:val="22"/>
        </w:rPr>
        <w:t xml:space="preserve">2. For each </w:t>
      </w:r>
      <w:r>
        <w:rPr>
          <w:rFonts w:ascii="Courier New" w:hAnsi="Courier New"/>
          <w:color w:val="C7254E"/>
          <w:sz w:val="18"/>
        </w:rPr>
        <w:t>sentence</w:t>
      </w:r>
      <w:r>
        <w:rPr>
          <w:rFonts w:ascii="Calibri" w:hAnsi="Calibri"/>
          <w:sz w:val="22"/>
        </w:rPr>
        <w:t xml:space="preserve"> in </w:t>
      </w:r>
      <w:r>
        <w:rPr>
          <w:rFonts w:ascii="Courier New" w:hAnsi="Courier New"/>
          <w:color w:val="C7254E"/>
          <w:sz w:val="18"/>
        </w:rPr>
        <w:t>article.sentences[]</w:t>
      </w:r>
      <w:r>
        <w:rPr>
          <w:rFonts w:ascii="Calibri" w:hAnsi="Calibri"/>
          <w:sz w:val="22"/>
        </w:rPr>
        <w:t xml:space="preserve"> (in array order):</w:t>
      </w:r>
    </w:p>
    <w:p>
      <w:pPr>
        <w:pStyle w:val="ListBullet"/>
      </w:pPr>
      <w:r>
        <w:rPr>
          <w:rFonts w:ascii="Calibri" w:hAnsi="Calibri"/>
          <w:sz w:val="22"/>
        </w:rPr>
        <w:t xml:space="preserve">Render </w:t>
      </w:r>
      <w:r>
        <w:rPr>
          <w:rFonts w:ascii="Courier New" w:hAnsi="Courier New"/>
          <w:color w:val="C7254E"/>
          <w:sz w:val="18"/>
        </w:rPr>
        <w:t>sentence.marker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rFonts w:ascii="Calibri" w:hAnsi="Calibri"/>
          <w:sz w:val="22"/>
        </w:rPr>
        <w:t xml:space="preserve"> as the sentence opening.</w:t>
      </w:r>
    </w:p>
    <w:p>
      <w:pPr>
        <w:pStyle w:val="ListBullet"/>
      </w:pPr>
      <w:r>
        <w:rPr>
          <w:rFonts w:ascii="Calibri" w:hAnsi="Calibri"/>
          <w:sz w:val="22"/>
        </w:rPr>
        <w:t xml:space="preserve">For each </w:t>
      </w:r>
      <w:r>
        <w:rPr>
          <w:rFonts w:ascii="Courier New" w:hAnsi="Courier New"/>
          <w:color w:val="C7254E"/>
          <w:sz w:val="18"/>
        </w:rPr>
        <w:t>clause</w:t>
      </w:r>
      <w:r>
        <w:rPr>
          <w:rFonts w:ascii="Calibri" w:hAnsi="Calibri"/>
          <w:sz w:val="22"/>
        </w:rPr>
        <w:t xml:space="preserve"> in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rFonts w:ascii="Calibri" w:hAnsi="Calibri"/>
          <w:sz w:val="22"/>
        </w:rPr>
        <w:t xml:space="preserve">: render </w:t>
      </w:r>
      <w:r>
        <w:rPr>
          <w:rFonts w:ascii="Courier New" w:hAnsi="Courier New"/>
          <w:color w:val="C7254E"/>
          <w:sz w:val="18"/>
        </w:rPr>
        <w:t>clause.marker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C7254E"/>
          <w:sz w:val="18"/>
        </w:rPr>
        <w:t>clause.content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For each </w:t>
      </w:r>
      <w:r>
        <w:rPr>
          <w:rFonts w:ascii="Courier New" w:hAnsi="Courier New"/>
          <w:color w:val="C7254E"/>
          <w:sz w:val="18"/>
        </w:rPr>
        <w:t>subclause</w:t>
      </w:r>
      <w:r>
        <w:rPr>
          <w:rFonts w:ascii="Calibri" w:hAnsi="Calibri"/>
          <w:sz w:val="22"/>
        </w:rPr>
        <w:t xml:space="preserve"> in </w:t>
      </w:r>
      <w:r>
        <w:rPr>
          <w:rFonts w:ascii="Courier New" w:hAnsi="Courier New"/>
          <w:color w:val="C7254E"/>
          <w:sz w:val="18"/>
        </w:rPr>
        <w:t>clause.subclauses[]</w:t>
      </w:r>
      <w:r>
        <w:rPr>
          <w:rFonts w:ascii="Calibri" w:hAnsi="Calibri"/>
          <w:sz w:val="22"/>
        </w:rPr>
        <w:t xml:space="preserve">: render </w:t>
      </w:r>
      <w:r>
        <w:rPr>
          <w:rFonts w:ascii="Courier New" w:hAnsi="Courier New"/>
          <w:color w:val="C7254E"/>
          <w:sz w:val="18"/>
        </w:rPr>
        <w:t>subclause.marker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C7254E"/>
          <w:sz w:val="18"/>
        </w:rPr>
        <w:t>subclause.content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If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rFonts w:ascii="Calibri" w:hAnsi="Calibri"/>
          <w:sz w:val="22"/>
        </w:rPr>
        <w:t xml:space="preserve"> is empty,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rFonts w:ascii="Calibri" w:hAnsi="Calibri"/>
          <w:sz w:val="22"/>
        </w:rPr>
        <w:t xml:space="preserve"> is the complete text.</w:t>
      </w:r>
    </w:p>
    <w:p>
      <w:r>
        <w:rPr>
          <w:rFonts w:ascii="Calibri" w:hAnsi="Calibri"/>
          <w:sz w:val="22"/>
        </w:rPr>
        <w:t xml:space="preserve">3. Render </w:t>
      </w:r>
      <w:r>
        <w:rPr>
          <w:rFonts w:ascii="Courier New" w:hAnsi="Courier New"/>
          <w:color w:val="C7254E"/>
          <w:sz w:val="18"/>
        </w:rPr>
        <w:t>article.tables[]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article.figures[]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article.equations[]</w:t>
      </w:r>
      <w:r>
        <w:rPr>
          <w:rFonts w:ascii="Calibri" w:hAnsi="Calibri"/>
          <w:sz w:val="22"/>
        </w:rPr>
        <w:t xml:space="preserve"> at article level.</w:t>
      </w:r>
    </w:p>
    <w:p/>
    <w:p>
      <w:pPr>
        <w:pStyle w:val="Heading3"/>
      </w:pPr>
      <w:r>
        <w:t>Math</w:t>
      </w:r>
    </w:p>
    <w:p/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Inline math</w:t>
      </w:r>
      <w:r>
        <w:rPr>
          <w:rFonts w:ascii="Calibri" w:hAnsi="Calibri"/>
          <w:sz w:val="22"/>
        </w:rPr>
        <w:t xml:space="preserve">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rFonts w:ascii="Calibri" w:hAnsi="Calibri"/>
          <w:sz w:val="22"/>
        </w:rPr>
        <w:t xml:space="preserve"> strings on Sentence/Clause/Subclause: delimited by </w:t>
      </w:r>
      <w:r>
        <w:rPr>
          <w:rFonts w:ascii="Courier New" w:hAnsi="Courier New"/>
          <w:color w:val="C7254E"/>
          <w:sz w:val="18"/>
        </w:rPr>
        <w:t>$...$</w:t>
      </w:r>
      <w:r>
        <w:rPr>
          <w:rFonts w:ascii="Calibri" w:hAnsi="Calibri"/>
          <w:sz w:val="22"/>
        </w:rPr>
        <w:t xml:space="preserve"> → render with KaTeX inline mode.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Block equations</w:t>
      </w:r>
      <w:r>
        <w:rPr>
          <w:rFonts w:ascii="Calibri" w:hAnsi="Calibri"/>
          <w:sz w:val="22"/>
        </w:rPr>
        <w:t xml:space="preserve"> in </w:t>
      </w:r>
      <w:r>
        <w:rPr>
          <w:rFonts w:ascii="Courier New" w:hAnsi="Courier New"/>
          <w:color w:val="C7254E"/>
          <w:sz w:val="18"/>
        </w:rPr>
        <w:t>Equation</w:t>
      </w:r>
      <w:r>
        <w:rPr>
          <w:rFonts w:ascii="Calibri" w:hAnsi="Calibri"/>
          <w:sz w:val="22"/>
        </w:rPr>
        <w:t xml:space="preserve"> objects: use the </w:t>
      </w:r>
      <w:r>
        <w:rPr>
          <w:rFonts w:ascii="Courier New" w:hAnsi="Courier New"/>
          <w:color w:val="C7254E"/>
          <w:sz w:val="18"/>
        </w:rPr>
        <w:t>latex</w:t>
      </w:r>
      <w:r>
        <w:rPr>
          <w:rFonts w:ascii="Calibri" w:hAnsi="Calibri"/>
          <w:sz w:val="22"/>
        </w:rPr>
        <w:t xml:space="preserve"> field → render with KaTeX </w:t>
      </w:r>
      <w:r>
        <w:rPr>
          <w:rFonts w:ascii="Courier New" w:hAnsi="Courier New"/>
          <w:color w:val="C7254E"/>
          <w:sz w:val="18"/>
        </w:rPr>
        <w:t>\displaystyle</w:t>
      </w:r>
      <w:r>
        <w:rPr>
          <w:rFonts w:ascii="Calibri" w:hAnsi="Calibri"/>
          <w:sz w:val="22"/>
        </w:rPr>
        <w:t xml:space="preserve"> or MathJax block mode.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Table cells</w:t>
      </w:r>
      <w:r>
        <w:rPr>
          <w:rFonts w:ascii="Calibri" w:hAnsi="Calibri"/>
          <w:sz w:val="22"/>
        </w:rPr>
        <w:t xml:space="preserve"> may also contain LaTeX notation (e.g. Greek letters like </w:t>
      </w:r>
      <w:r>
        <w:rPr>
          <w:rFonts w:ascii="Courier New" w:hAnsi="Courier New"/>
          <w:color w:val="C7254E"/>
          <w:sz w:val="18"/>
        </w:rPr>
        <w:t>\beta</w:t>
      </w:r>
      <w:r>
        <w:rPr>
          <w:rFonts w:ascii="Calibri" w:hAnsi="Calibri"/>
          <w:sz w:val="22"/>
        </w:rPr>
        <w:t>).</w:t>
      </w:r>
    </w:p>
    <w:p/>
    <w:p>
      <w:pPr>
        <w:pStyle w:val="Heading3"/>
      </w:pPr>
      <w:r>
        <w:t>Images</w:t>
      </w:r>
    </w:p>
    <w:p/>
    <w:p>
      <w:pPr>
        <w:pStyle w:val="ListBullet"/>
      </w:pPr>
      <w:r>
        <w:rPr>
          <w:rFonts w:ascii="Calibri" w:hAnsi="Calibri"/>
          <w:sz w:val="22"/>
        </w:rPr>
        <w:t xml:space="preserve">Figures are served from </w:t>
      </w:r>
      <w:r>
        <w:rPr>
          <w:rFonts w:ascii="Courier New" w:hAnsi="Courier New"/>
          <w:color w:val="C7254E"/>
          <w:sz w:val="18"/>
        </w:rPr>
        <w:t>storage/figures/{image_key}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Always use </w:t>
      </w:r>
      <w:r>
        <w:rPr>
          <w:rFonts w:ascii="Courier New" w:hAnsi="Courier New"/>
          <w:color w:val="C7254E"/>
          <w:sz w:val="18"/>
        </w:rPr>
        <w:t>image_key</w:t>
      </w:r>
      <w:r>
        <w:rPr>
          <w:rFonts w:ascii="Calibri" w:hAnsi="Calibri"/>
          <w:sz w:val="22"/>
        </w:rPr>
        <w:t xml:space="preserve"> to build URLs; </w:t>
      </w:r>
      <w:r>
        <w:rPr>
          <w:rFonts w:ascii="Courier New" w:hAnsi="Courier New"/>
          <w:color w:val="C7254E"/>
          <w:sz w:val="18"/>
        </w:rPr>
        <w:t>image_path</w:t>
      </w:r>
      <w:r>
        <w:rPr>
          <w:rFonts w:ascii="Calibri" w:hAnsi="Calibri"/>
          <w:sz w:val="22"/>
        </w:rPr>
        <w:t xml:space="preserve"> uses Windows backslashes and is not suitable as-is.</w:t>
      </w:r>
    </w:p>
    <w:p>
      <w:pPr>
        <w:pStyle w:val="ListBullet"/>
      </w:pPr>
      <w:r>
        <w:rPr>
          <w:rFonts w:ascii="Calibri" w:hAnsi="Calibri"/>
          <w:sz w:val="22"/>
        </w:rPr>
        <w:t xml:space="preserve">Always render </w:t>
      </w:r>
      <w:r>
        <w:rPr>
          <w:rFonts w:ascii="Courier New" w:hAnsi="Courier New"/>
          <w:color w:val="C7254E"/>
          <w:sz w:val="18"/>
        </w:rPr>
        <w:t>alt_text</w:t>
      </w:r>
      <w:r>
        <w:rPr>
          <w:rFonts w:ascii="Calibri" w:hAnsi="Calibri"/>
          <w:sz w:val="22"/>
        </w:rPr>
        <w:t xml:space="preserve"> for accessibility.</w:t>
      </w:r>
    </w:p>
    <w:p/>
    <w:p>
      <w:pPr>
        <w:pStyle w:val="Heading3"/>
      </w:pPr>
      <w:r>
        <w:t>Tables</w:t>
      </w:r>
    </w:p>
    <w:p/>
    <w:p>
      <w:r>
        <w:rPr>
          <w:rFonts w:ascii="Calibri" w:hAnsi="Calibri"/>
          <w:sz w:val="22"/>
        </w:rPr>
        <w:t>With the new structured table schema:</w:t>
      </w:r>
    </w:p>
    <w:p/>
    <w:p>
      <w:r>
        <w:rPr>
          <w:rFonts w:ascii="Calibri" w:hAnsi="Calibri"/>
          <w:sz w:val="22"/>
        </w:rPr>
        <w:t xml:space="preserve">1. Read </w:t>
      </w:r>
      <w:r>
        <w:rPr>
          <w:rFonts w:ascii="Courier New" w:hAnsi="Courier New"/>
          <w:color w:val="C7254E"/>
          <w:sz w:val="18"/>
        </w:rPr>
        <w:t>table.caption.raw</w:t>
      </w:r>
      <w:r>
        <w:rPr>
          <w:rFonts w:ascii="Calibri" w:hAnsi="Calibri"/>
          <w:sz w:val="22"/>
        </w:rPr>
        <w:t xml:space="preserve"> for the full caption string, or </w:t>
      </w:r>
      <w:r>
        <w:rPr>
          <w:rFonts w:ascii="Courier New" w:hAnsi="Courier New"/>
          <w:color w:val="C7254E"/>
          <w:sz w:val="18"/>
        </w:rPr>
        <w:t>table.caption.title</w:t>
      </w:r>
      <w:r>
        <w:rPr>
          <w:rFonts w:ascii="Calibri" w:hAnsi="Calibri"/>
          <w:sz w:val="22"/>
        </w:rPr>
        <w:t xml:space="preserve"> for a clean display title.</w:t>
      </w:r>
    </w:p>
    <w:p>
      <w:r>
        <w:rPr>
          <w:rFonts w:ascii="Calibri" w:hAnsi="Calibri"/>
          <w:sz w:val="22"/>
        </w:rPr>
        <w:t xml:space="preserve">2. If </w:t>
      </w:r>
      <w:r>
        <w:rPr>
          <w:rFonts w:ascii="Courier New" w:hAnsi="Courier New"/>
          <w:color w:val="C7254E"/>
          <w:sz w:val="18"/>
        </w:rPr>
        <w:t>table.caption.forming_part_of</w:t>
      </w:r>
      <w:r>
        <w:rPr>
          <w:rFonts w:ascii="Calibri" w:hAnsi="Calibri"/>
          <w:sz w:val="22"/>
        </w:rPr>
        <w:t xml:space="preserve"> is non-null and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rFonts w:ascii="Calibri" w:hAnsi="Calibri"/>
          <w:sz w:val="22"/>
        </w:rPr>
        <w:t xml:space="preserve">, render it as a link using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3. Build table header row from </w:t>
      </w:r>
      <w:r>
        <w:rPr>
          <w:rFonts w:ascii="Courier New" w:hAnsi="Courier New"/>
          <w:color w:val="C7254E"/>
          <w:sz w:val="18"/>
        </w:rPr>
        <w:t>table.headers[]</w:t>
      </w:r>
      <w:r>
        <w:rPr>
          <w:rFonts w:ascii="Calibri" w:hAnsi="Calibri"/>
          <w:sz w:val="22"/>
        </w:rPr>
        <w:t xml:space="preserve"> — each is </w:t>
      </w:r>
      <w:r>
        <w:rPr>
          <w:rFonts w:ascii="Courier New" w:hAnsi="Courier New"/>
          <w:color w:val="C7254E"/>
          <w:sz w:val="18"/>
        </w:rPr>
        <w:t>{ index, text }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4. Build data rows from </w:t>
      </w:r>
      <w:r>
        <w:rPr>
          <w:rFonts w:ascii="Courier New" w:hAnsi="Courier New"/>
          <w:color w:val="C7254E"/>
          <w:sz w:val="18"/>
        </w:rPr>
        <w:t>table.rows[]</w:t>
      </w:r>
      <w:r>
        <w:rPr>
          <w:rFonts w:ascii="Calibri" w:hAnsi="Calibri"/>
          <w:sz w:val="22"/>
        </w:rPr>
        <w:t xml:space="preserve">. Each row has a </w:t>
      </w:r>
      <w:r>
        <w:rPr>
          <w:rFonts w:ascii="Courier New" w:hAnsi="Courier New"/>
          <w:color w:val="C7254E"/>
          <w:sz w:val="18"/>
        </w:rPr>
        <w:t>row_id</w:t>
      </w:r>
      <w:r>
        <w:rPr>
          <w:rFonts w:ascii="Calibri" w:hAnsi="Calibri"/>
          <w:sz w:val="22"/>
        </w:rPr>
        <w:t xml:space="preserve"> and </w:t>
      </w:r>
      <w:r>
        <w:rPr>
          <w:rFonts w:ascii="Courier New" w:hAnsi="Courier New"/>
          <w:color w:val="C7254E"/>
          <w:sz w:val="18"/>
        </w:rPr>
        <w:t>cells[]</w:t>
      </w:r>
      <w:r>
        <w:rPr>
          <w:rFonts w:ascii="Calibri" w:hAnsi="Calibri"/>
          <w:sz w:val="22"/>
        </w:rPr>
        <w:t xml:space="preserve">. Access cell text via </w:t>
      </w:r>
      <w:r>
        <w:rPr>
          <w:rFonts w:ascii="Courier New" w:hAnsi="Courier New"/>
          <w:color w:val="C7254E"/>
          <w:sz w:val="18"/>
        </w:rPr>
        <w:t>cell.value</w:t>
      </w:r>
      <w:r>
        <w:rPr>
          <w:rFonts w:ascii="Calibri" w:hAnsi="Calibri"/>
          <w:sz w:val="22"/>
        </w:rPr>
        <w:t xml:space="preserve">. Render </w:t>
      </w:r>
      <w:r>
        <w:rPr>
          <w:rFonts w:ascii="Courier New" w:hAnsi="Courier New"/>
          <w:color w:val="C7254E"/>
          <w:sz w:val="18"/>
        </w:rPr>
        <w:t>cell.references[]</w:t>
      </w:r>
      <w:r>
        <w:rPr>
          <w:rFonts w:ascii="Calibri" w:hAnsi="Calibri"/>
          <w:sz w:val="22"/>
        </w:rPr>
        <w:t xml:space="preserve"> as inline hyperlinks within the cell — only when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sz w:val="22"/>
        </w:rPr>
        <w:t xml:space="preserve">5. Use </w:t>
      </w:r>
      <w:r>
        <w:rPr>
          <w:rFonts w:ascii="Courier New" w:hAnsi="Courier New"/>
          <w:color w:val="C7254E"/>
          <w:sz w:val="18"/>
        </w:rPr>
        <w:t>table.references[]</w:t>
      </w:r>
      <w:r>
        <w:rPr>
          <w:rFonts w:ascii="Calibri" w:hAnsi="Calibri"/>
          <w:sz w:val="22"/>
        </w:rPr>
        <w:t xml:space="preserve"> to render a "Referenced Provisions" summary panel beneath the table — filter by </w:t>
      </w:r>
      <w:r>
        <w:rPr>
          <w:rFonts w:ascii="Courier New" w:hAnsi="Courier New"/>
          <w:color w:val="C7254E"/>
          <w:sz w:val="18"/>
        </w:rPr>
        <w:t>source: "caption"</w:t>
      </w:r>
      <w:r>
        <w:rPr>
          <w:rFonts w:ascii="Calibri" w:hAnsi="Calibri"/>
          <w:sz w:val="22"/>
        </w:rPr>
        <w:t xml:space="preserve"> or </w:t>
      </w:r>
      <w:r>
        <w:rPr>
          <w:rFonts w:ascii="Courier New" w:hAnsi="Courier New"/>
          <w:color w:val="C7254E"/>
          <w:sz w:val="18"/>
        </w:rPr>
        <w:t>source: "cell"</w:t>
      </w:r>
      <w:r>
        <w:rPr>
          <w:rFonts w:ascii="Calibri" w:hAnsi="Calibri"/>
          <w:sz w:val="22"/>
        </w:rPr>
        <w:t xml:space="preserve"> as needed.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function renderTable(table: Table)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const title = table.caption.title || table.caption.raw;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const headers = table.headers.map(h =&gt; h.text);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const rows = table.rows.map(row =&gt;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row.cells.map(cell =&gt; ({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text: cell.value,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links: cell.references.filter(r =&gt; r.resolved),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}))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// render headers, rows, and optional forming_part_of link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Heading3"/>
      </w:pPr>
      <w:r>
        <w:t>References / Links</w:t>
      </w:r>
    </w:p>
    <w:p/>
    <w:p>
      <w:pPr>
        <w:pStyle w:val="ListBullet"/>
      </w:pPr>
      <w:r>
        <w:rPr>
          <w:rFonts w:ascii="Calibri" w:hAnsi="Calibri"/>
          <w:sz w:val="22"/>
        </w:rPr>
        <w:t xml:space="preserve">Only render </w:t>
      </w:r>
      <w:r>
        <w:rPr>
          <w:rFonts w:ascii="Courier New" w:hAnsi="Courier New"/>
          <w:color w:val="C7254E"/>
          <w:sz w:val="18"/>
        </w:rPr>
        <w:t>references[]</w:t>
      </w:r>
      <w:r>
        <w:rPr>
          <w:rFonts w:ascii="Calibri" w:hAnsi="Calibri"/>
          <w:sz w:val="22"/>
        </w:rPr>
        <w:t xml:space="preserve"> entries as clickable links when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ourier New" w:hAnsi="Courier New"/>
          <w:color w:val="C7254E"/>
          <w:sz w:val="18"/>
        </w:rPr>
        <w:t>target_id</w:t>
      </w:r>
      <w:r>
        <w:rPr>
          <w:rFonts w:ascii="Calibri" w:hAnsi="Calibri"/>
          <w:sz w:val="22"/>
        </w:rPr>
        <w:t xml:space="preserve"> maps directly to the ID system above — use it to build deep links (e.g. </w:t>
      </w:r>
      <w:r>
        <w:rPr>
          <w:rFonts w:ascii="Courier New" w:hAnsi="Courier New"/>
          <w:color w:val="C7254E"/>
          <w:sz w:val="18"/>
        </w:rPr>
        <w:t>ART-4-1-6-5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TBL-217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FIG-3</w:t>
      </w:r>
      <w:r>
        <w:rPr>
          <w:rFonts w:ascii="Calibri" w:hAnsi="Calibri"/>
          <w:sz w:val="22"/>
        </w:rPr>
        <w:t>).</w:t>
      </w:r>
    </w:p>
    <w:p>
      <w:pPr>
        <w:pStyle w:val="ListBullet"/>
      </w:pPr>
      <w:r>
        <w:rPr>
          <w:rFonts w:ascii="Calibri" w:hAnsi="Calibri"/>
          <w:sz w:val="22"/>
        </w:rPr>
        <w:t xml:space="preserve">For </w:t>
      </w:r>
      <w:r>
        <w:rPr>
          <w:rFonts w:ascii="Courier New" w:hAnsi="Courier New"/>
          <w:color w:val="C7254E"/>
          <w:sz w:val="18"/>
        </w:rPr>
        <w:t>note_refs[]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C7254E"/>
          <w:sz w:val="18"/>
        </w:rPr>
        <w:t>target_ids</w:t>
      </w:r>
      <w:r>
        <w:rPr>
          <w:rFonts w:ascii="Calibri" w:hAnsi="Calibri"/>
          <w:sz w:val="22"/>
        </w:rPr>
        <w:t xml:space="preserve"> is an array — a note may link to multiple articles. IDs are 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>For table cell references (</w:t>
      </w:r>
      <w:r>
        <w:rPr>
          <w:rFonts w:ascii="Courier New" w:hAnsi="Courier New"/>
          <w:color w:val="C7254E"/>
          <w:sz w:val="18"/>
        </w:rPr>
        <w:t>cell.references[]</w:t>
      </w:r>
      <w:r>
        <w:rPr>
          <w:rFonts w:ascii="Calibri" w:hAnsi="Calibri"/>
          <w:sz w:val="22"/>
        </w:rPr>
        <w:t xml:space="preserve">), the same </w:t>
      </w:r>
      <w:r>
        <w:rPr>
          <w:rFonts w:ascii="Courier New" w:hAnsi="Courier New"/>
          <w:color w:val="C7254E"/>
          <w:sz w:val="18"/>
        </w:rPr>
        <w:t>resolved</w:t>
      </w:r>
      <w:r>
        <w:rPr>
          <w:rFonts w:ascii="Calibri" w:hAnsi="Calibri"/>
          <w:sz w:val="22"/>
        </w:rPr>
        <w:t xml:space="preserve"> /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rFonts w:ascii="Calibri" w:hAnsi="Calibri"/>
          <w:sz w:val="22"/>
        </w:rPr>
        <w:t xml:space="preserve"> pattern applies — render inline hyperlinks only when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rFonts w:ascii="Calibri" w:hAnsi="Calibri"/>
          <w:sz w:val="22"/>
        </w:rPr>
        <w:t>.</w:t>
      </w:r>
    </w:p>
    <w:p/>
    <w:p>
      <w:pPr>
        <w:pStyle w:val="Heading3"/>
      </w:pPr>
      <w:r>
        <w:t>Traversal Pattern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Document → divisions[] → parts[] → sections[] → subsections[] → articles[]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                                         ↘ articles[]  (also check here)</w:t>
      </w:r>
    </w:p>
    <w:p/>
    <w:p/>
    <w:p>
      <w:r>
        <w:rPr>
          <w:rFonts w:ascii="Calibri" w:hAnsi="Calibri"/>
          <w:sz w:val="22"/>
        </w:rPr>
        <w:t xml:space="preserve">When traversing </w:t>
      </w:r>
      <w:r>
        <w:rPr>
          <w:rFonts w:ascii="Courier New" w:hAnsi="Courier New"/>
          <w:color w:val="C7254E"/>
          <w:sz w:val="18"/>
        </w:rPr>
        <w:t>part.sections[]</w:t>
      </w:r>
      <w:r>
        <w:rPr>
          <w:rFonts w:ascii="Calibri" w:hAnsi="Calibri"/>
          <w:sz w:val="22"/>
        </w:rPr>
        <w:t xml:space="preserve">, a section is a </w:t>
      </w:r>
      <w:r>
        <w:rPr>
          <w:rFonts w:ascii="Calibri" w:hAnsi="Calibri"/>
          <w:b/>
          <w:sz w:val="22"/>
        </w:rPr>
        <w:t>NotesSection</w:t>
      </w:r>
      <w:r>
        <w:rPr>
          <w:rFonts w:ascii="Calibri" w:hAnsi="Calibri"/>
          <w:sz w:val="22"/>
        </w:rPr>
        <w:t xml:space="preserve"> when </w:t>
      </w:r>
      <w:r>
        <w:rPr>
          <w:rFonts w:ascii="Courier New" w:hAnsi="Courier New"/>
          <w:color w:val="C7254E"/>
          <w:sz w:val="18"/>
        </w:rPr>
        <w:t>section.id.startsWith("SEC-NOTES-")</w:t>
      </w:r>
      <w:r>
        <w:rPr>
          <w:rFonts w:ascii="Calibri" w:hAnsi="Calibri"/>
          <w:sz w:val="22"/>
        </w:rPr>
        <w:t xml:space="preserve">. Notes sections hold articles directly in </w:t>
      </w:r>
      <w:r>
        <w:rPr>
          <w:rFonts w:ascii="Courier New" w:hAnsi="Courier New"/>
          <w:color w:val="C7254E"/>
          <w:sz w:val="18"/>
        </w:rPr>
        <w:t>section.articles[]</w:t>
      </w:r>
      <w:r>
        <w:rPr>
          <w:rFonts w:ascii="Calibri" w:hAnsi="Calibri"/>
          <w:sz w:val="22"/>
        </w:rPr>
        <w:t xml:space="preserve"> — skip the subsections loop.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for (const section of part.sections)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if (section.id.startsWith("SEC-NOTES-"))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// Notes section — articles are direct children, use content[] not sentences[]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renderNoteArticles(section.articles);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} else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// Regular section — articles are inside subsections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for (const sub of section.subsections)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renderArticles(sub.articles);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// Also check direct section articles (uncommon)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if (section.articles.length) renderArticles(section.articles);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Heading3"/>
      </w:pPr>
      <w:r>
        <w:t>Article vs Note Article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function isNoteArticle(article: Article): boolean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return article.id.startsWith("ART-NOTE-") || article.number.startsWith("A-");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function renderArticle(article: Article)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if (isNoteArticle(article))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// Note article: render article.content[] as flat ContentItems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renderContentItems(article.content);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} else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// Regular code article: render article.sentences[]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for (const sentence of article.sentences) {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  renderSentence(sentence);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 xml:space="preserve">  }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}</w:t>
      </w:r>
    </w:p>
    <w:p/>
    <w:p/>
    <w:p>
      <w:pPr>
        <w:pStyle w:val="Heading3"/>
      </w:pPr>
      <w:r>
        <w:t>Notes Articles</w:t>
      </w:r>
    </w:p>
    <w:p/>
    <w:p>
      <w:pPr>
        <w:pStyle w:val="ListBullet"/>
      </w:pPr>
      <w:r>
        <w:rPr>
          <w:rFonts w:ascii="Calibri" w:hAnsi="Calibri"/>
          <w:sz w:val="22"/>
        </w:rPr>
        <w:t xml:space="preserve">A note article has </w:t>
      </w:r>
      <w:r>
        <w:rPr>
          <w:rFonts w:ascii="Courier New" w:hAnsi="Courier New"/>
          <w:color w:val="C7254E"/>
          <w:sz w:val="18"/>
        </w:rPr>
        <w:t>id</w:t>
      </w:r>
      <w:r>
        <w:rPr>
          <w:rFonts w:ascii="Calibri" w:hAnsi="Calibri"/>
          <w:sz w:val="22"/>
        </w:rPr>
        <w:t xml:space="preserve"> starting with </w:t>
      </w:r>
      <w:r>
        <w:rPr>
          <w:rFonts w:ascii="Courier New" w:hAnsi="Courier New"/>
          <w:color w:val="C7254E"/>
          <w:sz w:val="18"/>
        </w:rPr>
        <w:t>"ART-NOTE-"</w:t>
      </w:r>
      <w:r>
        <w:rPr>
          <w:rFonts w:ascii="Calibri" w:hAnsi="Calibri"/>
          <w:sz w:val="22"/>
        </w:rPr>
        <w:t xml:space="preserve"> and </w:t>
      </w:r>
      <w:r>
        <w:rPr>
          <w:rFonts w:ascii="Courier New" w:hAnsi="Courier New"/>
          <w:color w:val="C7254E"/>
          <w:sz w:val="18"/>
        </w:rPr>
        <w:t>number</w:t>
      </w:r>
      <w:r>
        <w:rPr>
          <w:rFonts w:ascii="Calibri" w:hAnsi="Calibri"/>
          <w:sz w:val="22"/>
        </w:rPr>
        <w:t xml:space="preserve"> starting with </w:t>
      </w:r>
      <w:r>
        <w:rPr>
          <w:rFonts w:ascii="Courier New" w:hAnsi="Courier New"/>
          <w:color w:val="C7254E"/>
          <w:sz w:val="18"/>
        </w:rPr>
        <w:t>"A-"</w:t>
      </w:r>
      <w:r>
        <w:rPr>
          <w:rFonts w:ascii="Calibri" w:hAnsi="Calibri"/>
          <w:sz w:val="22"/>
        </w:rPr>
        <w:t>.</w:t>
      </w:r>
    </w:p>
    <w:p>
      <w:pPr>
        <w:pStyle w:val="ListBullet"/>
      </w:pPr>
      <w:r>
        <w:rPr>
          <w:rFonts w:ascii="Calibri" w:hAnsi="Calibri"/>
          <w:sz w:val="22"/>
        </w:rPr>
        <w:t xml:space="preserve">Its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rFonts w:ascii="Calibri" w:hAnsi="Calibri"/>
          <w:sz w:val="22"/>
        </w:rPr>
        <w:t xml:space="preserve"> follows the ContentItem schema (§3.8.4).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rFonts w:ascii="Calibri" w:hAnsi="Calibri"/>
          <w:sz w:val="22"/>
        </w:rPr>
        <w:t xml:space="preserve"> is always empty.</w:t>
      </w:r>
    </w:p>
    <w:p>
      <w:pPr>
        <w:pStyle w:val="ListBullet"/>
      </w:pPr>
      <w:r>
        <w:rPr>
          <w:rFonts w:ascii="Calibri" w:hAnsi="Calibri"/>
          <w:sz w:val="22"/>
        </w:rPr>
        <w:t>Render notes sections with a distinct visual style (e.g., collapsible panel, different background) to distinguish them from normative code content.</w:t>
      </w:r>
    </w:p>
    <w:p>
      <w:pPr>
        <w:pStyle w:val="ListBullet"/>
      </w:pPr>
      <w:r>
        <w:rPr>
          <w:rFonts w:ascii="Calibri" w:hAnsi="Calibri"/>
          <w:sz w:val="22"/>
        </w:rPr>
        <w:t xml:space="preserve">The </w:t>
      </w:r>
      <w:r>
        <w:rPr>
          <w:rFonts w:ascii="Courier New" w:hAnsi="Courier New"/>
          <w:color w:val="C7254E"/>
          <w:sz w:val="18"/>
        </w:rPr>
        <w:t>note_refs[]</w:t>
      </w:r>
      <w:r>
        <w:rPr>
          <w:rFonts w:ascii="Calibri" w:hAnsi="Calibri"/>
          <w:sz w:val="22"/>
        </w:rPr>
        <w:t xml:space="preserve"> on regular sentences/articles (e.g. </w:t>
      </w:r>
      <w:r>
        <w:rPr>
          <w:rFonts w:ascii="Courier New" w:hAnsi="Courier New"/>
          <w:color w:val="C7254E"/>
          <w:sz w:val="18"/>
        </w:rPr>
        <w:t>"See Note A-4.1.1.3.(1)."</w:t>
      </w:r>
      <w:r>
        <w:rPr>
          <w:rFonts w:ascii="Calibri" w:hAnsi="Calibri"/>
          <w:sz w:val="22"/>
        </w:rPr>
        <w:t xml:space="preserve">) resolve to </w:t>
      </w:r>
      <w:r>
        <w:rPr>
          <w:rFonts w:ascii="Courier New" w:hAnsi="Courier New"/>
          <w:color w:val="C7254E"/>
          <w:sz w:val="18"/>
        </w:rPr>
        <w:t>target_ids</w:t>
      </w:r>
      <w:r>
        <w:rPr>
          <w:rFonts w:ascii="Calibri" w:hAnsi="Calibri"/>
          <w:sz w:val="22"/>
        </w:rPr>
        <w:t xml:space="preserve"> containing 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rFonts w:ascii="Calibri" w:hAnsi="Calibri"/>
          <w:sz w:val="22"/>
        </w:rPr>
        <w:t xml:space="preserve"> IDs — use these to deep-link into the notes section.</w:t>
      </w:r>
    </w:p>
    <w:p/>
    <w:p>
      <w:pPr>
        <w:pStyle w:val="Heading3"/>
      </w:pPr>
      <w:r>
        <w:t>Navigation Data</w:t>
      </w:r>
    </w:p>
    <w:p/>
    <w:p>
      <w:pPr>
        <w:pStyle w:val="ListBullet"/>
      </w:pPr>
      <w:r>
        <w:rPr>
          <w:rFonts w:ascii="Calibri" w:hAnsi="Calibri"/>
          <w:sz w:val="22"/>
        </w:rPr>
        <w:t xml:space="preserve">Use </w:t>
      </w:r>
      <w:r>
        <w:rPr>
          <w:rFonts w:ascii="Courier New" w:hAnsi="Courier New"/>
          <w:color w:val="C7254E"/>
          <w:sz w:val="18"/>
        </w:rPr>
        <w:t>GET /document/summary</w:t>
      </w:r>
      <w:r>
        <w:rPr>
          <w:rFonts w:ascii="Calibri" w:hAnsi="Calibri"/>
          <w:sz w:val="22"/>
        </w:rPr>
        <w:t xml:space="preserve"> to build a navigation tree without loading all article content.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ourier New" w:hAnsi="Courier New"/>
          <w:color w:val="C7254E"/>
          <w:sz w:val="18"/>
        </w:rPr>
        <w:t>page_span</w:t>
      </w:r>
      <w:r>
        <w:rPr>
          <w:rFonts w:ascii="Calibri" w:hAnsi="Calibri"/>
          <w:sz w:val="22"/>
        </w:rPr>
        <w:t xml:space="preserve"> on every node allows mapping to original PDF page numbers for a "view in PDF" link.</w:t>
      </w:r>
    </w:p>
    <w:p>
      <w:pPr>
        <w:pStyle w:val="ListBullet"/>
      </w:pPr>
      <w:r>
        <w:rPr>
          <w:rFonts w:ascii="Calibri" w:hAnsi="Calibri"/>
          <w:sz w:val="22"/>
        </w:rPr>
        <w:t xml:space="preserve">Notes sections appear at the end of their Part's </w:t>
      </w:r>
      <w:r>
        <w:rPr>
          <w:rFonts w:ascii="Courier New" w:hAnsi="Courier New"/>
          <w:color w:val="C7254E"/>
          <w:sz w:val="18"/>
        </w:rPr>
        <w:t>sections[]</w:t>
      </w:r>
      <w:r>
        <w:rPr>
          <w:rFonts w:ascii="Calibri" w:hAnsi="Calibri"/>
          <w:sz w:val="22"/>
        </w:rPr>
        <w:t xml:space="preserve"> array.</w:t>
      </w:r>
    </w:p>
    <w:p/>
    <w:p/>
    <w:p>
      <w:pPr>
        <w:pStyle w:val="Heading2"/>
      </w:pPr>
      <w:r>
        <w:t>8. Migration Guide (from Previous Schema)</w:t>
      </w:r>
    </w:p>
    <w:p/>
    <w:p>
      <w:r>
        <w:rPr>
          <w:rFonts w:ascii="Calibri" w:hAnsi="Calibri"/>
          <w:sz w:val="22"/>
        </w:rPr>
        <w:t>If your frontend was built against the previous schema (</w:t>
      </w:r>
      <w:r>
        <w:rPr>
          <w:rFonts w:ascii="Courier New" w:hAnsi="Courier New"/>
          <w:color w:val="C7254E"/>
          <w:sz w:val="18"/>
        </w:rPr>
        <w:t>clauses[]</w:t>
      </w:r>
      <w:r>
        <w:rPr>
          <w:rFonts w:ascii="Calibri" w:hAnsi="Calibri"/>
          <w:sz w:val="22"/>
        </w:rPr>
        <w:t xml:space="preserve"> / </w:t>
      </w:r>
      <w:r>
        <w:rPr>
          <w:rFonts w:ascii="Courier New" w:hAnsi="Courier New"/>
          <w:color w:val="C7254E"/>
          <w:sz w:val="18"/>
        </w:rPr>
        <w:t>CL-*</w:t>
      </w:r>
      <w:r>
        <w:rPr>
          <w:rFonts w:ascii="Calibri" w:hAnsi="Calibri"/>
          <w:sz w:val="22"/>
        </w:rPr>
        <w:t xml:space="preserve"> IDs), here is what changed:</w:t>
      </w:r>
    </w:p>
    <w:p/>
    <w:p>
      <w:pPr>
        <w:pStyle w:val="Heading3"/>
      </w:pPr>
      <w:r>
        <w:t>8.1 Article / Clause Hierarchy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Previous</w:t>
            </w:r>
          </w:p>
        </w:tc>
        <w:tc>
          <w:tcPr>
            <w:tcW w:type="dxa" w:w="4703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Now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`subsection.clauses[]`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`subsection.articles[]`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`section.clauses[]`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`section.articles[]`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Clause id: `CL-4-1-6-5`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Article id: `ART-4-1-6-5`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Note clause id: `CL-NOTE-A-...`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Note article id: `ART-NOTE-A-...`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`clause.content[]` (mixed ContentItems)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`article.sentences[]` with nested Clause/Subclause nodes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`ContentItem { type: "sub_clause", marker: "(a)" }`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Explicit `Clause` node in `sentence.clauses[]`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 Sentence node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`Sentence` node in `article.sentences[]`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No Subclause node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`Subclause` node in `clause.subclauses[]`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`note_refs[].target_ids` → `CL-NOTE-*`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18"/>
              </w:rPr>
              <w:t>`note_refs[].target_ids` → `ART-NOTE-*`</w:t>
            </w:r>
          </w:p>
        </w:tc>
      </w:tr>
    </w:tbl>
    <w:p/>
    <w:p/>
    <w:p>
      <w:pPr>
        <w:pStyle w:val="Heading3"/>
      </w:pPr>
      <w:r>
        <w:t>8.2 Table Schema (New — this version)</w:t>
      </w:r>
    </w:p>
    <w:p/>
    <w:p>
      <w:r>
        <w:rPr>
          <w:rFonts w:ascii="Calibri" w:hAnsi="Calibri"/>
          <w:sz w:val="22"/>
        </w:rPr>
        <w:t>The table schema has been enriched from flat strings to fully structured objects: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Previous type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New type</w:t>
            </w:r>
          </w:p>
        </w:tc>
        <w:tc>
          <w:tcPr>
            <w:tcW w:type="dxa" w:w="2351"/>
            <w:shd w:val="clear" w:color="auto" w:fill="2E5090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`caption`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`TableCaption` object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Use `caption.raw` for the plain string; `caption.title` for display; `caption.forming_part_of` for the contextual reference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`headers`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`string[]`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`Header[]` (`{index, text}`)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Use `header.text` to get the column label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`rows`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`string[][]`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`Row[]` (`{row_id, cells[], page_span}`)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Access cell text via `row.cells[n].value`; links via `row.cells[n].references[]`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`page`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`number`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`number` (unchanged)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Still present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`page_span`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*(absent)*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`number[]`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Pages covered (useful for merged multi-page tables)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`references`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*(absent)*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`TableReference[]`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Deduplicated union of all refs from caption + cells, each with a `source` field</w:t>
            </w:r>
          </w:p>
        </w:tc>
      </w:tr>
    </w:tbl>
    <w:p/>
    <w:p/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Quick adapter for existing code</w:t>
      </w:r>
      <w:r>
        <w:rPr>
          <w:rFonts w:ascii="Calibri" w:hAnsi="Calibri"/>
          <w:sz w:val="22"/>
        </w:rPr>
        <w:t xml:space="preserve"> — if you currently access tables like </w:t>
      </w:r>
      <w:r>
        <w:rPr>
          <w:rFonts w:ascii="Courier New" w:hAnsi="Courier New"/>
          <w:color w:val="C7254E"/>
          <w:sz w:val="18"/>
        </w:rPr>
        <w:t>table.caption</w:t>
      </w:r>
      <w:r>
        <w:rPr>
          <w:rFonts w:ascii="Calibri" w:hAnsi="Calibri"/>
          <w:sz w:val="22"/>
        </w:rPr>
        <w:t xml:space="preserve"> (string) and </w:t>
      </w:r>
      <w:r>
        <w:rPr>
          <w:rFonts w:ascii="Courier New" w:hAnsi="Courier New"/>
          <w:color w:val="C7254E"/>
          <w:sz w:val="18"/>
        </w:rPr>
        <w:t>table.rows[i][j]</w:t>
      </w:r>
      <w:r>
        <w:rPr>
          <w:rFonts w:ascii="Calibri" w:hAnsi="Calibri"/>
          <w:sz w:val="22"/>
        </w:rPr>
        <w:t xml:space="preserve"> (string), update to:</w:t>
      </w:r>
    </w:p>
    <w:p/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// Before: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captionText = table.caption;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cellText = table.rows[i][j];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// After: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captionText = table.caption.raw;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cellText = table.rows[i].cells[j].value;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cellRefs = table.rows[i].cells[j].references;  // new: structured links</w:t>
      </w:r>
    </w:p>
    <w:p>
      <w:pPr>
        <w:pStyle w:val="NoSpacing"/>
        <w:shd w:val="clear" w:color="auto" w:fill="F0F4F8"/>
      </w:pPr>
      <w:r>
        <w:rPr>
          <w:rFonts w:ascii="Courier New" w:hAnsi="Courier New"/>
          <w:color w:val="1E395C"/>
          <w:sz w:val="17"/>
        </w:rPr>
        <w:t>const headerLabel = table.headers[j].text;            // new: indexed headers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