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Schema Briefing — BCBC 2024 Structured Document</w:t>
      </w:r>
    </w:p>
    <w:p>
      <w:r>
        <w:rPr>
          <w:b/>
          <w:i w:val="0"/>
        </w:rPr>
        <w:t>Source file:</w:t>
      </w:r>
      <w:r>
        <w:t xml:space="preserve"> </w:t>
      </w:r>
      <w:r>
        <w:rPr>
          <w:rFonts w:ascii="Courier New" w:hAnsi="Courier New"/>
          <w:b w:val="0"/>
          <w:i w:val="0"/>
          <w:sz w:val="18"/>
        </w:rPr>
        <w:t>storage/output/structured_document.json</w:t>
      </w:r>
      <w:r>
        <w:t xml:space="preserve"> (~19 MB)</w:t>
      </w:r>
    </w:p>
    <w:p>
      <w:r>
        <w:rPr>
          <w:b/>
          <w:i w:val="0"/>
        </w:rPr>
        <w:t>Document:</w:t>
      </w:r>
      <w:r>
        <w:t xml:space="preserve"> British Columbia Building Code 2024 (1906 pages)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The JSON document is a fully parsed, hierarchically structured representation of the BCBC 2024 PDF. It organizes the code into </w:t>
      </w:r>
      <w:r>
        <w:rPr>
          <w:b/>
          <w:i w:val="0"/>
        </w:rPr>
        <w:t>Divisions → Parts → Sections → Subsections → Clauses</w:t>
      </w:r>
      <w:r>
        <w:t>, with each clause carrying its content inline as an ordered array of typed items (text, equations, figures, tables, sub-clauses). Cross-references and appendix note references are resolved and embedded per-clause.</w:t>
      </w:r>
    </w:p>
    <w:p>
      <w:r>
        <w:t xml:space="preserve">Each Part that contains a "Notes to Part" section in the PDF now also includes a dedicated </w:t>
      </w:r>
      <w:r>
        <w:rPr>
          <w:b/>
          <w:i w:val="0"/>
        </w:rPr>
        <w:t>Notes Section</w:t>
      </w:r>
      <w:r>
        <w:t xml:space="preserve"> (</w:t>
      </w:r>
      <w:r>
        <w:rPr>
          <w:rFonts w:ascii="Courier New" w:hAnsi="Courier New"/>
          <w:b w:val="0"/>
          <w:i w:val="0"/>
          <w:sz w:val="18"/>
        </w:rPr>
        <w:t>SEC-NOTES-*</w:t>
      </w:r>
      <w:r>
        <w:t>) at the same level as regular code sections. Notes sections hold note clauses (</w:t>
      </w:r>
      <w:r>
        <w:rPr>
          <w:rFonts w:ascii="Courier New" w:hAnsi="Courier New"/>
          <w:b w:val="0"/>
          <w:i w:val="0"/>
          <w:sz w:val="18"/>
        </w:rPr>
        <w:t>CL-NOTE-*</w:t>
      </w:r>
      <w:r>
        <w:t>) directly — no subsection nesting.</w:t>
      </w:r>
    </w:p>
    <w:p>
      <w:pPr>
        <w:pStyle w:val="Heading3"/>
      </w:pPr>
      <w:r>
        <w:t>Scale (actual counts from 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Divisions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3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Parts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15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Regular Sections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102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Notes Sections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12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Subsections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445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Regular Clauses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2,419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Note Clauses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699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Tables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469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Figures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212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Equations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110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Cross-references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2,945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t>Appendix note refs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t>922 (99.8% resolved)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2. Top-Level Document Object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"British Columbia BUILDING CODE 2024",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"source_pdf": "bcbc_2024_web_version_revision2.pdf",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"total_pages": 1906,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"preface": { ... },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"divisions": [ ...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"conversion_factors": { ... },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"_stats": { ... }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Document title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source_pdf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Original PDF filename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total_pages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Total page count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preface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Preface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Front-matter preface object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divisions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Division[]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Main content — array of 3 divisions (A, B, C)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conversion_factors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ConversionFactors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Standalone conversion factors section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_stats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Stats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Reference resolution statistics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3. Schema</w:t>
      </w:r>
    </w:p>
    <w:p>
      <w:pPr>
        <w:pStyle w:val="Heading3"/>
      </w:pPr>
      <w:r>
        <w:t>3.1 Stats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"_stats":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"total_references": 2945,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"resolved_references": 2495,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"resolution_rate_pct": 84.7,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"total_note_refs": 922,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"resolved_note_refs": 920,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"note_resolution_rate_pct": 99.8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total_references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resolved_references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resolution_rate_pct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total_note_refs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resolved_note_refs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note_resolution_rate_pct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>3.2 Preface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"preface":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"PREFACE",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"Preface",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"sections": [ PrefaceSection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[11]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  <w:r>
              <w:t xml:space="preserve"> — always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"PREFACE"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PrefaceSection[]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</w:tr>
    </w:tbl>
    <w:p/>
    <w:p>
      <w:r>
        <w:rPr>
          <w:b/>
          <w:i w:val="0"/>
        </w:rPr>
        <w:t>PrefaceSection</w:t>
      </w:r>
      <w:r>
        <w:t xml:space="preserve"> — has its own </w:t>
      </w:r>
      <w:r>
        <w:rPr>
          <w:rFonts w:ascii="Courier New" w:hAnsi="Courier New"/>
          <w:b w:val="0"/>
          <w:i w:val="0"/>
          <w:sz w:val="18"/>
        </w:rPr>
        <w:t>content[]</w:t>
      </w:r>
      <w:r>
        <w:t xml:space="preserve"> array (same ContentItem schema as Clause, see §3.8), no </w:t>
      </w:r>
      <w:r>
        <w:rPr>
          <w:rFonts w:ascii="Courier New" w:hAnsi="Courier New"/>
          <w:b w:val="0"/>
          <w:i w:val="0"/>
          <w:sz w:val="18"/>
        </w:rPr>
        <w:t>clauses[]</w:t>
      </w:r>
      <w:r>
        <w:t>: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"PREF-SEC-01",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"Preface Content",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"content": [ ContentItem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"subsections":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[11]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p>
      <w:pPr>
        <w:pBdr>
          <w:bottom w:val="single" w:sz="6" w:space="1" w:color="999999"/>
        </w:pBdr>
      </w:pPr>
    </w:p>
    <w:p>
      <w:pPr>
        <w:pStyle w:val="Heading3"/>
      </w:pPr>
      <w:r>
        <w:t>3.3 ConversionFactors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"conversion_factors":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"CONV-FACTORS",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"Conversion Factors",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"sections": [ ConversionSection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p>
      <w:r>
        <w:rPr>
          <w:b/>
          <w:i w:val="0"/>
        </w:rPr>
        <w:t>ConversionSection</w:t>
      </w:r>
      <w:r>
        <w:t xml:space="preserve"> — contains </w:t>
      </w:r>
      <w:r>
        <w:rPr>
          <w:rFonts w:ascii="Courier New" w:hAnsi="Courier New"/>
          <w:b w:val="0"/>
          <w:i w:val="0"/>
          <w:sz w:val="18"/>
        </w:rPr>
        <w:t>content[]</w:t>
      </w:r>
      <w:r>
        <w:t xml:space="preserve"> and </w:t>
      </w:r>
      <w:r>
        <w:rPr>
          <w:rFonts w:ascii="Courier New" w:hAnsi="Courier New"/>
          <w:b w:val="0"/>
          <w:i w:val="0"/>
          <w:sz w:val="18"/>
        </w:rPr>
        <w:t>tables[]</w:t>
      </w:r>
      <w:r>
        <w:t xml:space="preserve"> directly (no </w:t>
      </w:r>
      <w:r>
        <w:rPr>
          <w:rFonts w:ascii="Courier New" w:hAnsi="Courier New"/>
          <w:b w:val="0"/>
          <w:i w:val="0"/>
          <w:sz w:val="18"/>
        </w:rPr>
        <w:t>clauses[]</w:t>
      </w:r>
      <w:r>
        <w:t>):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"...",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"...",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"content": [ ContentItem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"tables": [ Table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"figures": [ Figure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p>
      <w:pPr>
        <w:pBdr>
          <w:bottom w:val="single" w:sz="6" w:space="1" w:color="999999"/>
        </w:pBdr>
      </w:pPr>
    </w:p>
    <w:p>
      <w:pPr>
        <w:pStyle w:val="Heading3"/>
      </w:pPr>
      <w:r>
        <w:t>3.4 Division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"DIV-B",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"B",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"Division B",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"parts": [ Part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"appendices": [ Appendix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[120, 121, 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"DIV-A"</w:t>
            </w:r>
            <w: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"DIV-B"</w:t>
            </w:r>
            <w: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"DIV-C"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"A"</w:t>
            </w:r>
            <w: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"B"</w:t>
            </w:r>
            <w: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"C"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"Division B"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parts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Part[]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The Parts within this division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appendices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Appendix[]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Optional appendices (only DIV-B has 2)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All page numbers covered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>3.5 Part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"PART-B-4",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"4",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"Structural Design",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"sections": [ Section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[490, 491, 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"PART-{div}-{n}"</w:t>
            </w:r>
            <w:r>
              <w:t xml:space="preserve"> 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"PART-B-4"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Part number string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Part title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Section[]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>3.6 Section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"SEC-4-1",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"4.1",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"Structural Loads and Procedures",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"subsections": [ Subsection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"clauses": [ Clause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[490, 491, 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"SEC-{n}-{m}"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"4.1"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subsections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Subsection[]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Usually populated;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clauses[]</w:t>
            </w:r>
            <w:r>
              <w:t xml:space="preserve"> may be empty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clauses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Clause[]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Direct clauses (uncommon — most are in subsections)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</w:p>
        </w:tc>
      </w:tr>
    </w:tbl>
    <w:p/>
    <w:p>
      <w:pPr>
        <w:ind w:left="576"/>
      </w:pPr>
      <w:r>
        <w:rPr>
          <w:b/>
          <w:i/>
        </w:rPr>
        <w:t>Key design note:</w:t>
      </w:r>
      <w:r>
        <w:rPr>
          <w:i/>
        </w:rPr>
        <w:t xml:space="preserve"> Most clauses live under </w:t>
      </w:r>
      <w:r>
        <w:rPr>
          <w:b/>
          <w:i/>
        </w:rPr>
        <w:t>Subsections</w:t>
      </w:r>
      <w:r>
        <w:rPr>
          <w:i/>
        </w:rPr>
        <w:t xml:space="preserve">, not Sections directly. Always check both </w:t>
      </w:r>
      <w:r>
        <w:rPr>
          <w:rFonts w:ascii="Courier New" w:hAnsi="Courier New"/>
          <w:b w:val="0"/>
          <w:i/>
          <w:sz w:val="18"/>
        </w:rPr>
        <w:t>section.clauses[]</w:t>
      </w:r>
      <w:r>
        <w:rPr>
          <w:i/>
        </w:rPr>
        <w:t xml:space="preserve"> and </w:t>
      </w:r>
      <w:r>
        <w:rPr>
          <w:rFonts w:ascii="Courier New" w:hAnsi="Courier New"/>
          <w:b w:val="0"/>
          <w:i/>
          <w:sz w:val="18"/>
        </w:rPr>
        <w:t>section.subsections[].clauses[]</w:t>
      </w:r>
      <w:r>
        <w:rPr>
          <w:i/>
        </w:rPr>
        <w:t xml:space="preserve"> when traversing.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3.6a NotesSection — Part Notes (Special Section Type)</w:t>
      </w:r>
    </w:p>
    <w:p>
      <w:r>
        <w:t xml:space="preserve">Parts that include a "Notes to Part" segment in the PDF expose a dedicated notes section at the </w:t>
      </w:r>
      <w:r>
        <w:rPr>
          <w:b/>
          <w:i w:val="0"/>
        </w:rPr>
        <w:t>same level</w:t>
      </w:r>
      <w:r>
        <w:t xml:space="preserve"> as regular numbered sections inside </w:t>
      </w:r>
      <w:r>
        <w:rPr>
          <w:rFonts w:ascii="Courier New" w:hAnsi="Courier New"/>
          <w:b w:val="0"/>
          <w:i w:val="0"/>
          <w:sz w:val="18"/>
        </w:rPr>
        <w:t>part.sections[]</w:t>
      </w:r>
      <w:r>
        <w:t>. It holds note clauses directly — no subsection nesting.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"SEC-NOTES-PART-B-4",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"Notes to Part 4 Structural Design",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"subsections":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"clauses": [ NoteClause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[627, 628, 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"SEC-NOTES-{part_id}"</w:t>
            </w:r>
            <w:r>
              <w:t xml:space="preserve"> 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"SEC-NOTES-PART-B-4"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Always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""</w:t>
            </w:r>
            <w:r>
              <w:t xml:space="preserve"> (empty)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"Notes to Part {n} {Part Title}"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subsections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Subsection[]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Always empty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[]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clauses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NoteClause[]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Note clauses held directly (no subsection nesting)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Pages covered by the notes segment</w:t>
            </w:r>
          </w:p>
        </w:tc>
      </w:tr>
    </w:tbl>
    <w:p/>
    <w:p>
      <w:r>
        <w:rPr>
          <w:b/>
          <w:i w:val="0"/>
        </w:rPr>
        <w:t>Which Parts have a NotesSection: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Notes Section ID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Note Clauses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PART-A-1 (Compliance)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SEC-NOTES-PART-A-1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9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PART-A-2 (Objectives)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SEC-NOTES-PART-A-2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2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PART-A-3 (Functional Statements)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SEC-NOTES-PART-A-3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PART-B-1 (General)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4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PART-B-3 (Fire Protection)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200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PART-B-4 (Structural Design)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114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PART-B-5 (Environmental Separation)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51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PART-B-6 (HVAC)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23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PART-B-8 (Construction Safety)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PART-B-9 (Housing)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SEC-NOTES-PART-B-9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281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PART-B-10 (Energy Efficiency)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SEC-NOTES-PART-B-10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6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PART-C-2 (Administrative Provisions)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SEC-NOTES-PART-C-2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7</w:t>
            </w:r>
          </w:p>
        </w:tc>
      </w:tr>
    </w:tbl>
    <w:p/>
    <w:p>
      <w:r>
        <w:rPr>
          <w:b/>
          <w:i w:val="0"/>
        </w:rPr>
        <w:t>NoteClause</w:t>
      </w:r>
      <w:r>
        <w:t xml:space="preserve"> — same shape as a regular </w:t>
      </w:r>
      <w:r>
        <w:rPr>
          <w:rFonts w:ascii="Courier New" w:hAnsi="Courier New"/>
          <w:b w:val="0"/>
          <w:i w:val="0"/>
          <w:sz w:val="18"/>
        </w:rPr>
        <w:t>Clause</w:t>
      </w:r>
      <w:r>
        <w:t xml:space="preserve"> (§3.8) but with an </w:t>
      </w:r>
      <w:r>
        <w:rPr>
          <w:rFonts w:ascii="Courier New" w:hAnsi="Courier New"/>
          <w:b w:val="0"/>
          <w:i w:val="0"/>
          <w:sz w:val="18"/>
        </w:rPr>
        <w:t>A-</w:t>
      </w:r>
      <w:r>
        <w:t xml:space="preserve">-prefixed number and a </w:t>
      </w:r>
      <w:r>
        <w:rPr>
          <w:rFonts w:ascii="Courier New" w:hAnsi="Courier New"/>
          <w:b w:val="0"/>
          <w:i w:val="0"/>
          <w:sz w:val="18"/>
        </w:rPr>
        <w:t>CL-NOTE-</w:t>
      </w:r>
      <w:r>
        <w:t xml:space="preserve"> id: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"CL-NOTE-A-4-1-1-3--1-",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"A-4.1.1.3.(1)",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"Structural Integrity",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"content": [ ContentItem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"tables":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"figures":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"equations":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"references":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"note_refs": [],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[627]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p>
      <w:pPr>
        <w:ind w:left="576"/>
      </w:pPr>
      <w:r>
        <w:rPr>
          <w:b/>
          <w:i/>
        </w:rPr>
        <w:t>Identification:</w:t>
      </w:r>
      <w:r>
        <w:rPr>
          <w:i/>
        </w:rPr>
        <w:t xml:space="preserve"> Detect a NoteClause by </w:t>
      </w:r>
      <w:r>
        <w:rPr>
          <w:rFonts w:ascii="Courier New" w:hAnsi="Courier New"/>
          <w:b w:val="0"/>
          <w:i/>
          <w:sz w:val="18"/>
        </w:rPr>
        <w:t>id.startsWith("CL-NOTE-")</w:t>
      </w:r>
      <w:r>
        <w:rPr>
          <w:i/>
        </w:rPr>
        <w:t xml:space="preserve"> or </w:t>
      </w:r>
      <w:r>
        <w:rPr>
          <w:rFonts w:ascii="Courier New" w:hAnsi="Courier New"/>
          <w:b w:val="0"/>
          <w:i/>
          <w:sz w:val="18"/>
        </w:rPr>
        <w:t>number.startsWith("A-")</w:t>
      </w:r>
      <w:r>
        <w:rPr>
          <w:i/>
        </w:rPr>
        <w:t xml:space="preserve">. Detect a NotesSection by </w:t>
      </w:r>
      <w:r>
        <w:rPr>
          <w:rFonts w:ascii="Courier New" w:hAnsi="Courier New"/>
          <w:b w:val="0"/>
          <w:i/>
          <w:sz w:val="18"/>
        </w:rPr>
        <w:t>id.startsWith("SEC-NOTES-")</w:t>
      </w:r>
      <w:r>
        <w:rPr>
          <w:i/>
        </w:rPr>
        <w:t>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3.7 Subsection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"SUBSEC-4-1-6",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"4.1.6",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"Wind Load",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"clauses": [ Clause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[510, 511, 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  <w:r>
              <w:t xml:space="preserve"> —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"SUBSEC-{n}-{m}-{k}"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clauses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Clause[]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>3.8 Clause — The Core Content Node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"CL-4-1-6-5",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"4.1.6.5",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"Snow Load on Lower Roofs",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"content": [ ContentItem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"tables": [ Table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"figures": [ Figure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"equations": [ Equation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"references": [ Reference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"note_refs": [ NoteRef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[530, 531, 532]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"CL-{n}-{m}-{k}-{j}"</w:t>
            </w:r>
            <w:r>
              <w:t xml:space="preserve"> or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"CL-AUTO-{n}"</w:t>
            </w:r>
            <w:r>
              <w:t xml:space="preserve"> for unnumbered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Dotted number 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"4.1.6.5"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Clause heading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ContentItem[]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i w:val="0"/>
              </w:rPr>
              <w:t>Ordered</w:t>
            </w:r>
            <w:r>
              <w:t xml:space="preserve"> inline content (see §3.8.1)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tables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Table[]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Full table data (see §3.9)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figures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Figure[]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Figure metadata and image paths (see §3.10)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equations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Equation[]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Block equations with LaTeX (see §3.11)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references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Reference[]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Outgoing cross-references (see §3.12)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note_refs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NoteRef[]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Appendix note references (see §3.13)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Page numbers this clause spans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4"/>
      </w:pPr>
      <w:r>
        <w:t>3.8.1 ContentItem — Inline Content</w:t>
      </w:r>
    </w:p>
    <w:p>
      <w:r>
        <w:t>All content items share the same flat shape; fields not applicable to the type will be empty strings.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type ContentItemType = "text" | "sub_clause" | "equation" | "figure" | "table";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interface ContentItem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type:       ContentItemType;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value:      string;   // text body, or equation ID (e.g. "EQ-13"), or table caption, or ""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latex:      string;   // LaTeX string — only for type="equation"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figure_id:  string;   // e.g. "FIG-56"  — only for type="figure"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image_key:  string;   // filename hash — only for type="figure"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image_path: string;   // relative path  — only for type="figure"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caption:    string;   // figure caption  — only for type="figure"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alt_text:   string;   // figure alt text — only for type="figure"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table_id:   string;   // e.g. "TBL-218" — only for type="table"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marker:     string;   // sub-clause marker e.g. "b)", "(iii)" — only for type="sub_clause"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p>
      <w:r>
        <w:rPr>
          <w:b/>
          <w:i w:val="0"/>
        </w:rPr>
        <w:t>Type-specific usage: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ourier New" w:hAnsi="Courier New"/>
                <w:b/>
                <w:i w:val="0"/>
                <w:sz w:val="18"/>
              </w:rPr>
              <w:t>value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Other active fields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"text"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Paragraph text (may contain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$...$</w:t>
            </w:r>
            <w:r>
              <w:t xml:space="preserve"> inline math)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"sub_clause"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Sub-clause text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marker</w:t>
            </w:r>
            <w:r>
              <w:t xml:space="preserve"> = label 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"b)"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"equation"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Equation ID 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"EQ-13"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latex</w:t>
            </w:r>
            <w:r>
              <w:t xml:space="preserve"> = full LaTeX string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"figure"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figure_id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image_key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image_path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caption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alt_text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"table"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Table caption text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table_id</w:t>
            </w:r>
          </w:p>
        </w:tc>
      </w:tr>
    </w:tbl>
    <w:p/>
    <w:p>
      <w:pPr>
        <w:ind w:left="576"/>
      </w:pPr>
      <w:r>
        <w:rPr>
          <w:b/>
          <w:i/>
        </w:rPr>
        <w:t>Rendering note:</w:t>
      </w:r>
      <w:r>
        <w:rPr>
          <w:i/>
        </w:rPr>
        <w:t xml:space="preserve"> </w:t>
      </w:r>
      <w:r>
        <w:rPr>
          <w:rFonts w:ascii="Courier New" w:hAnsi="Courier New"/>
          <w:b w:val="0"/>
          <w:i/>
          <w:sz w:val="18"/>
        </w:rPr>
        <w:t>value</w:t>
      </w:r>
      <w:r>
        <w:rPr>
          <w:i/>
        </w:rPr>
        <w:t xml:space="preserve"> for </w:t>
      </w:r>
      <w:r>
        <w:rPr>
          <w:rFonts w:ascii="Courier New" w:hAnsi="Courier New"/>
          <w:b w:val="0"/>
          <w:i/>
          <w:sz w:val="18"/>
        </w:rPr>
        <w:t>"text"</w:t>
      </w:r>
      <w:r>
        <w:rPr>
          <w:i/>
        </w:rPr>
        <w:t xml:space="preserve"> items may contain </w:t>
      </w:r>
      <w:r>
        <w:rPr>
          <w:rFonts w:ascii="Courier New" w:hAnsi="Courier New"/>
          <w:b w:val="0"/>
          <w:i/>
          <w:sz w:val="18"/>
        </w:rPr>
        <w:t>$...$</w:t>
      </w:r>
      <w:r>
        <w:rPr>
          <w:i/>
        </w:rPr>
        <w:t xml:space="preserve"> KaTeX inline math. Block equations are in </w:t>
      </w:r>
      <w:r>
        <w:rPr>
          <w:rFonts w:ascii="Courier New" w:hAnsi="Courier New"/>
          <w:b w:val="0"/>
          <w:i/>
          <w:sz w:val="18"/>
        </w:rPr>
        <w:t>"equation"</w:t>
      </w:r>
      <w:r>
        <w:rPr>
          <w:i/>
        </w:rPr>
        <w:t xml:space="preserve"> items with the full </w:t>
      </w:r>
      <w:r>
        <w:rPr>
          <w:rFonts w:ascii="Courier New" w:hAnsi="Courier New"/>
          <w:b w:val="0"/>
          <w:i/>
          <w:sz w:val="18"/>
        </w:rPr>
        <w:t>latex</w:t>
      </w:r>
      <w:r>
        <w:rPr>
          <w:i/>
        </w:rPr>
        <w:t xml:space="preserve"> string. Both must be rendered mathematically.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3.9 Table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"TBL-218",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"caption": "Table 4.1.6.5.-B Parameters for Snow Load Cases...",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"headers": ["Parameter", "Case I", "Case II", "Case III"],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"rows": [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["\\beta", "1.0", "0.67", "0.67"],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["C_a", "...", "...", "..."]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"page": 532,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"column_semantics": ["parameter_name", "case_1_value", "case_2_value", "case_3_value"]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"TBL-{n}"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caption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Full caption including table number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headers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Column header labels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rows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string[][]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Data rows — each row is an array of cell strings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Page where the table appears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column_semantics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AI-generated semantic labels per column (may be empty array if AI enhancement was not run)</w:t>
            </w:r>
          </w:p>
        </w:tc>
      </w:tr>
    </w:tbl>
    <w:p/>
    <w:p>
      <w:pPr>
        <w:ind w:left="576"/>
      </w:pPr>
      <w:r>
        <w:rPr>
          <w:i/>
        </w:rPr>
        <w:t>Cells may contain LaTeX math (backslash notation). Render with KaTeX or MathJax.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3.10 Figure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"FIG-56",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"caption": "Figure 4.1.6.5.-B Snow load cases I, II and III...",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"alt_text": "Figure 4.1.6.5.-B: ROOF PLAN showing three snow load cases...",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"image_key": "223b363465c3987e97bf7cf0bc1dbe0d_img.jpg",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"image_path": "storage\\figures\\223b363465c3987e97bf7cf0bc1dbe0d_img.jpg",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"page": 532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"FIG-{n}"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caption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Figure caption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alt_text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Accessibility 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image_key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Filename (hash-based) in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storage/figures/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image_path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Relative path from project root (Windows backslashes)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Source page</w:t>
            </w:r>
          </w:p>
        </w:tc>
      </w:tr>
    </w:tbl>
    <w:p/>
    <w:p>
      <w:pPr>
        <w:ind w:left="576"/>
      </w:pPr>
      <w:r>
        <w:rPr>
          <w:b/>
          <w:i/>
        </w:rPr>
        <w:t>Path note:</w:t>
      </w:r>
      <w:r>
        <w:rPr>
          <w:i/>
        </w:rPr>
        <w:t xml:space="preserve"> </w:t>
      </w:r>
      <w:r>
        <w:rPr>
          <w:rFonts w:ascii="Courier New" w:hAnsi="Courier New"/>
          <w:b w:val="0"/>
          <w:i/>
          <w:sz w:val="18"/>
        </w:rPr>
        <w:t>image_path</w:t>
      </w:r>
      <w:r>
        <w:rPr>
          <w:i/>
        </w:rPr>
        <w:t xml:space="preserve"> uses Windows backslashes. Normalize to forward slashes on the frontend or use </w:t>
      </w:r>
      <w:r>
        <w:rPr>
          <w:rFonts w:ascii="Courier New" w:hAnsi="Courier New"/>
          <w:b w:val="0"/>
          <w:i/>
          <w:sz w:val="18"/>
        </w:rPr>
        <w:t>image_key</w:t>
      </w:r>
      <w:r>
        <w:rPr>
          <w:i/>
        </w:rPr>
        <w:t xml:space="preserve"> to build the URL via the API.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3.11 Equation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"EQ-13",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"latex": "C_{a0} = \\beta \\frac{\\gamma h}{C_b S_s} \\text{ and}",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"page": 531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"EQ-{n}"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latex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LaTeX math string (without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$</w:t>
            </w:r>
            <w:r>
              <w:t xml:space="preserve"> delimiters)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Source page</w:t>
            </w:r>
          </w:p>
        </w:tc>
      </w:tr>
    </w:tbl>
    <w:p/>
    <w:p>
      <w:pPr>
        <w:ind w:left="576"/>
      </w:pPr>
      <w:r>
        <w:rPr>
          <w:i/>
        </w:rPr>
        <w:t xml:space="preserve">Render with </w:t>
      </w:r>
      <w:r>
        <w:rPr>
          <w:rFonts w:ascii="Courier New" w:hAnsi="Courier New"/>
          <w:b w:val="0"/>
          <w:i/>
          <w:sz w:val="18"/>
        </w:rPr>
        <w:t>\[ ... \]</w:t>
      </w:r>
      <w:r>
        <w:rPr>
          <w:i/>
        </w:rPr>
        <w:t xml:space="preserve"> block display (MathJax) or </w:t>
      </w:r>
      <w:r>
        <w:rPr>
          <w:rFonts w:ascii="Courier New" w:hAnsi="Courier New"/>
          <w:b w:val="0"/>
          <w:i/>
          <w:sz w:val="18"/>
        </w:rPr>
        <w:t>\displaystyle</w:t>
      </w:r>
      <w:r>
        <w:rPr>
          <w:i/>
        </w:rPr>
        <w:t xml:space="preserve"> (KaTeX).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3.12 Reference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"text": "Table 4.1.6.5.-A",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"kind": "Table",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"target_id": "TBL-217",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"resolved": true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Original reference text as it appeared in the PDF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kind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One of: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"Sentence"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"Article"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"Subsection"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"Section"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"Clause"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"Table"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"Figure"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target_id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ID of the referenced node (e.g.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"CL-4-1-6-5"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"TBL-217"</w:t>
            </w:r>
            <w: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"FIG-3"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resolved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true</w:t>
            </w:r>
            <w:r>
              <w:t xml:space="preserve"> if target exists in this document;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false</w:t>
            </w:r>
            <w:r>
              <w:t xml:space="preserve"> if it points to an external volume</w:t>
            </w:r>
          </w:p>
        </w:tc>
      </w:tr>
    </w:tbl>
    <w:p/>
    <w:p>
      <w:pPr>
        <w:ind w:left="576"/>
      </w:pPr>
      <w:r>
        <w:rPr>
          <w:i/>
        </w:rPr>
        <w:t xml:space="preserve">Unresolved references (~15%) point to other BCBC volumes not in this PDF. Only render links when </w:t>
      </w:r>
      <w:r>
        <w:rPr>
          <w:rFonts w:ascii="Courier New" w:hAnsi="Courier New"/>
          <w:b w:val="0"/>
          <w:i/>
          <w:sz w:val="18"/>
        </w:rPr>
        <w:t>resolved: true</w:t>
      </w:r>
      <w:r>
        <w:rPr>
          <w:i/>
        </w:rPr>
        <w:t>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3.13 NoteRef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"raw": "See Note A-1.1.1.1.(3).",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"note_ref": "A-1.1.1.1.(3).",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"target_ids": ["CL-AUTO-1"],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"resolved": true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raw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Full original text including "See Note 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note_ref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The extracted note identifier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target_ids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Array of clause IDs (can resolve to multiple)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resolved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true</w:t>
            </w:r>
            <w:r>
              <w:t xml:space="preserve"> if all targets exist in this document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>3.14 Appendix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"id": "APP-B-C",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"number": "C",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"title": "Climatic and Seismic Information for Building Design in Canada",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"sections": [ Section ],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"page_span": [...]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  <w:r>
              <w:t xml:space="preserve"> —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"APP-{div}-{letter}"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Section[]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page_span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number[]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4. ID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Division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DIV-{letter}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DIV-B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Part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PART-{div}-{n}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PART-B-4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Section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SEC-{n}-{m}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SEC-4-1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Notes Section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SEC-NOTES-{part_id}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SEC-NOTES-PART-B-4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Subsection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SUBSEC-{n}-{m}-{k}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SUBSEC-4-1-6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Clause (numbered)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CL-{n}-{m}-{k}-{j}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CL-4-1-6-5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Clause (unnumbered)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CL-AUTO-{n}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CL-AUTO-153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Note Clause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CL-NOTE-{A-num}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CL-NOTE-A-4-1-1-3--1-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Table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TBL-{n}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TBL-218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Figure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FIG-{n}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FIG-56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Equation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EQ-{n}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EQ-13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Appendix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APP-{div}-{letter}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APP-B-C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t>Preface section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PREF-SEC-{nn}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PREF-SEC-01</w:t>
            </w:r>
          </w:p>
        </w:tc>
      </w:tr>
    </w:tbl>
    <w:p/>
    <w:p>
      <w:pPr>
        <w:ind w:left="576"/>
      </w:pPr>
      <w:r>
        <w:rPr>
          <w:i/>
        </w:rPr>
        <w:t xml:space="preserve">Dots in clause numbers are replaced with hyphens: </w:t>
      </w:r>
      <w:r>
        <w:rPr>
          <w:rFonts w:ascii="Courier New" w:hAnsi="Courier New"/>
          <w:b w:val="0"/>
          <w:i/>
          <w:sz w:val="18"/>
        </w:rPr>
        <w:t>4.1.6.5</w:t>
      </w:r>
      <w:r>
        <w:rPr>
          <w:i/>
        </w:rPr>
        <w:t xml:space="preserve"> → </w:t>
      </w:r>
      <w:r>
        <w:rPr>
          <w:rFonts w:ascii="Courier New" w:hAnsi="Courier New"/>
          <w:b w:val="0"/>
          <w:i/>
          <w:sz w:val="18"/>
        </w:rPr>
        <w:t>CL-4-1-6-5</w:t>
      </w:r>
      <w:r>
        <w:rPr>
          <w:i/>
        </w:rPr>
        <w:t>.</w:t>
      </w:r>
    </w:p>
    <w:p>
      <w:pPr>
        <w:ind w:left="576"/>
      </w:pPr>
      <w:r>
        <w:rPr>
          <w:i/>
        </w:rPr>
        <w:t xml:space="preserve">For note clauses, </w:t>
      </w:r>
      <w:r>
        <w:rPr>
          <w:rFonts w:ascii="Courier New" w:hAnsi="Courier New"/>
          <w:b w:val="0"/>
          <w:i/>
          <w:sz w:val="18"/>
        </w:rPr>
        <w:t>.</w:t>
      </w:r>
      <w:r>
        <w:rPr>
          <w:i/>
        </w:rPr>
        <w:t xml:space="preserve"> </w:t>
      </w:r>
      <w:r>
        <w:rPr>
          <w:rFonts w:ascii="Courier New" w:hAnsi="Courier New"/>
          <w:b w:val="0"/>
          <w:i/>
          <w:sz w:val="18"/>
        </w:rPr>
        <w:t>(</w:t>
      </w:r>
      <w:r>
        <w:rPr>
          <w:i/>
        </w:rPr>
        <w:t xml:space="preserve"> </w:t>
      </w:r>
      <w:r>
        <w:rPr>
          <w:rFonts w:ascii="Courier New" w:hAnsi="Courier New"/>
          <w:b w:val="0"/>
          <w:i/>
          <w:sz w:val="18"/>
        </w:rPr>
        <w:t>)</w:t>
      </w:r>
      <w:r>
        <w:rPr>
          <w:i/>
        </w:rPr>
        <w:t xml:space="preserve"> are all replaced with </w:t>
      </w:r>
      <w:r>
        <w:rPr>
          <w:rFonts w:ascii="Courier New" w:hAnsi="Courier New"/>
          <w:b w:val="0"/>
          <w:i/>
          <w:sz w:val="18"/>
        </w:rPr>
        <w:t>-</w:t>
      </w:r>
      <w:r>
        <w:rPr>
          <w:i/>
        </w:rPr>
        <w:t xml:space="preserve">: </w:t>
      </w:r>
      <w:r>
        <w:rPr>
          <w:rFonts w:ascii="Courier New" w:hAnsi="Courier New"/>
          <w:b w:val="0"/>
          <w:i/>
          <w:sz w:val="18"/>
        </w:rPr>
        <w:t>A-4.1.1.3.(1)</w:t>
      </w:r>
      <w:r>
        <w:rPr>
          <w:i/>
        </w:rPr>
        <w:t xml:space="preserve"> → </w:t>
      </w:r>
      <w:r>
        <w:rPr>
          <w:rFonts w:ascii="Courier New" w:hAnsi="Courier New"/>
          <w:b w:val="0"/>
          <w:i/>
          <w:sz w:val="18"/>
        </w:rPr>
        <w:t>CL-NOTE-A-4-1-1-3--1-</w:t>
      </w:r>
      <w:r>
        <w:rPr>
          <w:i/>
        </w:rPr>
        <w:t>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Document Tree — Full Hierarchy Diagram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Document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├── title, source_pdf, total_pages, _stats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├── preface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└── sections[]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 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    ├── content[]  ← ContentItem[]  (same schema as Clause content)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    └── subsections[]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├── divisions[]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├── parts[]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└── sections[]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├── [Regular Section]  id="SEC-4-1", number="4.1"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├── subsections[]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└── clauses[]   ←── PRIMARY CONTENT LOCATION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├── content[]       ← ContentItem[] (ordered)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├── tables[]        ← Table[]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├── figures[]       ← Figure[]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├── equations[]     ← Equation[]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├── references[]    ← Reference[]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│       └── note_refs[]     ← NoteRef[]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│   └── clauses[]   ←── (direct section clauses, less common)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└── [Notes Section]  id="SEC-NOTES-PART-B-4", number=""  ← SAME LEVEL as regular sections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├── id, number="",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├── subsections[]  ← always 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└── clauses[]   ←── NOTE CLAUSES (direct, no subsection nesting)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    ├── id="CL-NOTE-A-4-1-1-3--1-", number="A-4.1.1.3.(1)"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    ├──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    ├── content[]       ← ContentItem[] (ordered)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    ├── tables[], figures[], equations[]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    ├── references[]    ← Reference[]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│               └── note_refs[]     ← NoteRef[]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└── appendices[]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 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       └── sections[]  (same structure as Regular Section above)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│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└── conversion_factors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├── id,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└── sections[]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    ├── id, number, title, page_span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    ├── content[]   ← ContentItem[]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    └── tables[]    ← Table[]</w:t>
      </w:r>
    </w:p>
    <w:p/>
    <w:p>
      <w:pPr>
        <w:pBdr>
          <w:bottom w:val="single" w:sz="6" w:space="1" w:color="999999"/>
        </w:pBdr>
      </w:pPr>
    </w:p>
    <w:p>
      <w:pPr>
        <w:pStyle w:val="Heading2"/>
      </w:pPr>
      <w:r>
        <w:t>6. API Endpoints (port 8000)</w:t>
      </w:r>
    </w:p>
    <w:p>
      <w:r>
        <w:t>The FastAPI backend exposes the document for frontend consumption: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120"/>
            <w:shd w:val="clear" w:color="auto" w:fill="D0D0D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Health check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/document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Full document tree (large — ~19 MB)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/document/summary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Lightweight nav tree (chapters + section counts only)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/section/{section_id}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Single section with its clauses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/clause/{clause_id}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 xml:space="preserve">Single clause +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_breadcrumb</w:t>
            </w:r>
            <w:r>
              <w:t xml:space="preserve"> context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/search?q={term}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Full-text search (max 50 results)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i w:val="0"/>
                <w:sz w:val="18"/>
              </w:rPr>
              <w:t>/references/{node_id}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t>Reverse lookup: which clauses reference this node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7. Frontend Rendering Guidance</w:t>
      </w:r>
    </w:p>
    <w:p>
      <w:pPr>
        <w:pStyle w:val="Heading3"/>
      </w:pPr>
      <w:r>
        <w:t>Math</w:t>
      </w:r>
    </w:p>
    <w:p>
      <w:pPr>
        <w:pStyle w:val="ListBullet"/>
      </w:pPr>
      <w:r>
        <w:rPr>
          <w:b/>
          <w:i w:val="0"/>
        </w:rPr>
        <w:t>Inline math</w:t>
      </w:r>
      <w:r>
        <w:t xml:space="preserve"> in </w:t>
      </w:r>
      <w:r>
        <w:rPr>
          <w:rFonts w:ascii="Courier New" w:hAnsi="Courier New"/>
          <w:b w:val="0"/>
          <w:i w:val="0"/>
          <w:sz w:val="18"/>
        </w:rPr>
        <w:t>text</w:t>
      </w:r>
      <w:r>
        <w:t xml:space="preserve"> and </w:t>
      </w:r>
      <w:r>
        <w:rPr>
          <w:rFonts w:ascii="Courier New" w:hAnsi="Courier New"/>
          <w:b w:val="0"/>
          <w:i w:val="0"/>
          <w:sz w:val="18"/>
        </w:rPr>
        <w:t>sub_clause</w:t>
      </w:r>
      <w:r>
        <w:t xml:space="preserve"> items: delimited by </w:t>
      </w:r>
      <w:r>
        <w:rPr>
          <w:rFonts w:ascii="Courier New" w:hAnsi="Courier New"/>
          <w:b w:val="0"/>
          <w:i w:val="0"/>
          <w:sz w:val="18"/>
        </w:rPr>
        <w:t>$...$</w:t>
      </w:r>
      <w:r>
        <w:t xml:space="preserve"> → render with KaTeX inline mode.</w:t>
      </w:r>
    </w:p>
    <w:p>
      <w:pPr>
        <w:pStyle w:val="ListBullet"/>
      </w:pPr>
      <w:r>
        <w:rPr>
          <w:b/>
          <w:i w:val="0"/>
        </w:rPr>
        <w:t>Block equations</w:t>
      </w:r>
      <w:r>
        <w:t xml:space="preserve"> in </w:t>
      </w:r>
      <w:r>
        <w:rPr>
          <w:rFonts w:ascii="Courier New" w:hAnsi="Courier New"/>
          <w:b w:val="0"/>
          <w:i w:val="0"/>
          <w:sz w:val="18"/>
        </w:rPr>
        <w:t>equation</w:t>
      </w:r>
      <w:r>
        <w:t xml:space="preserve"> items: use the </w:t>
      </w:r>
      <w:r>
        <w:rPr>
          <w:rFonts w:ascii="Courier New" w:hAnsi="Courier New"/>
          <w:b w:val="0"/>
          <w:i w:val="0"/>
          <w:sz w:val="18"/>
        </w:rPr>
        <w:t>latex</w:t>
      </w:r>
      <w:r>
        <w:t xml:space="preserve"> field → render with KaTeX </w:t>
      </w:r>
      <w:r>
        <w:rPr>
          <w:rFonts w:ascii="Courier New" w:hAnsi="Courier New"/>
          <w:b w:val="0"/>
          <w:i w:val="0"/>
          <w:sz w:val="18"/>
        </w:rPr>
        <w:t>\displaystyle</w:t>
      </w:r>
      <w:r>
        <w:t xml:space="preserve"> or MathJax block mode.</w:t>
      </w:r>
    </w:p>
    <w:p>
      <w:pPr>
        <w:pStyle w:val="ListBullet"/>
      </w:pPr>
      <w:r>
        <w:rPr>
          <w:b/>
          <w:i w:val="0"/>
        </w:rPr>
        <w:t>Table cells</w:t>
      </w:r>
      <w:r>
        <w:t xml:space="preserve"> may also contain LaTeX notation (e.g. Greek letters like </w:t>
      </w:r>
      <w:r>
        <w:rPr>
          <w:rFonts w:ascii="Courier New" w:hAnsi="Courier New"/>
          <w:b w:val="0"/>
          <w:i w:val="0"/>
          <w:sz w:val="18"/>
        </w:rPr>
        <w:t>\beta</w:t>
      </w:r>
      <w:r>
        <w:t>).</w:t>
      </w:r>
    </w:p>
    <w:p>
      <w:pPr>
        <w:pStyle w:val="Heading3"/>
      </w:pPr>
      <w:r>
        <w:t>Images</w:t>
      </w:r>
    </w:p>
    <w:p>
      <w:pPr>
        <w:pStyle w:val="ListBullet"/>
      </w:pPr>
      <w:r>
        <w:t xml:space="preserve">Figures are served from </w:t>
      </w:r>
      <w:r>
        <w:rPr>
          <w:rFonts w:ascii="Courier New" w:hAnsi="Courier New"/>
          <w:b w:val="0"/>
          <w:i w:val="0"/>
          <w:sz w:val="18"/>
        </w:rPr>
        <w:t>storage/figures/{image_key}</w:t>
      </w:r>
      <w:r>
        <w:t>.</w:t>
      </w:r>
    </w:p>
    <w:p>
      <w:pPr>
        <w:pStyle w:val="ListBullet"/>
      </w:pPr>
      <w:r>
        <w:t xml:space="preserve">Always use </w:t>
      </w:r>
      <w:r>
        <w:rPr>
          <w:rFonts w:ascii="Courier New" w:hAnsi="Courier New"/>
          <w:b w:val="0"/>
          <w:i w:val="0"/>
          <w:sz w:val="18"/>
        </w:rPr>
        <w:t>image_key</w:t>
      </w:r>
      <w:r>
        <w:t xml:space="preserve"> to build URLs; </w:t>
      </w:r>
      <w:r>
        <w:rPr>
          <w:rFonts w:ascii="Courier New" w:hAnsi="Courier New"/>
          <w:b w:val="0"/>
          <w:i w:val="0"/>
          <w:sz w:val="18"/>
        </w:rPr>
        <w:t>image_path</w:t>
      </w:r>
      <w:r>
        <w:t xml:space="preserve"> uses Windows backslashes and is not suitable as-is.</w:t>
      </w:r>
    </w:p>
    <w:p>
      <w:pPr>
        <w:pStyle w:val="ListBullet"/>
      </w:pPr>
      <w:r>
        <w:t xml:space="preserve">Always render </w:t>
      </w:r>
      <w:r>
        <w:rPr>
          <w:rFonts w:ascii="Courier New" w:hAnsi="Courier New"/>
          <w:b w:val="0"/>
          <w:i w:val="0"/>
          <w:sz w:val="18"/>
        </w:rPr>
        <w:t>alt_text</w:t>
      </w:r>
      <w:r>
        <w:t xml:space="preserve"> for accessibility.</w:t>
      </w:r>
    </w:p>
    <w:p>
      <w:pPr>
        <w:pStyle w:val="Heading3"/>
      </w:pPr>
      <w:r>
        <w:t>References / Links</w:t>
      </w:r>
    </w:p>
    <w:p>
      <w:pPr>
        <w:pStyle w:val="ListBullet"/>
      </w:pPr>
      <w:r>
        <w:t xml:space="preserve">Only render </w:t>
      </w:r>
      <w:r>
        <w:rPr>
          <w:rFonts w:ascii="Courier New" w:hAnsi="Courier New"/>
          <w:b w:val="0"/>
          <w:i w:val="0"/>
          <w:sz w:val="18"/>
        </w:rPr>
        <w:t>references[]</w:t>
      </w:r>
      <w:r>
        <w:t xml:space="preserve"> entries as clickable links when </w:t>
      </w:r>
      <w:r>
        <w:rPr>
          <w:rFonts w:ascii="Courier New" w:hAnsi="Courier New"/>
          <w:b w:val="0"/>
          <w:i w:val="0"/>
          <w:sz w:val="18"/>
        </w:rPr>
        <w:t>resolved: true</w:t>
      </w:r>
      <w:r>
        <w:t>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target_id</w:t>
      </w:r>
      <w:r>
        <w:t xml:space="preserve"> maps directly to the ID system above — use it to build deep links.</w:t>
      </w:r>
    </w:p>
    <w:p>
      <w:pPr>
        <w:pStyle w:val="ListBullet"/>
      </w:pPr>
      <w:r>
        <w:t xml:space="preserve">For </w:t>
      </w:r>
      <w:r>
        <w:rPr>
          <w:rFonts w:ascii="Courier New" w:hAnsi="Courier New"/>
          <w:b w:val="0"/>
          <w:i w:val="0"/>
          <w:sz w:val="18"/>
        </w:rPr>
        <w:t>note_refs[]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target_ids</w:t>
      </w:r>
      <w:r>
        <w:t xml:space="preserve"> is an array — a note may link to multiple clauses.</w:t>
      </w:r>
    </w:p>
    <w:p>
      <w:pPr>
        <w:pStyle w:val="Heading3"/>
      </w:pPr>
      <w:r>
        <w:t>Content ordering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content[]</w:t>
      </w:r>
      <w:r>
        <w:t xml:space="preserve"> is an </w:t>
      </w:r>
      <w:r>
        <w:rPr>
          <w:b/>
          <w:i w:val="0"/>
        </w:rPr>
        <w:t>ordered</w:t>
      </w:r>
      <w:r>
        <w:t xml:space="preserve"> array preserving the original PDF reading sequence. Render items in array order without reordering.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tables[]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figures[]</w:t>
      </w:r>
      <w:r>
        <w:t xml:space="preserve">, and </w:t>
      </w:r>
      <w:r>
        <w:rPr>
          <w:rFonts w:ascii="Courier New" w:hAnsi="Courier New"/>
          <w:b w:val="0"/>
          <w:i w:val="0"/>
          <w:sz w:val="18"/>
        </w:rPr>
        <w:t>equations[]</w:t>
      </w:r>
      <w:r>
        <w:t xml:space="preserve"> are detail collections for lookup by ID. The inline </w:t>
      </w:r>
      <w:r>
        <w:rPr>
          <w:rFonts w:ascii="Courier New" w:hAnsi="Courier New"/>
          <w:b w:val="0"/>
          <w:i w:val="0"/>
          <w:sz w:val="18"/>
        </w:rPr>
        <w:t>content[]</w:t>
      </w:r>
      <w:r>
        <w:t xml:space="preserve"> items of type </w:t>
      </w:r>
      <w:r>
        <w:rPr>
          <w:rFonts w:ascii="Courier New" w:hAnsi="Courier New"/>
          <w:b w:val="0"/>
          <w:i w:val="0"/>
          <w:sz w:val="18"/>
        </w:rPr>
        <w:t>"table"</w:t>
      </w:r>
      <w:r>
        <w:t xml:space="preserve"> and </w:t>
      </w:r>
      <w:r>
        <w:rPr>
          <w:rFonts w:ascii="Courier New" w:hAnsi="Courier New"/>
          <w:b w:val="0"/>
          <w:i w:val="0"/>
          <w:sz w:val="18"/>
        </w:rPr>
        <w:t>"figure"</w:t>
      </w:r>
      <w:r>
        <w:t xml:space="preserve"> mark the position of those elements in reading order and reference them by ID.</w:t>
      </w:r>
    </w:p>
    <w:p>
      <w:pPr>
        <w:pStyle w:val="Heading3"/>
      </w:pPr>
      <w:r>
        <w:t>Traversal pattern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Document → divisions[] → parts[] → sections[] → subsections[] → clauses[]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                                           ↘ clauses[]  (also check here)</w:t>
      </w:r>
    </w:p>
    <w:p/>
    <w:p>
      <w:r>
        <w:t xml:space="preserve">When traversing </w:t>
      </w:r>
      <w:r>
        <w:rPr>
          <w:rFonts w:ascii="Courier New" w:hAnsi="Courier New"/>
          <w:b w:val="0"/>
          <w:i w:val="0"/>
          <w:sz w:val="18"/>
        </w:rPr>
        <w:t>part.sections[]</w:t>
      </w:r>
      <w:r>
        <w:t xml:space="preserve">, a section is a </w:t>
      </w:r>
      <w:r>
        <w:rPr>
          <w:b/>
          <w:i w:val="0"/>
        </w:rPr>
        <w:t>NotesSection</w:t>
      </w:r>
      <w:r>
        <w:t xml:space="preserve"> when </w:t>
      </w:r>
      <w:r>
        <w:rPr>
          <w:rFonts w:ascii="Courier New" w:hAnsi="Courier New"/>
          <w:b w:val="0"/>
          <w:i w:val="0"/>
          <w:sz w:val="18"/>
        </w:rPr>
        <w:t>section.id.startsWith("SEC-NOTES-")</w:t>
      </w:r>
      <w:r>
        <w:t xml:space="preserve">. Notes sections hold clauses directly in </w:t>
      </w:r>
      <w:r>
        <w:rPr>
          <w:rFonts w:ascii="Courier New" w:hAnsi="Courier New"/>
          <w:b w:val="0"/>
          <w:i w:val="0"/>
          <w:sz w:val="18"/>
        </w:rPr>
        <w:t>section.clauses[]</w:t>
      </w:r>
      <w:r>
        <w:t xml:space="preserve"> — skip the subsections loop.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for (const section of part.sections)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if (section.id.startsWith("SEC-NOTES-"))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// Notes section — clauses are direct children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renderNotesClauses(section.clauses);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} else {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// Regular section — clauses are inside subsections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for (const sub of section.subsections) renderClauses(sub.clauses);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  if (section.clauses.length) renderClauses(section.clauses);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ind w:left="432"/>
      </w:pPr>
      <w:r>
        <w:rPr>
          <w:rFonts w:ascii="Courier New" w:hAnsi="Courier New"/>
          <w:b w:val="0"/>
          <w:i w:val="0"/>
          <w:sz w:val="18"/>
        </w:rPr>
        <w:t>}</w:t>
      </w:r>
    </w:p>
    <w:p/>
    <w:p>
      <w:pPr>
        <w:pStyle w:val="Heading3"/>
      </w:pPr>
      <w:r>
        <w:t>Notes Clauses</w:t>
      </w:r>
    </w:p>
    <w:p>
      <w:pPr>
        <w:pStyle w:val="ListBullet"/>
      </w:pPr>
      <w:r>
        <w:t xml:space="preserve">A note clause has </w:t>
      </w:r>
      <w:r>
        <w:rPr>
          <w:rFonts w:ascii="Courier New" w:hAnsi="Courier New"/>
          <w:b w:val="0"/>
          <w:i w:val="0"/>
          <w:sz w:val="18"/>
        </w:rPr>
        <w:t>id</w:t>
      </w:r>
      <w:r>
        <w:t xml:space="preserve"> starting with </w:t>
      </w:r>
      <w:r>
        <w:rPr>
          <w:rFonts w:ascii="Courier New" w:hAnsi="Courier New"/>
          <w:b w:val="0"/>
          <w:i w:val="0"/>
          <w:sz w:val="18"/>
        </w:rPr>
        <w:t>"CL-NOTE-"</w:t>
      </w:r>
      <w:r>
        <w:t xml:space="preserve"> and </w:t>
      </w:r>
      <w:r>
        <w:rPr>
          <w:rFonts w:ascii="Courier New" w:hAnsi="Courier New"/>
          <w:b w:val="0"/>
          <w:i w:val="0"/>
          <w:sz w:val="18"/>
        </w:rPr>
        <w:t>number</w:t>
      </w:r>
      <w:r>
        <w:t xml:space="preserve"> starting with </w:t>
      </w:r>
      <w:r>
        <w:rPr>
          <w:rFonts w:ascii="Courier New" w:hAnsi="Courier New"/>
          <w:b w:val="0"/>
          <w:i w:val="0"/>
          <w:sz w:val="18"/>
        </w:rPr>
        <w:t>"A-"</w:t>
      </w:r>
      <w:r>
        <w:t>.</w:t>
      </w:r>
    </w:p>
    <w:p>
      <w:pPr>
        <w:pStyle w:val="ListBullet"/>
      </w:pPr>
      <w:r>
        <w:t xml:space="preserve">Its </w:t>
      </w:r>
      <w:r>
        <w:rPr>
          <w:rFonts w:ascii="Courier New" w:hAnsi="Courier New"/>
          <w:b w:val="0"/>
          <w:i w:val="0"/>
          <w:sz w:val="18"/>
        </w:rPr>
        <w:t>content[]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tables[]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figures[]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equations[]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references[]</w:t>
      </w:r>
      <w:r>
        <w:t xml:space="preserve">, and </w:t>
      </w:r>
      <w:r>
        <w:rPr>
          <w:rFonts w:ascii="Courier New" w:hAnsi="Courier New"/>
          <w:b w:val="0"/>
          <w:i w:val="0"/>
          <w:sz w:val="18"/>
        </w:rPr>
        <w:t>note_refs[]</w:t>
      </w:r>
      <w:r>
        <w:t xml:space="preserve"> follow the same schema as regular clauses (§3.8).</w:t>
      </w:r>
    </w:p>
    <w:p>
      <w:pPr>
        <w:pStyle w:val="ListBullet"/>
      </w:pPr>
      <w:r>
        <w:t>Render notes sections with a distinct visual style (e.g., collapsible panel, different background) to distinguish them from normative code content.</w:t>
      </w:r>
    </w:p>
    <w:p>
      <w:pPr>
        <w:pStyle w:val="ListBullet"/>
      </w:pPr>
      <w:r>
        <w:t xml:space="preserve">The </w:t>
      </w:r>
      <w:r>
        <w:rPr>
          <w:rFonts w:ascii="Courier New" w:hAnsi="Courier New"/>
          <w:b w:val="0"/>
          <w:i w:val="0"/>
          <w:sz w:val="18"/>
        </w:rPr>
        <w:t>note_refs[]</w:t>
      </w:r>
      <w:r>
        <w:t xml:space="preserve"> on regular clauses (e.g. </w:t>
      </w:r>
      <w:r>
        <w:rPr>
          <w:rFonts w:ascii="Courier New" w:hAnsi="Courier New"/>
          <w:b w:val="0"/>
          <w:i w:val="0"/>
          <w:sz w:val="18"/>
        </w:rPr>
        <w:t>"See Note A-4.1.1.3.(1)."</w:t>
      </w:r>
      <w:r>
        <w:t xml:space="preserve">) resolve to </w:t>
      </w:r>
      <w:r>
        <w:rPr>
          <w:rFonts w:ascii="Courier New" w:hAnsi="Courier New"/>
          <w:b w:val="0"/>
          <w:i w:val="0"/>
          <w:sz w:val="18"/>
        </w:rPr>
        <w:t>target_ids</w:t>
      </w:r>
      <w:r>
        <w:t xml:space="preserve"> containing </w:t>
      </w:r>
      <w:r>
        <w:rPr>
          <w:rFonts w:ascii="Courier New" w:hAnsi="Courier New"/>
          <w:b w:val="0"/>
          <w:i w:val="0"/>
          <w:sz w:val="18"/>
        </w:rPr>
        <w:t>CL-NOTE-*</w:t>
      </w:r>
      <w:r>
        <w:t xml:space="preserve"> IDs — use these to deep-link into the notes section.</w:t>
      </w:r>
    </w:p>
    <w:p>
      <w:pPr>
        <w:pStyle w:val="Heading3"/>
      </w:pPr>
      <w:r>
        <w:t>Navigation data</w:t>
      </w:r>
    </w:p>
    <w:p>
      <w:pPr>
        <w:pStyle w:val="ListBullet"/>
      </w:pPr>
      <w:r>
        <w:t xml:space="preserve">Use </w:t>
      </w:r>
      <w:r>
        <w:rPr>
          <w:rFonts w:ascii="Courier New" w:hAnsi="Courier New"/>
          <w:b w:val="0"/>
          <w:i w:val="0"/>
          <w:sz w:val="18"/>
        </w:rPr>
        <w:t>GET /document/summary</w:t>
      </w:r>
      <w:r>
        <w:t xml:space="preserve"> to build a navigation tree without loading all clause content.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page_span</w:t>
      </w:r>
      <w:r>
        <w:t xml:space="preserve"> on every node allows mapping to original PDF page numbers for a "view in PDF" link.</w:t>
      </w:r>
    </w:p>
    <w:p>
      <w:pPr>
        <w:pStyle w:val="ListBullet"/>
      </w:pPr>
      <w:r>
        <w:t xml:space="preserve">Notes sections appear at the end of their Part's </w:t>
      </w:r>
      <w:r>
        <w:rPr>
          <w:rFonts w:ascii="Courier New" w:hAnsi="Courier New"/>
          <w:b w:val="0"/>
          <w:i w:val="0"/>
          <w:sz w:val="18"/>
        </w:rPr>
        <w:t>sections[]</w:t>
      </w:r>
      <w:r>
        <w:t xml:space="preserve"> array.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