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UI/UX — Clinical Evaluation Brief</w:t>
      </w:r>
    </w:p>
    <w:p>
      <w:pPr>
        <w:spacing w:before="240" w:after="80"/>
      </w:pPr>
      <w:r>
        <w:rPr>
          <w:rFonts w:ascii="Nunito Sans" w:hAnsi="Nunito Sans"/>
          <w:b/>
          <w:sz w:val="28"/>
          <w:szCs w:val="28"/>
        </w:rPr>
        <w:t xml:space="preserve">A current-state guide for the doctor panel evaluating the user interface</w:t>
      </w:r>
    </w:p>
    <w:p>
      <w:pPr>
        <w:spacing w:before="240" w:after="80"/>
      </w:pPr>
      <w:r>
        <w:rPr>
          <w:rFonts w:ascii="Nunito Sans" w:hAnsi="Nunito Sans"/>
          <w:b/>
          <w:sz w:val="24"/>
          <w:szCs w:val="24"/>
        </w:rPr>
        <w:t xml:space="preserve">Method Marketing Agency for Xenon Ophthalmics Inc.</w:t>
      </w:r>
    </w:p>
    <w:p>
      <w:pPr>
        <w:spacing w:after="0"/>
      </w:pPr>
    </w:p>
    <w:p>
      <w:pPr>
        <w:spacing w:before="60" w:after="120"/>
        <w:ind w:left="360"/>
      </w:pPr>
      <w:r>
        <w:rPr>
          <w:rFonts w:ascii="Nunito Sans" w:hAnsi="Nunito Sans"/>
          <w:i/>
          <w:sz w:val="22"/>
          <w:szCs w:val="22"/>
          <w:color w:val="444444"/>
        </w:rP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  This is not a regulatory submission, a clinical validation report, or a substitute for instrument calibration. It is a transparency document — what the design adheres to, so a clinician can evaluate it against current published standards.  </w:t>
      </w:r>
      <w:r>
        <w:rPr>
          <w:rFonts w:ascii="Nunito Sans" w:hAnsi="Nunito Sans"/>
          <w:b/>
          <w:i/>
          <w:sz w:val="22"/>
          <w:szCs w:val="22"/>
          <w:color w:val="444444"/>
        </w:rPr>
        <w:t xml:space="preserve">v0.3.2 note — subjective-refraction protocol aligned to published technique.</w:t>
      </w:r>
      <w:r>
        <w:rPr>
          <w:rFonts w:ascii="Nunito Sans" w:hAnsi="Nunito Sans"/>
          <w:i/>
          <w:sz w:val="22"/>
          <w:szCs w:val="22"/>
          <w:color w:val="444444"/>
        </w:rPr>
        <w:t xml:space="preserve"> Building on v0.3.1's single-screen console, v0.3.2 corrects the subjective protocol of </w:t>
      </w:r>
      <w:r>
        <w:rPr>
          <w:rFonts w:ascii="Nunito Sans" w:hAnsi="Nunito Sans"/>
          <w:b/>
          <w:i/>
          <w:sz w:val="22"/>
          <w:szCs w:val="22"/>
          <w:color w:val="444444"/>
        </w:rPr>
        <w:t xml:space="preserve">Objective &amp; Subjective Refraction</w:t>
      </w:r>
      <w:r>
        <w:rPr>
          <w:rFonts w:ascii="Nunito Sans" w:hAnsi="Nunito Sans"/>
          <w:i/>
          <w:sz w:val="22"/>
          <w:szCs w:val="22"/>
          <w:color w:val="444444"/>
        </w:rPr>
        <w:t xml:space="preserve"> against the Westmead Eye Manual §8.2 — age-branched sphere protocol, round JCC target two lines above best acuity, separate axis/power cross-cylinder magnitudes, handle-vs-axis depiction, active sphere compensation, axis-midpoint endpoint, RAM-GAP duochrome endpoint, and working-distance-based near add. Axis before power is confirmed unchanged. </w:t>
      </w:r>
      <w:r>
        <w:rPr>
          <w:rFonts w:ascii="Nunito Sans" w:hAnsi="Nunito Sans"/>
          <w:b/>
          <w:i/>
          <w:sz w:val="22"/>
          <w:szCs w:val="22"/>
          <w:color w:val="444444"/>
        </w:rPr>
        <w:t xml:space="preserve">This is the clinical detail the panel is asked to review.</w:t>
      </w:r>
      <w:r>
        <w:rPr>
          <w:rFonts w:ascii="Nunito Sans" w:hAnsi="Nunito Sans"/>
          <w:i/>
          <w:sz w:val="22"/>
          <w:szCs w:val="22"/>
          <w:color w:val="444444"/>
        </w:rPr>
        <w:t xml:space="preserve"> Wavefront Refraction is untouched.</w:t>
      </w:r>
    </w:p>
    <w:p>
      <w:pPr>
        <w:spacing w:after="0"/>
      </w:pPr>
    </w:p>
    <w:p>
      <w:pPr>
        <w:spacing w:before="240" w:after="80"/>
      </w:pPr>
      <w:r>
        <w:rPr>
          <w:rFonts w:ascii="Nunito Sans" w:hAnsi="Nunito Sans"/>
          <w:b/>
          <w:sz w:val="28"/>
          <w:szCs w:val="28"/>
        </w:rPr>
        <w:t xml:space="preserve">What you are evaluating</w:t>
      </w:r>
    </w:p>
    <w:p>
      <w:pPr>
        <w:spacing w:after="120"/>
      </w:pPr>
      <w:r>
        <w:rPr>
          <w:rFonts w:ascii="Nunito Sans" w:hAnsi="Nunito Sans"/>
          <w:sz w:val="22"/>
          <w:szCs w:val="22"/>
        </w:rP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rPr>
          <w:rFonts w:ascii="Nunito Sans" w:hAnsi="Nunito Sans"/>
          <w:sz w:val="22"/>
          <w:szCs w:val="22"/>
        </w:rPr>
        <w:t xml:space="preserve">The seven clinically-faithful tests:</w:t>
      </w:r>
    </w:p>
    <w:p>
      <w:pPr>
        <w:spacing w:after="60"/>
        <w:ind w:left="360"/>
      </w:pPr>
      <w:r>
        <w:rPr>
          <w:rFonts w:ascii="Nunito Sans" w:hAnsi="Nunito Sans"/>
          <w:sz w:val="22"/>
          <w:szCs w:val="22"/>
        </w:rPr>
        <w:t xml:space="preserve">1. Visual Acuity</w:t>
      </w:r>
    </w:p>
    <w:p>
      <w:pPr>
        <w:spacing w:after="60"/>
        <w:ind w:left="360"/>
      </w:pPr>
      <w:r>
        <w:rPr>
          <w:rFonts w:ascii="Nunito Sans" w:hAnsi="Nunito Sans"/>
          <w:sz w:val="22"/>
          <w:szCs w:val="22"/>
        </w:rPr>
        <w:t xml:space="preserve">2. Color Vision (Ishihara + D-15 Farnsworth)</w:t>
      </w:r>
    </w:p>
    <w:p>
      <w:pPr>
        <w:spacing w:after="60"/>
        <w:ind w:left="360"/>
      </w:pPr>
      <w:r>
        <w:rPr>
          <w:rFonts w:ascii="Nunito Sans" w:hAnsi="Nunito Sans"/>
          <w:sz w:val="22"/>
          <w:szCs w:val="22"/>
        </w:rPr>
        <w:t xml:space="preserve">3. Visual Fields</w:t>
      </w:r>
    </w:p>
    <w:p>
      <w:pPr>
        <w:spacing w:after="60"/>
        <w:ind w:left="360"/>
      </w:pPr>
      <w:r>
        <w:rPr>
          <w:rFonts w:ascii="Nunito Sans" w:hAnsi="Nunito Sans"/>
          <w:sz w:val="22"/>
          <w:szCs w:val="22"/>
        </w:rPr>
        <w:t xml:space="preserve">4. Wavefront Aberrometry</w:t>
      </w:r>
    </w:p>
    <w:p>
      <w:pPr>
        <w:spacing w:after="60"/>
        <w:ind w:left="360"/>
      </w:pPr>
      <w:r>
        <w:rPr>
          <w:rFonts w:ascii="Nunito Sans" w:hAnsi="Nunito Sans"/>
          <w:sz w:val="22"/>
          <w:szCs w:val="22"/>
        </w:rPr>
        <w:t xml:space="preserve">5. Extraocular Motility</w:t>
      </w:r>
    </w:p>
    <w:p>
      <w:pPr>
        <w:spacing w:after="60"/>
        <w:ind w:left="360"/>
      </w:pPr>
      <w:r>
        <w:rPr>
          <w:rFonts w:ascii="Nunito Sans" w:hAnsi="Nunito Sans"/>
          <w:sz w:val="22"/>
          <w:szCs w:val="22"/>
        </w:rPr>
        <w:t xml:space="preserve">6. Pupillometry</w:t>
      </w:r>
    </w:p>
    <w:p>
      <w:pPr>
        <w:spacing w:after="60"/>
        <w:ind w:left="360"/>
      </w:pPr>
      <w:r>
        <w:rPr>
          <w:rFonts w:ascii="Nunito Sans" w:hAnsi="Nunito Sans"/>
          <w:sz w:val="22"/>
          <w:szCs w:val="22"/>
        </w:rPr>
        <w:t xml:space="preserve">7. Wavefront Refraction</w:t>
      </w:r>
    </w:p>
    <w:p>
      <w:pPr>
        <w:spacing w:after="120"/>
      </w:pPr>
      <w:r>
        <w:rPr>
          <w:rFonts w:ascii="Nunito Sans" w:hAnsi="Nunito Sans"/>
          <w:sz w:val="22"/>
          <w:szCs w:val="22"/>
        </w:rPr>
        <w:t xml:space="preserve">The remaining tests in the catalog await their own clinical rebuilds in subsequent releases. The entire UI/UX ships as one unified build — currently v0.3.2; a test reaching clinical fidelity in an earlier release is correct and unchanged since then, not running older software.</w:t>
      </w:r>
    </w:p>
    <w:p>
      <w:pPr>
        <w:spacing w:after="0"/>
      </w:pPr>
    </w:p>
    <w:p>
      <w:pPr>
        <w:spacing w:before="240" w:after="80"/>
      </w:pPr>
      <w:r>
        <w:rPr>
          <w:rFonts w:ascii="Nunito Sans" w:hAnsi="Nunito Sans"/>
          <w:b/>
          <w:sz w:val="28"/>
          <w:szCs w:val="28"/>
        </w:rPr>
        <w:t xml:space="preserve">1. Visual Acuity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best-corrected distance visual acuity to identify reduction in central vision and guide refractive correction.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Snellen notation system (20/x feet equivalent), with LogMAR (log of the Minimum Angle of Resolution) surfaced in parallel for documentation and longitudinal comparison.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10-line chart progression from 20/200 to 20/10 (LogMAR 1.00 to −0.30)</w:t>
      </w:r>
    </w:p>
    <w:p>
      <w:pPr>
        <w:spacing w:after="60"/>
        <w:ind w:left="360"/>
      </w:pPr>
      <w:r>
        <w:rPr>
          <w:rFonts w:ascii="Nunito Sans" w:hAnsi="Nunito Sans"/>
          <w:sz w:val="22"/>
          <w:szCs w:val="22"/>
        </w:rPr>
        <w:t xml:space="preserve">•  </w:t>
      </w:r>
      <w:r>
        <w:rPr>
          <w:rFonts w:ascii="Nunito Sans" w:hAnsi="Nunito Sans"/>
          <w:sz w:val="22"/>
          <w:szCs w:val="22"/>
        </w:rPr>
        <w:t xml:space="preserve">Three chart types selectable: Snellen letters, Numbers (for non-readers), Tumbling E (for non-Latin literacy or pediatric use)</w:t>
      </w:r>
    </w:p>
    <w:p>
      <w:pPr>
        <w:spacing w:after="60"/>
        <w:ind w:left="360"/>
      </w:pPr>
      <w:r>
        <w:rPr>
          <w:rFonts w:ascii="Nunito Sans" w:hAnsi="Nunito Sans"/>
          <w:sz w:val="22"/>
          <w:szCs w:val="22"/>
        </w:rPr>
        <w:t xml:space="preserve">•  </w:t>
      </w:r>
      <w:r>
        <w:rPr>
          <w:rFonts w:ascii="Nunito Sans" w:hAnsi="Nunito Sans"/>
          <w:sz w:val="22"/>
          <w:szCs w:val="22"/>
        </w:rPr>
        <w:t xml:space="preserve">Per-letter scoring — tap a letter to cycle through unmarked / correct / incorrect</w:t>
      </w:r>
    </w:p>
    <w:p>
      <w:pPr>
        <w:spacing w:after="60"/>
        <w:ind w:left="360"/>
      </w:pPr>
      <w:r>
        <w:rPr>
          <w:rFonts w:ascii="Nunito Sans" w:hAnsi="Nunito Sans"/>
          <w:sz w:val="22"/>
          <w:szCs w:val="22"/>
        </w:rPr>
        <w:t xml:space="preserve">•  </w:t>
      </w:r>
      <w:r>
        <w:rPr>
          <w:rFonts w:ascii="Nunito Sans" w:hAnsi="Nunito Sans"/>
          <w:sz w:val="22"/>
          <w:szCs w:val="22"/>
        </w:rPr>
        <w:t xml:space="preserve">Per-eye testing: OD-only, OS-only, or OU</w:t>
      </w:r>
    </w:p>
    <w:p>
      <w:pPr>
        <w:spacing w:after="60"/>
        <w:ind w:left="360"/>
      </w:pPr>
      <w:r>
        <w:rPr>
          <w:rFonts w:ascii="Nunito Sans" w:hAnsi="Nunito Sans"/>
          <w:sz w:val="22"/>
          <w:szCs w:val="22"/>
        </w:rPr>
        <w:t xml:space="preserve">•  </w:t>
      </w:r>
      <w:r>
        <w:rPr>
          <w:rFonts w:ascii="Nunito Sans" w:hAnsi="Nunito Sans"/>
          <w:sz w:val="22"/>
          <w:szCs w:val="22"/>
        </w:rPr>
        <w:t xml:space="preserve">Line-pass rule: more than half correct (clinical convention — 3+ on a 5-letter line)</w:t>
      </w:r>
    </w:p>
    <w:p>
      <w:pPr>
        <w:spacing w:after="60"/>
        <w:ind w:left="360"/>
      </w:pPr>
      <w:r>
        <w:rPr>
          <w:rFonts w:ascii="Nunito Sans" w:hAnsi="Nunito Sans"/>
          <w:sz w:val="22"/>
          <w:szCs w:val="22"/>
        </w:rPr>
        <w:t xml:space="preserve">•  </w:t>
      </w:r>
      <w:r>
        <w:rPr>
          <w:rFonts w:ascii="Nunito Sans" w:hAnsi="Nunito Sans"/>
          <w:sz w:val="22"/>
          <w:szCs w:val="22"/>
        </w:rPr>
        <w:t xml:space="preserve">Auto-advance to the next line on passing</w:t>
      </w:r>
    </w:p>
    <w:p>
      <w:pPr>
        <w:spacing w:after="60"/>
        <w:ind w:left="360"/>
      </w:pPr>
      <w:r>
        <w:rPr>
          <w:rFonts w:ascii="Nunito Sans" w:hAnsi="Nunito Sans"/>
          <w:sz w:val="22"/>
          <w:szCs w:val="22"/>
        </w:rPr>
        <w:t xml:space="preserve">•  </w:t>
      </w:r>
      <w:r>
        <w:rPr>
          <w:rFonts w:ascii="Nunito Sans" w:hAnsi="Nunito Sans"/>
          <w:sz w:val="22"/>
          <w:szCs w:val="22"/>
        </w:rPr>
        <w:t xml:space="preserve">Prescription adjustment panel surfaces on a failed line for SPH / CYL / AXIS refinement on either eye</w:t>
      </w:r>
    </w:p>
    <w:p>
      <w:pPr>
        <w:spacing w:after="60"/>
        <w:ind w:left="360"/>
      </w:pPr>
      <w:r>
        <w:rPr>
          <w:rFonts w:ascii="Nunito Sans" w:hAnsi="Nunito Sans"/>
          <w:sz w:val="22"/>
          <w:szCs w:val="22"/>
        </w:rPr>
        <w:t xml:space="preserve">•  </w:t>
      </w:r>
      <w:r>
        <w:rPr>
          <w:rFonts w:ascii="Nunito Sans" w:hAnsi="Nunito Sans"/>
          <w:sz w:val="22"/>
          <w:szCs w:val="22"/>
        </w:rPr>
        <w:t xml:space="preserve">The report shows both Snellen and LogMAR notation, a per-line scoring table, and severity classification (Normal / Mild reduction / Moderate reduction / Significant reduction) driven by the worst-eye result</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chart type selection cover the patient populations you typically see?</w:t>
      </w:r>
    </w:p>
    <w:p>
      <w:pPr>
        <w:spacing w:after="60"/>
        <w:ind w:left="360"/>
      </w:pPr>
      <w:r>
        <w:rPr>
          <w:rFonts w:ascii="Nunito Sans" w:hAnsi="Nunito Sans"/>
          <w:sz w:val="22"/>
          <w:szCs w:val="22"/>
        </w:rPr>
        <w:t xml:space="preserve">•  </w:t>
      </w:r>
      <w:r>
        <w:rPr>
          <w:rFonts w:ascii="Nunito Sans" w:hAnsi="Nunito Sans"/>
          <w:sz w:val="22"/>
          <w:szCs w:val="22"/>
        </w:rPr>
        <w:t xml:space="preserve">Is the per-letter scoring interaction efficient enough for a real clinical workflow?</w:t>
      </w:r>
    </w:p>
    <w:p>
      <w:pPr>
        <w:spacing w:after="60"/>
        <w:ind w:left="360"/>
      </w:pPr>
      <w:r>
        <w:rPr>
          <w:rFonts w:ascii="Nunito Sans" w:hAnsi="Nunito Sans"/>
          <w:sz w:val="22"/>
          <w:szCs w:val="22"/>
        </w:rPr>
        <w:t xml:space="preserve">•  </w:t>
      </w:r>
      <w:r>
        <w:rPr>
          <w:rFonts w:ascii="Nunito Sans" w:hAnsi="Nunito Sans"/>
          <w:sz w:val="22"/>
          <w:szCs w:val="22"/>
        </w:rPr>
        <w:t xml:space="preserve">Does the LogMAR + Snellen dual-notation in the report match your documentation expectations?</w:t>
      </w:r>
    </w:p>
    <w:p>
      <w:pPr>
        <w:spacing w:after="60"/>
        <w:ind w:left="360"/>
      </w:pPr>
      <w:r>
        <w:rPr>
          <w:rFonts w:ascii="Nunito Sans" w:hAnsi="Nunito Sans"/>
          <w:sz w:val="22"/>
          <w:szCs w:val="22"/>
        </w:rPr>
        <w:t xml:space="preserve">•  </w:t>
      </w:r>
      <w:r>
        <w:rPr>
          <w:rFonts w:ascii="Nunito Sans" w:hAnsi="Nunito Sans"/>
          <w:sz w:val="22"/>
          <w:szCs w:val="22"/>
        </w:rPr>
        <w:t xml:space="preserve">Is the prescription adjustment panel positioned correctly in the flow?</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spacing w:after="0"/>
      </w:pPr>
    </w:p>
    <w:p>
      <w:pPr>
        <w:spacing w:before="240" w:after="80"/>
      </w:pPr>
      <w:r>
        <w:rPr>
          <w:rFonts w:ascii="Nunito Sans" w:hAnsi="Nunito Sans"/>
          <w:b/>
          <w:sz w:val="28"/>
          <w:szCs w:val="28"/>
        </w:rPr>
        <w:t xml:space="preserve">2. Color Vision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Screen for and characterize color vision deficiency — red-green (protan, deutan) and blue-yellow (tritan).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Two complementary protocols:</w:t>
      </w:r>
    </w:p>
    <w:p>
      <w:pPr>
        <w:spacing w:after="60"/>
        <w:ind w:left="360"/>
      </w:pPr>
      <w:r>
        <w:rPr>
          <w:rFonts w:ascii="Nunito Sans" w:hAnsi="Nunito Sans"/>
          <w:sz w:val="22"/>
          <w:szCs w:val="22"/>
        </w:rPr>
        <w:t xml:space="preserve">•  </w:t>
      </w:r>
      <w:r>
        <w:rPr>
          <w:rFonts w:ascii="Nunito Sans" w:hAnsi="Nunito Sans"/>
          <w:b/>
          <w:sz w:val="22"/>
          <w:szCs w:val="22"/>
        </w:rPr>
        <w:t xml:space="preserve">Ishihara pseudo-isochromatic plates</w:t>
      </w:r>
      <w:r>
        <w:rPr>
          <w:rFonts w:ascii="Nunito Sans" w:hAnsi="Nunito Sans"/>
          <w:sz w:val="22"/>
          <w:szCs w:val="22"/>
        </w:rPr>
        <w:t xml:space="preserve"> — the global screening standard since 1917</w:t>
      </w:r>
    </w:p>
    <w:p>
      <w:pPr>
        <w:spacing w:after="60"/>
        <w:ind w:left="360"/>
      </w:pPr>
      <w:r>
        <w:rPr>
          <w:rFonts w:ascii="Nunito Sans" w:hAnsi="Nunito Sans"/>
          <w:sz w:val="22"/>
          <w:szCs w:val="22"/>
        </w:rPr>
        <w:t xml:space="preserve">•  </w:t>
      </w:r>
      <w:r>
        <w:rPr>
          <w:rFonts w:ascii="Nunito Sans" w:hAnsi="Nunito Sans"/>
          <w:b/>
          <w:sz w:val="22"/>
          <w:szCs w:val="22"/>
        </w:rPr>
        <w:t xml:space="preserve">D-15 Farnsworth dichotomous hue test</w:t>
      </w:r>
      <w:r>
        <w:rPr>
          <w:rFonts w:ascii="Nunito Sans" w:hAnsi="Nunito Sans"/>
          <w:sz w:val="22"/>
          <w:szCs w:val="22"/>
        </w:rPr>
        <w:t xml:space="preserve"> — quantitative confusion-axis assessment, scored using Vingrys &amp; King-Smith (1988) moment-of-inertia methodology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Test order: OD then OS then OU as three discrete tests (not "OU = OD then OS")</w:t>
      </w:r>
    </w:p>
    <w:p>
      <w:pPr>
        <w:spacing w:after="60"/>
        <w:ind w:left="360"/>
      </w:pPr>
      <w:r>
        <w:rPr>
          <w:rFonts w:ascii="Nunito Sans" w:hAnsi="Nunito Sans"/>
          <w:sz w:val="22"/>
          <w:szCs w:val="22"/>
        </w:rPr>
        <w:t xml:space="preserve">•  </w:t>
      </w:r>
      <w:r>
        <w:rPr>
          <w:rFonts w:ascii="Nunito Sans" w:hAnsi="Nunito Sans"/>
          <w:sz w:val="22"/>
          <w:szCs w:val="22"/>
        </w:rPr>
        <w:t xml:space="preserve">Transition modal between eyes with patient-positioning instructions</w:t>
      </w:r>
    </w:p>
    <w:p>
      <w:pPr>
        <w:spacing w:after="60"/>
        <w:ind w:left="360"/>
      </w:pPr>
      <w:r>
        <w:rPr>
          <w:rFonts w:ascii="Nunito Sans" w:hAnsi="Nunito Sans"/>
          <w:sz w:val="22"/>
          <w:szCs w:val="22"/>
        </w:rPr>
        <w:t xml:space="preserve">•  </w:t>
      </w:r>
      <w:r>
        <w:rPr>
          <w:rFonts w:ascii="Nunito Sans" w:hAnsi="Nunito Sans"/>
          <w:sz w:val="22"/>
          <w:szCs w:val="22"/>
        </w:rPr>
        <w:t xml:space="preserve">Ishihara: 24 plates total (plates 1–4 with licensed images; plates 5–24 use clinically-correct simulated placeholders pending licensed asset delivery)</w:t>
      </w:r>
    </w:p>
    <w:p>
      <w:pPr>
        <w:spacing w:after="60"/>
        <w:ind w:left="360"/>
      </w:pPr>
      <w:r>
        <w:rPr>
          <w:rFonts w:ascii="Nunito Sans" w:hAnsi="Nunito Sans"/>
          <w:sz w:val="22"/>
          <w:szCs w:val="22"/>
        </w:rPr>
        <w:t xml:space="preserve">•  </w:t>
      </w:r>
      <w:r>
        <w:rPr>
          <w:rFonts w:ascii="Nunito Sans" w:hAnsi="Nunito Sans"/>
          <w:sz w:val="22"/>
          <w:szCs w:val="22"/>
        </w:rPr>
        <w:t xml:space="preserve">Ishihara response: 3×4 number pad on the tablet (no text input) + "No response" option per plate</w:t>
      </w:r>
    </w:p>
    <w:p>
      <w:pPr>
        <w:spacing w:after="60"/>
        <w:ind w:left="360"/>
      </w:pPr>
      <w:r>
        <w:rPr>
          <w:rFonts w:ascii="Nunito Sans" w:hAnsi="Nunito Sans"/>
          <w:sz w:val="22"/>
          <w:szCs w:val="22"/>
        </w:rPr>
        <w:t xml:space="preserve">•  </w:t>
      </w:r>
      <w:r>
        <w:rPr>
          <w:rFonts w:ascii="Nunito Sans" w:hAnsi="Nunito Sans"/>
          <w:sz w:val="22"/>
          <w:szCs w:val="22"/>
        </w:rPr>
        <w:t xml:space="preserve">D-15: 16 Munsell V5/C4 sRGB-approximation caps, near-constant luminance, drag-to-reorder arrangement</w:t>
      </w:r>
    </w:p>
    <w:p>
      <w:pPr>
        <w:spacing w:after="60"/>
        <w:ind w:left="360"/>
      </w:pPr>
      <w:r>
        <w:rPr>
          <w:rFonts w:ascii="Nunito Sans" w:hAnsi="Nunito Sans"/>
          <w:sz w:val="22"/>
          <w:szCs w:val="22"/>
        </w:rPr>
        <w:t xml:space="preserve">•  </w:t>
      </w:r>
      <w:r>
        <w:rPr>
          <w:rFonts w:ascii="Nunito Sans" w:hAnsi="Nunito Sans"/>
          <w:sz w:val="22"/>
          <w:szCs w:val="22"/>
        </w:rPr>
        <w:t xml:space="preserve">Cap numbers hidden during arrangement (so the test is solved by hue discrimination, not by reading numbers)</w:t>
      </w:r>
    </w:p>
    <w:p>
      <w:pPr>
        <w:spacing w:after="60"/>
        <w:ind w:left="360"/>
      </w:pPr>
      <w:r>
        <w:rPr>
          <w:rFonts w:ascii="Nunito Sans" w:hAnsi="Nunito Sans"/>
          <w:sz w:val="22"/>
          <w:szCs w:val="22"/>
        </w:rPr>
        <w:t xml:space="preserve">•  </w:t>
      </w:r>
      <w:r>
        <w:rPr>
          <w:rFonts w:ascii="Nunito Sans" w:hAnsi="Nunito Sans"/>
          <w:sz w:val="22"/>
          <w:szCs w:val="22"/>
        </w:rPr>
        <w:t xml:space="preserve">SVG polar plot of patient's sequence vs. ideal sequence</w:t>
      </w:r>
    </w:p>
    <w:p>
      <w:pPr>
        <w:spacing w:after="60"/>
        <w:ind w:left="360"/>
      </w:pPr>
      <w:r>
        <w:rPr>
          <w:rFonts w:ascii="Nunito Sans" w:hAnsi="Nunito Sans"/>
          <w:sz w:val="22"/>
          <w:szCs w:val="22"/>
        </w:rPr>
        <w:t xml:space="preserve">•  </w:t>
      </w:r>
      <w:r>
        <w:rPr>
          <w:rFonts w:ascii="Nunito Sans" w:hAnsi="Nunito Sans"/>
          <w:sz w:val="22"/>
          <w:szCs w:val="22"/>
        </w:rPr>
        <w:t xml:space="preserve">Three-band classification (AAO-style): Normal color vision / Borderline / Deficiency detected</w:t>
      </w:r>
    </w:p>
    <w:p>
      <w:pPr>
        <w:spacing w:after="60"/>
        <w:ind w:left="360"/>
      </w:pPr>
      <w:r>
        <w:rPr>
          <w:rFonts w:ascii="Nunito Sans" w:hAnsi="Nunito Sans"/>
          <w:sz w:val="22"/>
          <w:szCs w:val="22"/>
        </w:rPr>
        <w:t xml:space="preserve">•  </w:t>
      </w:r>
      <w:r>
        <w:rPr>
          <w:rFonts w:ascii="Nunito Sans" w:hAnsi="Nunito Sans"/>
          <w:sz w:val="22"/>
          <w:szCs w:val="22"/>
        </w:rPr>
        <w:t xml:space="preserve">Report shows per-eye polar diagnostic plot, plate-by-plate results table, D-15 scoring metrics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cap palette look clinically credible to you when rendered on the tablet?</w:t>
      </w:r>
    </w:p>
    <w:p>
      <w:pPr>
        <w:spacing w:after="60"/>
        <w:ind w:left="360"/>
      </w:pPr>
      <w:r>
        <w:rPr>
          <w:rFonts w:ascii="Nunito Sans" w:hAnsi="Nunito Sans"/>
          <w:sz w:val="22"/>
          <w:szCs w:val="22"/>
        </w:rPr>
        <w:t xml:space="preserve">•  </w:t>
      </w:r>
      <w:r>
        <w:rPr>
          <w:rFonts w:ascii="Nunito Sans" w:hAnsi="Nunito Sans"/>
          <w:sz w:val="22"/>
          <w:szCs w:val="22"/>
        </w:rPr>
        <w:t xml:space="preserve">Is the 3-band classification (Normal / Borderline / Deficiency) the right summarization, or do you prefer 4-band?</w:t>
      </w:r>
    </w:p>
    <w:p>
      <w:pPr>
        <w:spacing w:after="60"/>
        <w:ind w:left="360"/>
      </w:pPr>
      <w:r>
        <w:rPr>
          <w:rFonts w:ascii="Nunito Sans" w:hAnsi="Nunito Sans"/>
          <w:sz w:val="22"/>
          <w:szCs w:val="22"/>
        </w:rPr>
        <w:t xml:space="preserve">•  </w:t>
      </w:r>
      <w:r>
        <w:rPr>
          <w:rFonts w:ascii="Nunito Sans" w:hAnsi="Nunito Sans"/>
          <w:sz w:val="22"/>
          <w:szCs w:val="22"/>
        </w:rPr>
        <w:t xml:space="preserve">Is the test order (OD → OS → OU as three discrete runs) consistent with how you'd run color vision in practice?</w:t>
      </w:r>
    </w:p>
    <w:p>
      <w:pPr>
        <w:spacing w:after="0"/>
      </w:pPr>
    </w:p>
    <w:p>
      <w:pPr>
        <w:spacing w:before="240" w:after="80"/>
      </w:pPr>
      <w:r>
        <w:rPr>
          <w:rFonts w:ascii="Nunito Sans" w:hAnsi="Nunito Sans"/>
          <w:b/>
          <w:sz w:val="28"/>
          <w:szCs w:val="28"/>
        </w:rPr>
        <w:t xml:space="preserve">3. Visual Fields</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peripheral and central visual field sensitivity to detect glaucomatous defects, neurological field loss, and other patterns of visual field abnormality.</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Humphrey Field Analyzer (HFA) protocols — the global gold standard for automated perimetry. Background luminance 31.5 apostilbs (≈ 10 cd/m²). Strategies and patterns mirror the HFA II / HFA III instrument lineup.</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by default (user-tweakable to OS-first). Binocular-by-design patterns (Esterman, mEsterman, FDP, cFDP) always run as a single OU</w:t>
      </w:r>
    </w:p>
    <w:p>
      <w:pPr>
        <w:spacing w:after="60"/>
        <w:ind w:left="360"/>
      </w:pPr>
      <w:r>
        <w:rPr>
          <w:rFonts w:ascii="Nunito Sans" w:hAnsi="Nunito Sans"/>
          <w:sz w:val="22"/>
          <w:szCs w:val="22"/>
        </w:rPr>
        <w:t xml:space="preserve">•  </w:t>
      </w:r>
      <w:r>
        <w:rPr>
          <w:rFonts w:ascii="Nunito Sans" w:hAnsi="Nunito Sans"/>
          <w:sz w:val="22"/>
          <w:szCs w:val="22"/>
        </w:rPr>
        <w:t xml:space="preserve">Monocular patterns available: 10-1, 10-2, 24-1, 24-2, 30-2, Screening, Goldmann</w:t>
      </w:r>
    </w:p>
    <w:p>
      <w:pPr>
        <w:spacing w:after="60"/>
        <w:ind w:left="360"/>
      </w:pPr>
      <w:r>
        <w:rPr>
          <w:rFonts w:ascii="Nunito Sans" w:hAnsi="Nunito Sans"/>
          <w:sz w:val="22"/>
          <w:szCs w:val="22"/>
        </w:rPr>
        <w:t xml:space="preserve">•  </w:t>
      </w:r>
      <w:r>
        <w:rPr>
          <w:rFonts w:ascii="Nunito Sans" w:hAnsi="Nunito Sans"/>
          <w:sz w:val="22"/>
          <w:szCs w:val="22"/>
        </w:rPr>
        <w:t xml:space="preserve">Binocular patterns available: Functional Esterman (DVLA/DMV driving fitness), Modified Esterman (Central), FDP, Combined FDP Mode</w:t>
      </w:r>
    </w:p>
    <w:p>
      <w:pPr>
        <w:spacing w:after="60"/>
        <w:ind w:left="360"/>
      </w:pPr>
      <w:r>
        <w:rPr>
          <w:rFonts w:ascii="Nunito Sans" w:hAnsi="Nunito Sans"/>
          <w:sz w:val="22"/>
          <w:szCs w:val="22"/>
        </w:rPr>
        <w:t xml:space="preserve">•  </w:t>
      </w:r>
      <w:r>
        <w:rPr>
          <w:rFonts w:ascii="Nunito Sans" w:hAnsi="Nunito Sans"/>
          <w:sz w:val="22"/>
          <w:szCs w:val="22"/>
        </w:rPr>
        <w:t xml:space="preserve">Strategies: SITA-Standard, SITA-Fast (default), SITA-Faster, Full Threshold</w:t>
      </w:r>
    </w:p>
    <w:p>
      <w:pPr>
        <w:spacing w:after="60"/>
        <w:ind w:left="360"/>
      </w:pPr>
      <w:r>
        <w:rPr>
          <w:rFonts w:ascii="Nunito Sans" w:hAnsi="Nunito Sans"/>
          <w:sz w:val="22"/>
          <w:szCs w:val="22"/>
        </w:rPr>
        <w:t xml:space="preserve">•  </w:t>
      </w:r>
      <w:r>
        <w:rPr>
          <w:rFonts w:ascii="Nunito Sans" w:hAnsi="Nunito Sans"/>
          <w:sz w:val="22"/>
          <w:szCs w:val="22"/>
        </w:rPr>
        <w:t xml:space="preserve">Stimulus sizes: Goldmann III (default, 4 mm² at 1/3 m) and Goldmann V (64 mm²)</w:t>
      </w:r>
    </w:p>
    <w:p>
      <w:pPr>
        <w:spacing w:after="60"/>
        <w:ind w:left="360"/>
      </w:pPr>
      <w:r>
        <w:rPr>
          <w:rFonts w:ascii="Nunito Sans" w:hAnsi="Nunito Sans"/>
          <w:sz w:val="22"/>
          <w:szCs w:val="22"/>
        </w:rPr>
        <w:t xml:space="preserve">•  </w:t>
      </w:r>
      <w:r>
        <w:rPr>
          <w:rFonts w:ascii="Nunito Sans" w:hAnsi="Nunito Sans"/>
          <w:sz w:val="22"/>
          <w:szCs w:val="22"/>
        </w:rPr>
        <w:t xml:space="preserve">Foveal threshold calibration before test start, surfaced on the report's central diagram</w:t>
      </w:r>
    </w:p>
    <w:p>
      <w:pPr>
        <w:spacing w:after="60"/>
        <w:ind w:left="360"/>
      </w:pPr>
      <w:r>
        <w:rPr>
          <w:rFonts w:ascii="Nunito Sans" w:hAnsi="Nunito Sans"/>
          <w:sz w:val="22"/>
          <w:szCs w:val="22"/>
        </w:rPr>
        <w:t xml:space="preserve">•  </w:t>
      </w:r>
      <w:r>
        <w:rPr>
          <w:rFonts w:ascii="Nunito Sans" w:hAnsi="Nunito Sans"/>
          <w:b/>
          <w:sz w:val="22"/>
          <w:szCs w:val="22"/>
        </w:rPr>
        <w:t xml:space="preserve">GHT (Glaucoma Hemifield Test)</w:t>
      </w:r>
      <w:r>
        <w:rPr>
          <w:rFonts w:ascii="Nunito Sans" w:hAnsi="Nunito Sans"/>
          <w:sz w:val="22"/>
          <w:szCs w:val="22"/>
        </w:rPr>
        <w:t xml:space="preserve"> result per eye in five categories: Within Normal Limits / Borderline / Outside Normal Limits / General Reduction of Sensitivity / Abnormally High Sensitivity</w:t>
      </w:r>
    </w:p>
    <w:p>
      <w:pPr>
        <w:spacing w:after="60"/>
        <w:ind w:left="360"/>
      </w:pPr>
      <w:r>
        <w:rPr>
          <w:rFonts w:ascii="Nunito Sans" w:hAnsi="Nunito Sans"/>
          <w:sz w:val="22"/>
          <w:szCs w:val="22"/>
        </w:rPr>
        <w:t xml:space="preserve">•  </w:t>
      </w:r>
      <w:r>
        <w:rPr>
          <w:rFonts w:ascii="Nunito Sans" w:hAnsi="Nunito Sans"/>
          <w:b/>
          <w:sz w:val="22"/>
          <w:szCs w:val="22"/>
        </w:rPr>
        <w:t xml:space="preserve">Probability plots:</w:t>
      </w:r>
      <w:r>
        <w:rPr>
          <w:rFonts w:ascii="Nunito Sans" w:hAnsi="Nunito Sans"/>
          <w:sz w:val="22"/>
          <w:szCs w:val="22"/>
        </w:rPr>
        <w:t xml:space="preserve"> Total Deviation and Pattern Deviation with HFA-style symbols</w:t>
      </w:r>
    </w:p>
    <w:p>
      <w:pPr>
        <w:spacing w:after="60"/>
        <w:ind w:left="360"/>
      </w:pPr>
      <w:r>
        <w:rPr>
          <w:rFonts w:ascii="Nunito Sans" w:hAnsi="Nunito Sans"/>
          <w:sz w:val="22"/>
          <w:szCs w:val="22"/>
        </w:rPr>
        <w:t xml:space="preserve">•  </w:t>
      </w:r>
      <w:r>
        <w:rPr>
          <w:rFonts w:ascii="Nunito Sans" w:hAnsi="Nunito Sans"/>
          <w:b/>
          <w:sz w:val="22"/>
          <w:szCs w:val="22"/>
        </w:rPr>
        <w:t xml:space="preserve">Reliability indices</w:t>
      </w:r>
      <w:r>
        <w:rPr>
          <w:rFonts w:ascii="Nunito Sans" w:hAnsi="Nunito Sans"/>
          <w:sz w:val="22"/>
          <w:szCs w:val="22"/>
        </w:rPr>
        <w:t xml:space="preserve"> (FP / FN / FL) banded to HFA's actual XX-flag thresholds. A Strict preset is selectable</w:t>
      </w:r>
    </w:p>
    <w:p>
      <w:pPr>
        <w:spacing w:after="60"/>
        <w:ind w:left="360"/>
      </w:pPr>
      <w:r>
        <w:rPr>
          <w:rFonts w:ascii="Nunito Sans" w:hAnsi="Nunito Sans"/>
          <w:sz w:val="22"/>
          <w:szCs w:val="22"/>
        </w:rPr>
        <w:t xml:space="preserve">•  </w:t>
      </w:r>
      <w:r>
        <w:rPr>
          <w:rFonts w:ascii="Nunito Sans" w:hAnsi="Nunito Sans"/>
          <w:b/>
          <w:sz w:val="22"/>
          <w:szCs w:val="22"/>
        </w:rPr>
        <w:t xml:space="preserve">Clinical override rule:</w:t>
      </w:r>
      <w:r>
        <w:rPr>
          <w:rFonts w:ascii="Nunito Sans" w:hAnsi="Nunito Sans"/>
          <w:sz w:val="22"/>
          <w:szCs w:val="22"/>
        </w:rPr>
        <w:t xml:space="preserve"> if any eye returns GHT "Outside Normal Limits" or "General Reduction," the patient classification is forced up at least one severity band even if MD is within normal limits — the standard clinical reading rule for early glaucoma</w:t>
      </w:r>
    </w:p>
    <w:p>
      <w:pPr>
        <w:spacing w:after="60"/>
        <w:ind w:left="360"/>
      </w:pPr>
      <w:r>
        <w:rPr>
          <w:rFonts w:ascii="Nunito Sans" w:hAnsi="Nunito Sans"/>
          <w:sz w:val="22"/>
          <w:szCs w:val="22"/>
        </w:rPr>
        <w:t xml:space="preserve">•  </w:t>
      </w:r>
      <w:r>
        <w:rPr>
          <w:rFonts w:ascii="Nunito Sans" w:hAnsi="Nunito Sans"/>
          <w:sz w:val="22"/>
          <w:szCs w:val="22"/>
        </w:rPr>
        <w:t xml:space="preserve">Report shows MD, PSD, VFI per eye color-coded by Hodapp-Anderson-Parrish bands, age-banded reference MD table (20–30: −0.3 dB → 80+: −3.6 dB), and per-eye result cards with cumulative worst-eye classification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Are the pattern and strategy options the ones you'd actually use in practice?</w:t>
      </w:r>
    </w:p>
    <w:p>
      <w:pPr>
        <w:spacing w:after="60"/>
        <w:ind w:left="360"/>
      </w:pPr>
      <w:r>
        <w:rPr>
          <w:rFonts w:ascii="Nunito Sans" w:hAnsi="Nunito Sans"/>
          <w:sz w:val="22"/>
          <w:szCs w:val="22"/>
        </w:rPr>
        <w:t xml:space="preserve">•  </w:t>
      </w:r>
      <w:r>
        <w:rPr>
          <w:rFonts w:ascii="Nunito Sans" w:hAnsi="Nunito Sans"/>
          <w:sz w:val="22"/>
          <w:szCs w:val="22"/>
        </w:rPr>
        <w:t xml:space="preserve">Is the GHT result + override rule reading correctly as you'd expect?</w:t>
      </w:r>
    </w:p>
    <w:p>
      <w:pPr>
        <w:spacing w:after="60"/>
        <w:ind w:left="360"/>
      </w:pPr>
      <w:r>
        <w:rPr>
          <w:rFonts w:ascii="Nunito Sans" w:hAnsi="Nunito Sans"/>
          <w:sz w:val="22"/>
          <w:szCs w:val="22"/>
        </w:rPr>
        <w:t xml:space="preserve">•  </w:t>
      </w:r>
      <w:r>
        <w:rPr>
          <w:rFonts w:ascii="Nunito Sans" w:hAnsi="Nunito Sans"/>
          <w:sz w:val="22"/>
          <w:szCs w:val="22"/>
        </w:rPr>
        <w:t xml:space="preserve">Does the age-banded reference table belong in the report, or is it noise?</w:t>
      </w:r>
    </w:p>
    <w:p>
      <w:pPr>
        <w:spacing w:after="60"/>
        <w:ind w:left="360"/>
      </w:pPr>
      <w:r>
        <w:rPr>
          <w:rFonts w:ascii="Nunito Sans" w:hAnsi="Nunito Sans"/>
          <w:sz w:val="22"/>
          <w:szCs w:val="22"/>
        </w:rPr>
        <w:t xml:space="preserve">•  </w:t>
      </w:r>
      <w:r>
        <w:rPr>
          <w:rFonts w:ascii="Nunito Sans" w:hAnsi="Nunito Sans"/>
          <w:sz w:val="22"/>
          <w:szCs w:val="22"/>
        </w:rPr>
        <w:t xml:space="preserve">Reliability index bands — are Standard / Strict thresholds calibrated to what you'd consider clinically acceptable?</w:t>
      </w:r>
    </w:p>
    <w:p>
      <w:pPr>
        <w:spacing w:after="0"/>
      </w:pPr>
    </w:p>
    <w:p>
      <w:pPr>
        <w:spacing w:before="240" w:after="80"/>
      </w:pPr>
      <w:r>
        <w:rPr>
          <w:rFonts w:ascii="Nunito Sans" w:hAnsi="Nunito Sans"/>
          <w:b/>
          <w:sz w:val="28"/>
          <w:szCs w:val="28"/>
        </w:rPr>
        <w:t xml:space="preserve">4. Wavefront Aberrometry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the optical aberrations of the entire eye — lower-order (defocus, astigmatism) and higher-order (coma, trefoil, spherical aberration) — to inform contact lens fitting, refractive surgery candidacy, IOL planning, and unexplained reduced BCVA workup.</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OU runs OD then OS as two discrete captures with full-screen transition prompt</w:t>
      </w:r>
    </w:p>
    <w:p>
      <w:pPr>
        <w:spacing w:after="60"/>
        <w:ind w:left="360"/>
      </w:pPr>
      <w:r>
        <w:rPr>
          <w:rFonts w:ascii="Nunito Sans" w:hAnsi="Nunito Sans"/>
          <w:sz w:val="22"/>
          <w:szCs w:val="22"/>
        </w:rPr>
        <w:t xml:space="preserve">•  </w:t>
      </w:r>
      <w:r>
        <w:rPr>
          <w:rFonts w:ascii="Nunito Sans" w:hAnsi="Nunito Sans"/>
          <w:sz w:val="22"/>
          <w:szCs w:val="22"/>
        </w:rPr>
        <w:t xml:space="preserve">Three-phase flow: eye selection → init / calibrating / capturing / complete → report</w:t>
      </w:r>
    </w:p>
    <w:p>
      <w:pPr>
        <w:spacing w:after="60"/>
        <w:ind w:left="360"/>
      </w:pPr>
      <w:r>
        <w:rPr>
          <w:rFonts w:ascii="Nunito Sans" w:hAnsi="Nunito Sans"/>
          <w:sz w:val="22"/>
          <w:szCs w:val="22"/>
        </w:rPr>
        <w:t xml:space="preserve">•  </w:t>
      </w:r>
      <w:r>
        <w:rPr>
          <w:rFonts w:ascii="Nunito Sans" w:hAnsi="Nunito Sans"/>
          <w:sz w:val="22"/>
          <w:szCs w:val="22"/>
        </w:rPr>
        <w:t xml:space="preserve">Capture mechanics: 3 measurements averaged per eye (published clinical minimum)</w:t>
      </w:r>
    </w:p>
    <w:p>
      <w:pPr>
        <w:spacing w:after="60"/>
        <w:ind w:left="360"/>
      </w:pPr>
      <w:r>
        <w:rPr>
          <w:rFonts w:ascii="Nunito Sans" w:hAnsi="Nunito Sans"/>
          <w:sz w:val="22"/>
          <w:szCs w:val="22"/>
        </w:rPr>
        <w:t xml:space="preserve">•  </w:t>
      </w:r>
      <w:r>
        <w:rPr>
          <w:rFonts w:ascii="Nunito Sans" w:hAnsi="Nunito Sans"/>
          <w:sz w:val="22"/>
          <w:szCs w:val="22"/>
        </w:rPr>
        <w:t xml:space="preserve">Analysis diameter: 6.0 mm</w:t>
      </w:r>
    </w:p>
    <w:p>
      <w:pPr>
        <w:spacing w:after="60"/>
        <w:ind w:left="360"/>
      </w:pPr>
      <w:r>
        <w:rPr>
          <w:rFonts w:ascii="Nunito Sans" w:hAnsi="Nunito Sans"/>
          <w:sz w:val="22"/>
          <w:szCs w:val="22"/>
        </w:rPr>
        <w:t xml:space="preserve">•  </w:t>
      </w:r>
      <w:r>
        <w:rPr>
          <w:rFonts w:ascii="Nunito Sans" w:hAnsi="Nunito Sans"/>
          <w:sz w:val="22"/>
          <w:szCs w:val="22"/>
        </w:rPr>
        <w:t xml:space="preserve">Axis values: unsigned 0–180°</w:t>
      </w:r>
    </w:p>
    <w:p>
      <w:pPr>
        <w:spacing w:after="60"/>
        <w:ind w:left="360"/>
      </w:pPr>
      <w:r>
        <w:rPr>
          <w:rFonts w:ascii="Nunito Sans" w:hAnsi="Nunito Sans"/>
          <w:sz w:val="22"/>
          <w:szCs w:val="22"/>
        </w:rPr>
        <w:t xml:space="preserve">•  </w:t>
      </w:r>
      <w:r>
        <w:rPr>
          <w:rFonts w:ascii="Nunito Sans" w:hAnsi="Nunito Sans"/>
          <w:sz w:val="22"/>
          <w:szCs w:val="22"/>
        </w:rPr>
        <w:t xml:space="preserve">Spherical aberration in micrometers (μm)</w:t>
      </w:r>
    </w:p>
    <w:p>
      <w:pPr>
        <w:spacing w:after="60"/>
        <w:ind w:left="360"/>
      </w:pPr>
      <w:r>
        <w:rPr>
          <w:rFonts w:ascii="Nunito Sans" w:hAnsi="Nunito Sans"/>
          <w:sz w:val="22"/>
          <w:szCs w:val="22"/>
        </w:rPr>
        <w:t xml:space="preserve">•  </w:t>
      </w:r>
      <w:r>
        <w:rPr>
          <w:rFonts w:ascii="Nunito Sans" w:hAnsi="Nunito Sans"/>
          <w:sz w:val="22"/>
          <w:szCs w:val="22"/>
        </w:rPr>
        <w:t xml:space="preserve">Zernike notation: Z₄⁰ rendered with proper subscript / superscript per OSA / ANSI standard</w:t>
      </w:r>
    </w:p>
    <w:p>
      <w:pPr>
        <w:spacing w:after="60"/>
        <w:ind w:left="360"/>
      </w:pPr>
      <w:r>
        <w:rPr>
          <w:rFonts w:ascii="Nunito Sans" w:hAnsi="Nunito Sans"/>
          <w:sz w:val="22"/>
          <w:szCs w:val="22"/>
        </w:rPr>
        <w:t xml:space="preserve">•  </w:t>
      </w:r>
      <w:r>
        <w:rPr>
          <w:rFonts w:ascii="Nunito Sans" w:hAnsi="Nunito Sans"/>
          <w:sz w:val="22"/>
          <w:szCs w:val="22"/>
        </w:rPr>
        <w:t xml:space="preserve">Primary metrics in the report: Sphere · Cylinder · Axis · Total HOA RMS · Coma RMS</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thresholds (Applegate / Marsack for 6 mm pupil): Excellent &lt; 0.15 μm · Good &lt; 0.30 μm · Mildly elevated &lt; 0.45 μm · Significantly elevated ≥ 0.45 μm</w:t>
      </w:r>
    </w:p>
    <w:p>
      <w:pPr>
        <w:spacing w:after="60"/>
        <w:ind w:left="360"/>
      </w:pPr>
      <w:r>
        <w:rPr>
          <w:rFonts w:ascii="Nunito Sans" w:hAnsi="Nunito Sans"/>
          <w:sz w:val="22"/>
          <w:szCs w:val="22"/>
        </w:rPr>
        <w:t xml:space="preserve">•  </w:t>
      </w:r>
      <w:r>
        <w:rPr>
          <w:rFonts w:ascii="Nunito Sans" w:hAnsi="Nunito Sans"/>
          <w:sz w:val="22"/>
          <w:szCs w:val="22"/>
        </w:rPr>
        <w:t xml:space="preserve">Elevated-HOA amber flag during capture if HOA RMS &gt; 0.30 μm</w:t>
      </w:r>
    </w:p>
    <w:p>
      <w:pPr>
        <w:spacing w:after="60"/>
        <w:ind w:left="360"/>
      </w:pPr>
      <w:r>
        <w:rPr>
          <w:rFonts w:ascii="Nunito Sans" w:hAnsi="Nunito Sans"/>
          <w:sz w:val="22"/>
          <w:szCs w:val="22"/>
        </w:rPr>
        <w:t xml:space="preserve">•  </w:t>
      </w:r>
      <w:r>
        <w:rPr>
          <w:rFonts w:ascii="Nunito Sans" w:hAnsi="Nunito Sans"/>
          <w:sz w:val="22"/>
          <w:szCs w:val="22"/>
        </w:rPr>
        <w:t xml:space="preserve">Four view types in report: Pupil image · Centroid image · Full wavefront · Higher orders only</w:t>
      </w:r>
    </w:p>
    <w:p>
      <w:pPr>
        <w:spacing w:after="60"/>
        <w:ind w:left="360"/>
      </w:pPr>
      <w:r>
        <w:rPr>
          <w:rFonts w:ascii="Nunito Sans" w:hAnsi="Nunito Sans"/>
          <w:sz w:val="22"/>
          <w:szCs w:val="22"/>
        </w:rPr>
        <w:t xml:space="preserve">•  </w:t>
      </w:r>
      <w:r>
        <w:rPr>
          <w:rFonts w:ascii="Nunito Sans" w:hAnsi="Nunito Sans"/>
          <w:sz w:val="22"/>
          <w:szCs w:val="22"/>
        </w:rPr>
        <w:t xml:space="preserve">Color-scale legend under the wavefront map (−60 μm / 0 / +60 μm)</w:t>
      </w:r>
    </w:p>
    <w:p>
      <w:pPr>
        <w:spacing w:after="60"/>
        <w:ind w:left="360"/>
      </w:pPr>
      <w:r>
        <w:rPr>
          <w:rFonts w:ascii="Nunito Sans" w:hAnsi="Nunito Sans"/>
          <w:sz w:val="22"/>
          <w:szCs w:val="22"/>
        </w:rPr>
        <w:t xml:space="preserve">•  </w:t>
      </w:r>
      <w:r>
        <w:rPr>
          <w:rFonts w:ascii="Nunito Sans" w:hAnsi="Nunito Sans"/>
          <w:sz w:val="22"/>
          <w:szCs w:val="22"/>
        </w:rPr>
        <w:t xml:space="preserve">False-color wavefront convention: blue (negative deviation) → green (zero) → yellow / red / pink (positive). Standard across major commercial aberrometers.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Is the analysis at 6.0 mm the right default? Should the doctor be able to change it per case?</w:t>
      </w:r>
    </w:p>
    <w:p>
      <w:pPr>
        <w:spacing w:after="60"/>
        <w:ind w:left="360"/>
      </w:pPr>
      <w:r>
        <w:rPr>
          <w:rFonts w:ascii="Nunito Sans" w:hAnsi="Nunito Sans"/>
          <w:sz w:val="22"/>
          <w:szCs w:val="22"/>
        </w:rPr>
        <w:t xml:space="preserve">•  </w:t>
      </w:r>
      <w:r>
        <w:rPr>
          <w:rFonts w:ascii="Nunito Sans" w:hAnsi="Nunito Sans"/>
          <w:sz w:val="22"/>
          <w:szCs w:val="22"/>
        </w:rPr>
        <w:t xml:space="preserve">Are the interpretation thresholds correctly calibrated?</w:t>
      </w:r>
    </w:p>
    <w:p>
      <w:pPr>
        <w:spacing w:after="60"/>
        <w:ind w:left="360"/>
      </w:pPr>
      <w:r>
        <w:rPr>
          <w:rFonts w:ascii="Nunito Sans" w:hAnsi="Nunito Sans"/>
          <w:sz w:val="22"/>
          <w:szCs w:val="22"/>
        </w:rPr>
        <w:t xml:space="preserve">•  </w:t>
      </w:r>
      <w:r>
        <w:rPr>
          <w:rFonts w:ascii="Nunito Sans" w:hAnsi="Nunito Sans"/>
          <w:sz w:val="22"/>
          <w:szCs w:val="22"/>
        </w:rPr>
        <w:t xml:space="preserve">Is "Total HOA RMS" the right summary metric for the dashboard banner, or do you prefer something else?</w:t>
      </w:r>
    </w:p>
    <w:p>
      <w:pPr>
        <w:spacing w:after="60"/>
        <w:ind w:left="360"/>
      </w:pPr>
      <w:r>
        <w:rPr>
          <w:rFonts w:ascii="Nunito Sans" w:hAnsi="Nunito Sans"/>
          <w:sz w:val="22"/>
          <w:szCs w:val="22"/>
        </w:rPr>
        <w:t xml:space="preserve">•  </w:t>
      </w:r>
      <w:r>
        <w:rPr>
          <w:rFonts w:ascii="Nunito Sans" w:hAnsi="Nunito Sans"/>
          <w:sz w:val="22"/>
          <w:szCs w:val="22"/>
        </w:rPr>
        <w:t xml:space="preserve">Is the four-view report layout (Pupil / Centroid / Full Wavefront / Higher Orders Only) useful, or is it information overload?</w:t>
      </w:r>
    </w:p>
    <w:p>
      <w:pPr>
        <w:spacing w:after="0"/>
      </w:pPr>
    </w:p>
    <w:p>
      <w:pPr>
        <w:spacing w:before="240" w:after="80"/>
      </w:pPr>
      <w:r>
        <w:rPr>
          <w:rFonts w:ascii="Nunito Sans" w:hAnsi="Nunito Sans"/>
          <w:b/>
          <w:sz w:val="28"/>
          <w:szCs w:val="28"/>
        </w:rPr>
        <w:t xml:space="preserve">5. Extraocular Motility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International EOM grading scale (0 to ±4) — 0 = normal, negative values = underaction, positive values = overaction. Nine cardinal positions of gaze including primary, with primary + secondary muscle / cranial nerve mapping per position.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Three-phase flow with sub-test state machine: setup → versions → smooth pursuit → saccades → (conditional ductions-OD then ductions-OS) → report</w:t>
      </w:r>
    </w:p>
    <w:p>
      <w:pPr>
        <w:spacing w:after="60"/>
        <w:ind w:left="360"/>
      </w:pPr>
      <w:r>
        <w:rPr>
          <w:rFonts w:ascii="Nunito Sans" w:hAnsi="Nunito Sans"/>
          <w:sz w:val="22"/>
          <w:szCs w:val="22"/>
        </w:rPr>
        <w:t xml:space="preserve">•  </w:t>
      </w:r>
      <w:r>
        <w:rPr>
          <w:rFonts w:ascii="Nunito Sans" w:hAnsi="Nunito Sans"/>
          <w:b/>
          <w:sz w:val="22"/>
          <w:szCs w:val="22"/>
        </w:rPr>
        <w:t xml:space="preserve">Grading scale:</w:t>
      </w:r>
      <w:r>
        <w:rPr>
          <w:rFonts w:ascii="Nunito Sans" w:hAnsi="Nunito Sans"/>
          <w:sz w:val="22"/>
          <w:szCs w:val="22"/>
        </w:rPr>
        <w:t xml:space="preserve"> 0 to ±4 (0 = full normal range, default-selected, green; −1 ≈ 25% limitation; −2 ≈ 50%; −3 ≈ 75% with eye unable to pass midline; −4 = no movement; +1 to +3 = overaction in three grades)</w:t>
      </w:r>
    </w:p>
    <w:p>
      <w:pPr>
        <w:spacing w:after="60"/>
        <w:ind w:left="360"/>
      </w:pPr>
      <w:r>
        <w:rPr>
          <w:rFonts w:ascii="Nunito Sans" w:hAnsi="Nunito Sans"/>
          <w:sz w:val="22"/>
          <w:szCs w:val="22"/>
        </w:rPr>
        <w:t xml:space="preserve">•  </w:t>
      </w:r>
      <w:r>
        <w:rPr>
          <w:rFonts w:ascii="Nunito Sans" w:hAnsi="Nunito Sans"/>
          <w:b/>
          <w:sz w:val="22"/>
          <w:szCs w:val="22"/>
        </w:rPr>
        <w:t xml:space="preserve">Nine cardinal positions</w:t>
      </w:r>
      <w:r>
        <w:rPr>
          <w:rFonts w:ascii="Nunito Sans" w:hAnsi="Nunito Sans"/>
          <w:sz w:val="22"/>
          <w:szCs w:val="22"/>
        </w:rPr>
        <w:t xml:space="preserve"> with primary AND secondary muscle/CN mapping. The secondary mapping is critical for </w:t>
      </w:r>
      <w:r>
        <w:rPr>
          <w:rFonts w:ascii="Nunito Sans" w:hAnsi="Nunito Sans"/>
          <w:b/>
          <w:sz w:val="22"/>
          <w:szCs w:val="22"/>
        </w:rPr>
        <w:t xml:space="preserve">CN IV (trochlear) detection</w:t>
      </w:r>
      <w:r>
        <w:rPr>
          <w:rFonts w:ascii="Nunito Sans" w:hAnsi="Nunito Sans"/>
          <w:sz w:val="22"/>
          <w:szCs w:val="22"/>
        </w:rP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60"/>
        <w:ind w:left="360"/>
      </w:pPr>
      <w:r>
        <w:rPr>
          <w:rFonts w:ascii="Nunito Sans" w:hAnsi="Nunito Sans"/>
          <w:sz w:val="22"/>
          <w:szCs w:val="22"/>
        </w:rPr>
        <w:t xml:space="preserve">•  </w:t>
      </w:r>
      <w:r>
        <w:rPr>
          <w:rFonts w:ascii="Nunito Sans" w:hAnsi="Nunito Sans"/>
          <w:b/>
          <w:sz w:val="22"/>
          <w:szCs w:val="22"/>
        </w:rPr>
        <w:t xml:space="preserve">H-pattern motility diagram</w:t>
      </w:r>
      <w:r>
        <w:rPr>
          <w:rFonts w:ascii="Nunito Sans" w:hAnsi="Nunito Sans"/>
          <w:sz w:val="22"/>
          <w:szCs w:val="22"/>
        </w:rPr>
        <w:t xml:space="preserve"> (clinical standard) — 9 nodes connected by H-shape lines, color-coded by grade</w:t>
      </w:r>
    </w:p>
    <w:p>
      <w:pPr>
        <w:spacing w:after="60"/>
        <w:ind w:left="360"/>
      </w:pPr>
      <w:r>
        <w:rPr>
          <w:rFonts w:ascii="Nunito Sans" w:hAnsi="Nunito Sans"/>
          <w:sz w:val="22"/>
          <w:szCs w:val="22"/>
        </w:rPr>
        <w:t xml:space="preserve">•  </w:t>
      </w:r>
      <w:r>
        <w:rPr>
          <w:rFonts w:ascii="Nunito Sans" w:hAnsi="Nunito Sans"/>
          <w:b/>
          <w:sz w:val="22"/>
          <w:szCs w:val="22"/>
        </w:rPr>
        <w:t xml:space="preserve">Sub-tests:</w:t>
      </w:r>
      <w:r>
        <w:rPr>
          <w:rFonts w:ascii="Nunito Sans" w:hAnsi="Nunito Sans"/>
          <w:sz w:val="22"/>
          <w:szCs w:val="22"/>
        </w:rP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logic</w:t>
      </w:r>
      <w:r>
        <w:rPr>
          <w:rFonts w:ascii="Nunito Sans" w:hAnsi="Nunito Sans"/>
          <w:sz w:val="22"/>
          <w:szCs w:val="22"/>
        </w:rPr>
        <w:t xml:space="preserve"> in the report distinguishes:</w:t>
      </w:r>
    </w:p>
    <w:p>
      <w:pPr>
        <w:spacing w:after="60"/>
        <w:ind w:left="720"/>
      </w:pPr>
      <w:r>
        <w:rPr>
          <w:rFonts w:ascii="Nunito Sans" w:hAnsi="Nunito Sans"/>
          <w:sz w:val="22"/>
          <w:szCs w:val="22"/>
        </w:rPr>
        <w:t xml:space="preserve">•  </w:t>
      </w:r>
      <w:r>
        <w:rPr>
          <w:rFonts w:ascii="Nunito Sans" w:hAnsi="Nunito Sans"/>
          <w:sz w:val="22"/>
          <w:szCs w:val="22"/>
        </w:rPr>
        <w:t xml:space="preserve">Isolated single-muscle underaction → "isolated muscle underaction or cranial nerve palsy" pattern</w:t>
      </w:r>
    </w:p>
    <w:p>
      <w:pPr>
        <w:spacing w:after="60"/>
        <w:ind w:left="720"/>
      </w:pPr>
      <w:r>
        <w:rPr>
          <w:rFonts w:ascii="Nunito Sans" w:hAnsi="Nunito Sans"/>
          <w:sz w:val="22"/>
          <w:szCs w:val="22"/>
        </w:rPr>
        <w:t xml:space="preserve">•  </w:t>
      </w:r>
      <w:r>
        <w:rPr>
          <w:rFonts w:ascii="Nunito Sans" w:hAnsi="Nunito Sans"/>
          <w:sz w:val="22"/>
          <w:szCs w:val="22"/>
        </w:rPr>
        <w:t xml:space="preserve">Multiple underactions → flagged for internuclear ophthalmoplegia / complex CN palsy / restrictive strabismus assessment</w:t>
      </w:r>
    </w:p>
    <w:p>
      <w:pPr>
        <w:spacing w:after="60"/>
        <w:ind w:left="720"/>
      </w:pPr>
      <w:r>
        <w:rPr>
          <w:rFonts w:ascii="Nunito Sans" w:hAnsi="Nunito Sans"/>
          <w:sz w:val="22"/>
          <w:szCs w:val="22"/>
        </w:rPr>
        <w:t xml:space="preserve">•  </w:t>
      </w:r>
      <w:r>
        <w:rPr>
          <w:rFonts w:ascii="Nunito Sans" w:hAnsi="Nunito Sans"/>
          <w:sz w:val="22"/>
          <w:szCs w:val="22"/>
        </w:rPr>
        <w:t xml:space="preserve">Overaction-only → "primary overaction or secondary to contralateral muscle weakness"</w:t>
      </w:r>
    </w:p>
    <w:p>
      <w:pPr>
        <w:spacing w:after="60"/>
        <w:ind w:left="720"/>
      </w:pPr>
      <w:r>
        <w:rPr>
          <w:rFonts w:ascii="Nunito Sans" w:hAnsi="Nunito Sans"/>
          <w:sz w:val="22"/>
          <w:szCs w:val="22"/>
        </w:rPr>
        <w:t xml:space="preserve">•  </w:t>
      </w:r>
      <w:r>
        <w:rPr>
          <w:rFonts w:ascii="Nunito Sans" w:hAnsi="Nunito Sans"/>
          <w:sz w:val="22"/>
          <w:szCs w:val="22"/>
        </w:rPr>
        <w:t xml:space="preserve">Versions full but pursuit/saccades abnormal → neurological causes flagged</w:t>
      </w:r>
    </w:p>
    <w:p>
      <w:pPr>
        <w:spacing w:after="60"/>
        <w:ind w:left="360"/>
      </w:pPr>
      <w:r>
        <w:rPr>
          <w:rFonts w:ascii="Nunito Sans" w:hAnsi="Nunito Sans"/>
          <w:sz w:val="22"/>
          <w:szCs w:val="22"/>
        </w:rPr>
        <w:t xml:space="preserve">•  </w:t>
      </w:r>
      <w:r>
        <w:rPr>
          <w:rFonts w:ascii="Nunito Sans" w:hAnsi="Nunito Sans"/>
          <w:b/>
          <w:sz w:val="22"/>
          <w:szCs w:val="22"/>
        </w:rPr>
        <w:t xml:space="preserve">CN palsy clinical flag</w:t>
      </w:r>
      <w:r>
        <w:rPr>
          <w:rFonts w:ascii="Nunito Sans" w:hAnsi="Nunito Sans"/>
          <w:sz w:val="22"/>
          <w:szCs w:val="22"/>
        </w:rPr>
        <w:t xml:space="preserve"> — prominent red surface with full position / muscle / CN details and neurological-referral copy surfaces automatically whenever any single position grade is ≤ −3</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0 to ±4 grading scale match how you'd record EOM findings? Specifically: are you accustomed to seeing 0 as "normal" or do some institutions still teach the old 1–5?</w:t>
      </w:r>
    </w:p>
    <w:p>
      <w:pPr>
        <w:spacing w:after="60"/>
        <w:ind w:left="360"/>
      </w:pPr>
      <w:r>
        <w:rPr>
          <w:rFonts w:ascii="Nunito Sans" w:hAnsi="Nunito Sans"/>
          <w:sz w:val="22"/>
          <w:szCs w:val="22"/>
        </w:rPr>
        <w:t xml:space="preserve">•  </w:t>
      </w:r>
      <w:r>
        <w:rPr>
          <w:rFonts w:ascii="Nunito Sans" w:hAnsi="Nunito Sans"/>
          <w:sz w:val="22"/>
          <w:szCs w:val="22"/>
        </w:rPr>
        <w:t xml:space="preserve">Is the H-pattern diagram layout the convention you expect to see in a printed EOM report?</w:t>
      </w:r>
    </w:p>
    <w:p>
      <w:pPr>
        <w:spacing w:after="60"/>
        <w:ind w:left="360"/>
      </w:pPr>
      <w:r>
        <w:rPr>
          <w:rFonts w:ascii="Nunito Sans" w:hAnsi="Nunito Sans"/>
          <w:sz w:val="22"/>
          <w:szCs w:val="22"/>
        </w:rPr>
        <w:t xml:space="preserve">•  </w:t>
      </w:r>
      <w:r>
        <w:rPr>
          <w:rFonts w:ascii="Nunito Sans" w:hAnsi="Nunito Sans"/>
          <w:sz w:val="22"/>
          <w:szCs w:val="22"/>
        </w:rPr>
        <w:t xml:space="preserve">Are the four sub-tests (Versions / Smooth pursuit / Saccades / Ductions) the right scope, or should anything be added or removed?</w:t>
      </w:r>
    </w:p>
    <w:p>
      <w:pPr>
        <w:spacing w:after="60"/>
        <w:ind w:left="360"/>
      </w:pPr>
      <w:r>
        <w:rPr>
          <w:rFonts w:ascii="Nunito Sans" w:hAnsi="Nunito Sans"/>
          <w:sz w:val="22"/>
          <w:szCs w:val="22"/>
        </w:rPr>
        <w:t xml:space="preserve">•  </w:t>
      </w:r>
      <w:r>
        <w:rPr>
          <w:rFonts w:ascii="Nunito Sans" w:hAnsi="Nunito Sans"/>
          <w:sz w:val="22"/>
          <w:szCs w:val="22"/>
        </w:rPr>
        <w:t xml:space="preserve">The auto-enable of ductions when any version grade is non-zero — is that the right trigger logic?</w:t>
      </w:r>
    </w:p>
    <w:p>
      <w:pPr>
        <w:spacing w:after="60"/>
        <w:ind w:left="360"/>
      </w:pPr>
      <w:r>
        <w:rPr>
          <w:rFonts w:ascii="Nunito Sans" w:hAnsi="Nunito Sans"/>
          <w:sz w:val="22"/>
          <w:szCs w:val="22"/>
        </w:rPr>
        <w:t xml:space="preserve">•  </w:t>
      </w:r>
      <w:r>
        <w:rPr>
          <w:rFonts w:ascii="Nunito Sans" w:hAnsi="Nunito Sans"/>
          <w:sz w:val="22"/>
          <w:szCs w:val="22"/>
        </w:rPr>
        <w:t xml:space="preserve">The interpretation banner copy (e.g., "Pattern consistent with isolated muscle underaction or cranial nerve palsy") — does the language read correctly to a doctor reviewing the report?</w:t>
      </w:r>
    </w:p>
    <w:p>
      <w:pPr>
        <w:spacing w:after="0"/>
      </w:pPr>
    </w:p>
    <w:p>
      <w:pPr>
        <w:spacing w:before="240" w:after="80"/>
      </w:pPr>
      <w:r>
        <w:rPr>
          <w:rFonts w:ascii="Nunito Sans" w:hAnsi="Nunito Sans"/>
          <w:b/>
          <w:sz w:val="28"/>
          <w:szCs w:val="28"/>
        </w:rPr>
        <w:t xml:space="preserve">6. Pupillometry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Static pupil size:</w:t>
      </w:r>
      <w:r>
        <w:rPr>
          <w:rFonts w:ascii="Nunito Sans" w:hAnsi="Nunito Sans"/>
          <w:sz w:val="22"/>
          <w:szCs w:val="22"/>
        </w:rPr>
        <w:t xml:space="preserve"> Winn et al. 1994 age-banded normative data — six age bands (20s through 70+) × three light conditions (scotopic, mesopic, photopic), mean ± 1 SD</w:t>
      </w:r>
    </w:p>
    <w:p>
      <w:pPr>
        <w:spacing w:after="60"/>
        <w:ind w:left="360"/>
      </w:pPr>
      <w:r>
        <w:rPr>
          <w:rFonts w:ascii="Nunito Sans" w:hAnsi="Nunito Sans"/>
          <w:sz w:val="22"/>
          <w:szCs w:val="22"/>
        </w:rPr>
        <w:t xml:space="preserve">•  </w:t>
      </w:r>
      <w:r>
        <w:rPr>
          <w:rFonts w:ascii="Nunito Sans" w:hAnsi="Nunito Sans"/>
          <w:b/>
          <w:sz w:val="22"/>
          <w:szCs w:val="22"/>
        </w:rPr>
        <w:t xml:space="preserve">Anisocoria assessment:</w:t>
      </w:r>
      <w:r>
        <w:rPr>
          <w:rFonts w:ascii="Nunito Sans" w:hAnsi="Nunito Sans"/>
          <w:sz w:val="22"/>
          <w:szCs w:val="22"/>
        </w:rPr>
        <w:t xml:space="preserve"> light-vs-dark differential rule — anisocoria that varies with light condition by ≥ 0.3 mm is pathological (sympathetic if worse-in-dark, parasympathetic if worse-in-light)</w:t>
      </w:r>
    </w:p>
    <w:p>
      <w:pPr>
        <w:spacing w:after="60"/>
        <w:ind w:left="360"/>
      </w:pPr>
      <w:r>
        <w:rPr>
          <w:rFonts w:ascii="Nunito Sans" w:hAnsi="Nunito Sans"/>
          <w:sz w:val="22"/>
          <w:szCs w:val="22"/>
        </w:rPr>
        <w:t xml:space="preserve">•  </w:t>
      </w:r>
      <w:r>
        <w:rPr>
          <w:rFonts w:ascii="Nunito Sans" w:hAnsi="Nunito Sans"/>
          <w:b/>
          <w:sz w:val="22"/>
          <w:szCs w:val="22"/>
        </w:rPr>
        <w:t xml:space="preserve">Dynamic pupillary light reflex (PLR):</w:t>
      </w:r>
      <w:r>
        <w:rPr>
          <w:rFonts w:ascii="Nunito Sans" w:hAnsi="Nunito Sans"/>
          <w:sz w:val="22"/>
          <w:szCs w:val="22"/>
        </w:rPr>
        <w:t xml:space="preserve"> time-course capture of baseline size, peak constriction, latency, constriction velocity, T75 redilation, redilation velocity</w:t>
      </w:r>
    </w:p>
    <w:p>
      <w:pPr>
        <w:spacing w:after="60"/>
        <w:ind w:left="360"/>
      </w:pPr>
      <w:r>
        <w:rPr>
          <w:rFonts w:ascii="Nunito Sans" w:hAnsi="Nunito Sans"/>
          <w:sz w:val="22"/>
          <w:szCs w:val="22"/>
        </w:rPr>
        <w:t xml:space="preserve">•  </w:t>
      </w:r>
      <w:r>
        <w:rPr>
          <w:rFonts w:ascii="Nunito Sans" w:hAnsi="Nunito Sans"/>
          <w:b/>
          <w:sz w:val="22"/>
          <w:szCs w:val="22"/>
        </w:rPr>
        <w:t xml:space="preserve">NPi (Neurological Pupil index):</w:t>
      </w:r>
      <w:r>
        <w:rPr>
          <w:rFonts w:ascii="Nunito Sans" w:hAnsi="Nunito Sans"/>
          <w:sz w:val="22"/>
          <w:szCs w:val="22"/>
        </w:rPr>
        <w:t xml:space="preserve"> 0–5 composite score from NeurOptics NPi-200 reference — ≥ 3.0 normal, &lt; 3.0 abnormal; asymmetry &gt; 0.7 between eyes is a warning sign</w:t>
      </w:r>
    </w:p>
    <w:p>
      <w:pPr>
        <w:spacing w:after="60"/>
        <w:ind w:left="360"/>
      </w:pPr>
      <w:r>
        <w:rPr>
          <w:rFonts w:ascii="Nunito Sans" w:hAnsi="Nunito Sans"/>
          <w:sz w:val="22"/>
          <w:szCs w:val="22"/>
        </w:rPr>
        <w:t xml:space="preserve">•  </w:t>
      </w:r>
      <w:r>
        <w:rPr>
          <w:rFonts w:ascii="Nunito Sans" w:hAnsi="Nunito Sans"/>
          <w:b/>
          <w:sz w:val="22"/>
          <w:szCs w:val="22"/>
        </w:rPr>
        <w:t xml:space="preserve">RAPD (Marcus Gunn pupil) grading:</w:t>
      </w:r>
      <w:r>
        <w:rPr>
          <w:rFonts w:ascii="Nunito Sans" w:hAnsi="Nunito Sans"/>
          <w:sz w:val="22"/>
          <w:szCs w:val="22"/>
        </w:rPr>
        <w:t xml:space="preserve"> None / Trace / 1+ / 2+ / 3+ / 4+ amaurotic — standard clinical grading scale</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(OD then OS as discrete runs) or OD-only / OS-only at user choice</w:t>
      </w:r>
    </w:p>
    <w:p>
      <w:pPr>
        <w:spacing w:after="60"/>
        <w:ind w:left="360"/>
      </w:pPr>
      <w:r>
        <w:rPr>
          <w:rFonts w:ascii="Nunito Sans" w:hAnsi="Nunito Sans"/>
          <w:sz w:val="22"/>
          <w:szCs w:val="22"/>
        </w:rPr>
        <w:t xml:space="preserve">•  </w:t>
      </w:r>
      <w:r>
        <w:rPr>
          <w:rFonts w:ascii="Nunito Sans" w:hAnsi="Nunito Sans"/>
          <w:sz w:val="22"/>
          <w:szCs w:val="22"/>
        </w:rPr>
        <w:t xml:space="preserve">In-test eye picker, eye-sequence breadcrumb, full-screen transition modal with patient-repositioning copy between eyes</w:t>
      </w:r>
    </w:p>
    <w:p>
      <w:pPr>
        <w:spacing w:after="60"/>
        <w:ind w:left="360"/>
      </w:pPr>
      <w:r>
        <w:rPr>
          <w:rFonts w:ascii="Nunito Sans" w:hAnsi="Nunito Sans"/>
          <w:sz w:val="22"/>
          <w:szCs w:val="22"/>
        </w:rPr>
        <w:t xml:space="preserve">•  </w:t>
      </w:r>
      <w:r>
        <w:rPr>
          <w:rFonts w:ascii="Nunito Sans" w:hAnsi="Nunito Sans"/>
          <w:sz w:val="22"/>
          <w:szCs w:val="22"/>
        </w:rPr>
        <w:t xml:space="preserve">Patient age input on the setup screen — drives the age-banded reference range lookup</w:t>
      </w:r>
    </w:p>
    <w:p>
      <w:pPr>
        <w:spacing w:after="60"/>
        <w:ind w:left="360"/>
      </w:pPr>
      <w:r>
        <w:rPr>
          <w:rFonts w:ascii="Nunito Sans" w:hAnsi="Nunito Sans"/>
          <w:sz w:val="22"/>
          <w:szCs w:val="22"/>
        </w:rPr>
        <w:t xml:space="preserve">•  </w:t>
      </w:r>
      <w:r>
        <w:rPr>
          <w:rFonts w:ascii="Nunito Sans" w:hAnsi="Nunito Sans"/>
          <w:sz w:val="22"/>
          <w:szCs w:val="22"/>
        </w:rPr>
        <w:t xml:space="preserve">Three sub-tests with state machine:</w:t>
      </w:r>
    </w:p>
    <w:p>
      <w:pPr>
        <w:spacing w:after="60"/>
        <w:ind w:left="720"/>
      </w:pPr>
      <w:r>
        <w:rPr>
          <w:rFonts w:ascii="Nunito Sans" w:hAnsi="Nunito Sans"/>
          <w:sz w:val="22"/>
          <w:szCs w:val="22"/>
        </w:rPr>
        <w:t xml:space="preserve">•  </w:t>
      </w:r>
      <w:r>
        <w:rPr>
          <w:rFonts w:ascii="Nunito Sans" w:hAnsi="Nunito Sans"/>
          <w:sz w:val="22"/>
          <w:szCs w:val="22"/>
        </w:rPr>
        <w:t xml:space="preserve">Static pupil size (required) — three light conditions per eye with deviation flags against the age-banded range</w:t>
      </w:r>
    </w:p>
    <w:p>
      <w:pPr>
        <w:spacing w:after="60"/>
        <w:ind w:left="720"/>
      </w:pPr>
      <w:r>
        <w:rPr>
          <w:rFonts w:ascii="Nunito Sans" w:hAnsi="Nunito Sans"/>
          <w:sz w:val="22"/>
          <w:szCs w:val="22"/>
        </w:rPr>
        <w:t xml:space="preserve">•  </w:t>
      </w:r>
      <w:r>
        <w:rPr>
          <w:rFonts w:ascii="Nunito Sans" w:hAnsi="Nunito Sans"/>
          <w:sz w:val="22"/>
          <w:szCs w:val="22"/>
        </w:rPr>
        <w:t xml:space="preserve">Dynamic light reflex (default on) — stimulus-flash animation, live PLR curve chart, summary metric tiles (baseline / min / constriction % / latency / constriction velocity / T75 redilation), NPi computed and surfaced per eye in a prominent severity-coded tile</w:t>
      </w:r>
    </w:p>
    <w:p>
      <w:pPr>
        <w:spacing w:after="60"/>
        <w:ind w:left="720"/>
      </w:pPr>
      <w:r>
        <w:rPr>
          <w:rFonts w:ascii="Nunito Sans" w:hAnsi="Nunito Sans"/>
          <w:sz w:val="22"/>
          <w:szCs w:val="22"/>
        </w:rPr>
        <w:t xml:space="preserve">•  </w:t>
      </w:r>
      <w:r>
        <w:rPr>
          <w:rFonts w:ascii="Nunito Sans" w:hAnsi="Nunito Sans"/>
          <w:sz w:val="22"/>
          <w:szCs w:val="22"/>
        </w:rPr>
        <w:t xml:space="preserve">Swinging flashlight (default on; requires both eyes) — alternating stimulus animation across both eyes, per-eye RAPD grade selector with all six grades exposed</w:t>
      </w:r>
    </w:p>
    <w:p>
      <w:pPr>
        <w:spacing w:after="60"/>
        <w:ind w:left="360"/>
      </w:pPr>
      <w:r>
        <w:rPr>
          <w:rFonts w:ascii="Nunito Sans" w:hAnsi="Nunito Sans"/>
          <w:sz w:val="22"/>
          <w:szCs w:val="22"/>
        </w:rPr>
        <w:t xml:space="preserve">•  </w:t>
      </w:r>
      <w:r>
        <w:rPr>
          <w:rFonts w:ascii="Nunito Sans" w:hAnsi="Nunito Sans"/>
          <w:sz w:val="22"/>
          <w:szCs w:val="22"/>
        </w:rPr>
        <w:t xml:space="preserve">Iris/pupil viewer: animated iris with breathing pupil, calibrated to the active light condition; stimulus flash overlays during dynamic capture and swinging flashlight</w:t>
      </w:r>
    </w:p>
    <w:p>
      <w:pPr>
        <w:spacing w:after="60"/>
        <w:ind w:left="360"/>
      </w:pPr>
      <w:r>
        <w:rPr>
          <w:rFonts w:ascii="Nunito Sans" w:hAnsi="Nunito Sans"/>
          <w:sz w:val="22"/>
          <w:szCs w:val="22"/>
        </w:rPr>
        <w:t xml:space="preserve">•  </w:t>
      </w:r>
      <w:r>
        <w:rPr>
          <w:rFonts w:ascii="Nunito Sans" w:hAnsi="Nunito Sans"/>
          <w:sz w:val="22"/>
          <w:szCs w:val="22"/>
        </w:rPr>
        <w:t xml:space="preserve">Patient Classification banner in the report with worst-finding-drives-bottom-line severity (Normal / Mild / Significant), per-eye NPi summary pills, per-eye RAPD summary pills, and overall anisocoria pill</w:t>
      </w:r>
    </w:p>
    <w:p>
      <w:pPr>
        <w:spacing w:after="60"/>
        <w:ind w:left="360"/>
      </w:pPr>
      <w:r>
        <w:rPr>
          <w:rFonts w:ascii="Nunito Sans" w:hAnsi="Nunito Sans"/>
          <w:sz w:val="22"/>
          <w:szCs w:val="22"/>
        </w:rPr>
        <w:t xml:space="preserve">•  </w:t>
      </w:r>
      <w:r>
        <w:rPr>
          <w:rFonts w:ascii="Nunito Sans" w:hAnsi="Nunito Sans"/>
          <w:sz w:val="22"/>
          <w:szCs w:val="22"/>
        </w:rPr>
        <w:t xml:space="preserve">Static measurements table — 3 light conditions × eyes tested, with age-banded reference range column and dedicated anisocoria row showing the light/dark differential (≥ 0.3 mm flagged as pathological pattern)</w:t>
      </w:r>
    </w:p>
    <w:p>
      <w:pPr>
        <w:spacing w:after="60"/>
        <w:ind w:left="360"/>
      </w:pPr>
      <w:r>
        <w:rPr>
          <w:rFonts w:ascii="Nunito Sans" w:hAnsi="Nunito Sans"/>
          <w:sz w:val="22"/>
          <w:szCs w:val="22"/>
        </w:rPr>
        <w:t xml:space="preserve">•  </w:t>
      </w:r>
      <w:r>
        <w:rPr>
          <w:rFonts w:ascii="Nunito Sans" w:hAnsi="Nunito Sans"/>
          <w:sz w:val="22"/>
          <w:szCs w:val="22"/>
        </w:rPr>
        <w:t xml:space="preserve">Dynamic measurements card per eye — PLR curve chart plus the six summary metrics, with NPi severity pill</w:t>
      </w:r>
    </w:p>
    <w:p>
      <w:pPr>
        <w:spacing w:after="60"/>
        <w:ind w:left="360"/>
      </w:pPr>
      <w:r>
        <w:rPr>
          <w:rFonts w:ascii="Nunito Sans" w:hAnsi="Nunito Sans"/>
          <w:sz w:val="22"/>
          <w:szCs w:val="22"/>
        </w:rPr>
        <w:t xml:space="preserve">•  </w:t>
      </w:r>
      <w:r>
        <w:rPr>
          <w:rFonts w:ascii="Nunito Sans" w:hAnsi="Nunito Sans"/>
          <w:sz w:val="22"/>
          <w:szCs w:val="22"/>
        </w:rPr>
        <w:t xml:space="preserve">RAPD assessment card per eye with full clinical descriptor</w:t>
      </w:r>
    </w:p>
    <w:p>
      <w:pPr>
        <w:spacing w:after="60"/>
        <w:ind w:left="360"/>
      </w:pPr>
      <w:r>
        <w:rPr>
          <w:rFonts w:ascii="Nunito Sans" w:hAnsi="Nunito Sans"/>
          <w:sz w:val="22"/>
          <w:szCs w:val="22"/>
        </w:rPr>
        <w:t xml:space="preserve">•  </w:t>
      </w:r>
      <w:r>
        <w:rPr>
          <w:rFonts w:ascii="Nunito Sans" w:hAnsi="Nunito Sans"/>
          <w:b/>
          <w:sz w:val="22"/>
          <w:szCs w:val="22"/>
        </w:rPr>
        <w:t xml:space="preserve">CN III / Horner's / RAPD clinical flag</w:t>
      </w:r>
      <w:r>
        <w:rPr>
          <w:rFonts w:ascii="Nunito Sans" w:hAnsi="Nunito Sans"/>
          <w:sz w:val="22"/>
          <w:szCs w:val="22"/>
        </w:rP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card with severity tint and finding-by-finding bullet list</w:t>
      </w:r>
    </w:p>
    <w:p>
      <w:pPr>
        <w:spacing w:after="60"/>
        <w:ind w:left="360"/>
      </w:pPr>
      <w:r>
        <w:rPr>
          <w:rFonts w:ascii="Nunito Sans" w:hAnsi="Nunito Sans"/>
          <w:sz w:val="22"/>
          <w:szCs w:val="22"/>
        </w:rPr>
        <w:t xml:space="preserve">•  </w:t>
      </w:r>
      <w:r>
        <w:rPr>
          <w:rFonts w:ascii="Nunito Sans" w:hAnsi="Nunito Sans"/>
          <w:sz w:val="22"/>
          <w:szCs w:val="22"/>
        </w:rPr>
        <w:t xml:space="preserve">Age-banded reference values card so the printed report stands alone</w:t>
      </w:r>
    </w:p>
    <w:p>
      <w:pPr>
        <w:spacing w:after="60"/>
        <w:ind w:left="360"/>
      </w:pPr>
      <w:r>
        <w:rPr>
          <w:rFonts w:ascii="Nunito Sans" w:hAnsi="Nunito Sans"/>
          <w:sz w:val="22"/>
          <w:szCs w:val="22"/>
        </w:rPr>
        <w:t xml:space="preserve">•  </w:t>
      </w:r>
      <w:r>
        <w:rPr>
          <w:rFonts w:ascii="Nunito Sans" w:hAnsi="Nunito Sans"/>
          <w:sz w:val="22"/>
          <w:szCs w:val="22"/>
        </w:rPr>
        <w:t xml:space="preserve">Doctor sign-off label above the Certify &amp; close primary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static measurement protocol (three light conditions per eye, captured in sequence with age-banded reference range overlay) match how you'd run static pupillometry?</w:t>
      </w:r>
    </w:p>
    <w:p>
      <w:pPr>
        <w:spacing w:after="60"/>
        <w:ind w:left="360"/>
      </w:pPr>
      <w:r>
        <w:rPr>
          <w:rFonts w:ascii="Nunito Sans" w:hAnsi="Nunito Sans"/>
          <w:sz w:val="22"/>
          <w:szCs w:val="22"/>
        </w:rPr>
        <w:t xml:space="preserve">•  </w:t>
      </w:r>
      <w:r>
        <w:rPr>
          <w:rFonts w:ascii="Nunito Sans" w:hAnsi="Nunito Sans"/>
          <w:sz w:val="22"/>
          <w:szCs w:val="22"/>
        </w:rPr>
        <w:t xml:space="preserve">The light/dark anisocoria differential rule (≥ 0.3 mm variation flags pathology) — is this the right threshold, and is the sympathetic-vs-parasympathetic interpretation copy reading correctly?</w:t>
      </w:r>
    </w:p>
    <w:p>
      <w:pPr>
        <w:spacing w:after="60"/>
        <w:ind w:left="360"/>
      </w:pPr>
      <w:r>
        <w:rPr>
          <w:rFonts w:ascii="Nunito Sans" w:hAnsi="Nunito Sans"/>
          <w:sz w:val="22"/>
          <w:szCs w:val="22"/>
        </w:rPr>
        <w:t xml:space="preserve">•  </w:t>
      </w:r>
      <w:r>
        <w:rPr>
          <w:rFonts w:ascii="Nunito Sans" w:hAnsi="Nunito Sans"/>
          <w:sz w:val="22"/>
          <w:szCs w:val="22"/>
        </w:rPr>
        <w:t xml:space="preserve">NPi thresholds (≥ 3.0 normal, &lt; 2.5 abnormal) and the asymmetry warning — calibrated against NeurOptics NPi-200 reference; does this match your reading practice if you've used the instrument?</w:t>
      </w:r>
    </w:p>
    <w:p>
      <w:pPr>
        <w:spacing w:after="60"/>
        <w:ind w:left="360"/>
      </w:pPr>
      <w:r>
        <w:rPr>
          <w:rFonts w:ascii="Nunito Sans" w:hAnsi="Nunito Sans"/>
          <w:sz w:val="22"/>
          <w:szCs w:val="22"/>
        </w:rPr>
        <w:t xml:space="preserve">•  </w:t>
      </w:r>
      <w:r>
        <w:rPr>
          <w:rFonts w:ascii="Nunito Sans" w:hAnsi="Nunito Sans"/>
          <w:sz w:val="22"/>
          <w:szCs w:val="22"/>
        </w:rPr>
        <w:t xml:space="preserve">RAPD 6-grade scale (None / Trace / 1+ / 2+ / 3+ / 4+) — is the grade-by-grade descriptor copy clinically accurate?</w:t>
      </w:r>
    </w:p>
    <w:p>
      <w:pPr>
        <w:spacing w:after="60"/>
        <w:ind w:left="360"/>
      </w:pPr>
      <w:r>
        <w:rPr>
          <w:rFonts w:ascii="Nunito Sans" w:hAnsi="Nunito Sans"/>
          <w:sz w:val="22"/>
          <w:szCs w:val="22"/>
        </w:rPr>
        <w:t xml:space="preserve">•  </w:t>
      </w:r>
      <w:r>
        <w:rPr>
          <w:rFonts w:ascii="Nunito Sans" w:hAnsi="Nunito Sans"/>
          <w:sz w:val="22"/>
          <w:szCs w:val="22"/>
        </w:rPr>
        <w:t xml:space="preserve">The Clinical Interpretation card's pattern-recognition flags (Horner's sympathetic, CN III parasympathetic, optic nerve RAPD, NPi neuro pattern) — does the auto-surfaced copy read correctly, or does it overstep?</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spacing w:after="0"/>
      </w:pPr>
    </w:p>
    <w:p>
      <w:pPr>
        <w:spacing w:before="240" w:after="80"/>
      </w:pPr>
      <w:r>
        <w:rPr>
          <w:rFonts w:ascii="Nunito Sans" w:hAnsi="Nunito Sans"/>
          <w:b/>
          <w:sz w:val="28"/>
          <w:szCs w:val="28"/>
        </w:rPr>
        <w:t xml:space="preserve">7. Wavefront Refraction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Objective stage:</w:t>
      </w:r>
      <w:r>
        <w:rPr>
          <w:rFonts w:ascii="Nunito Sans" w:hAnsi="Nunito Sans"/>
          <w:sz w:val="22"/>
          <w:szCs w:val="22"/>
        </w:rPr>
        <w:t xml:space="preserve"> wavefront aberrometry used as an autorefractor — the Hartmann-Shack-derived lower-order sphere / cylinder / axis is the objective starting point.</w:t>
      </w:r>
    </w:p>
    <w:p>
      <w:pPr>
        <w:spacing w:after="60"/>
        <w:ind w:left="360"/>
      </w:pPr>
      <w:r>
        <w:rPr>
          <w:rFonts w:ascii="Nunito Sans" w:hAnsi="Nunito Sans"/>
          <w:sz w:val="22"/>
          <w:szCs w:val="22"/>
        </w:rPr>
        <w:t xml:space="preserve">•  </w:t>
      </w:r>
      <w:r>
        <w:rPr>
          <w:rFonts w:ascii="Nunito Sans" w:hAnsi="Nunito Sans"/>
          <w:b/>
          <w:sz w:val="22"/>
          <w:szCs w:val="22"/>
        </w:rPr>
        <w:t xml:space="preserve">Subjective stage:</w:t>
      </w:r>
      <w:r>
        <w:rPr>
          <w:rFonts w:ascii="Nunito Sans" w:hAnsi="Nunito Sans"/>
          <w:sz w:val="22"/>
          <w:szCs w:val="22"/>
        </w:rP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before="60" w:after="120"/>
        <w:ind w:left="360"/>
      </w:pPr>
      <w:r>
        <w:rPr>
          <w:rFonts w:ascii="Nunito Sans" w:hAnsi="Nunito Sans"/>
          <w:b/>
          <w:i/>
          <w:sz w:val="22"/>
          <w:szCs w:val="22"/>
          <w:color w:val="444444"/>
        </w:rPr>
        <w:t xml:space="preserve">This test deliberately makes no clinical claims.</w:t>
      </w:r>
      <w:r>
        <w:rPr>
          <w:rFonts w:ascii="Nunito Sans" w:hAnsi="Nunito Sans"/>
          <w:i/>
          <w:sz w:val="22"/>
          <w:szCs w:val="22"/>
          <w:color w:val="444444"/>
        </w:rP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Two-stage flow: entry (full refraction or subjective-only) → objective (monocular wavefront capture, OD then OS) → subjective (per eye: sphere/MPMVA → JCC axis → JCC power → optional second MPMVA → add) → report</w:t>
      </w:r>
    </w:p>
    <w:p>
      <w:pPr>
        <w:spacing w:after="60"/>
        <w:ind w:left="360"/>
      </w:pPr>
      <w:r>
        <w:rPr>
          <w:rFonts w:ascii="Nunito Sans" w:hAnsi="Nunito Sans"/>
          <w:sz w:val="22"/>
          <w:szCs w:val="22"/>
        </w:rPr>
        <w:t xml:space="preserve">•  </w:t>
      </w:r>
      <w:r>
        <w:rPr>
          <w:rFonts w:ascii="Nunito Sans" w:hAnsi="Nunito Sans"/>
          <w:sz w:val="22"/>
          <w:szCs w:val="22"/>
        </w:rPr>
        <w:t xml:space="preserve">Objective capture uses the live eye-scan presentation (dark viewer, breathing pupil, sweep line, centering ring, and a red alignment dot that turns the backdrop green on lock), documenting a scan count (1–3) per eye to communicate measurement reliability</w:t>
      </w:r>
    </w:p>
    <w:p>
      <w:pPr>
        <w:spacing w:after="60"/>
        <w:ind w:left="360"/>
      </w:pPr>
      <w:r>
        <w:rPr>
          <w:rFonts w:ascii="Nunito Sans" w:hAnsi="Nunito Sans"/>
          <w:sz w:val="22"/>
          <w:szCs w:val="22"/>
        </w:rPr>
        <w:t xml:space="preserve">•  </w:t>
      </w:r>
      <w:r>
        <w:rPr>
          <w:rFonts w:ascii="Nunito Sans" w:hAnsi="Nunito Sans"/>
          <w:b/>
          <w:sz w:val="22"/>
          <w:szCs w:val="22"/>
        </w:rPr>
        <w:t xml:space="preserve">Axis before power (JCC):</w:t>
      </w:r>
      <w:r>
        <w:rPr>
          <w:rFonts w:ascii="Nunito Sans" w:hAnsi="Nunito Sans"/>
          <w:sz w:val="22"/>
          <w:szCs w:val="22"/>
        </w:rPr>
        <w:t xml:space="preserve"> enforced by step order — cylinder-power refinement is unreachable until the cylinder axis is confirmed</w:t>
      </w:r>
    </w:p>
    <w:p>
      <w:pPr>
        <w:spacing w:after="60"/>
        <w:ind w:left="360"/>
      </w:pPr>
      <w:r>
        <w:rPr>
          <w:rFonts w:ascii="Nunito Sans" w:hAnsi="Nunito Sans"/>
          <w:sz w:val="22"/>
          <w:szCs w:val="22"/>
        </w:rPr>
        <w:t xml:space="preserve">•  </w:t>
      </w:r>
      <w:r>
        <w:rPr>
          <w:rFonts w:ascii="Nunito Sans" w:hAnsi="Nunito Sans"/>
          <w:b/>
          <w:sz w:val="22"/>
          <w:szCs w:val="22"/>
        </w:rPr>
        <w:t xml:space="preserve">Fogging:</w:t>
      </w:r>
      <w:r>
        <w:rPr>
          <w:rFonts w:ascii="Nunito Sans" w:hAnsi="Nunito Sans"/>
          <w:sz w:val="22"/>
          <w:szCs w:val="22"/>
        </w:rPr>
        <w:t xml:space="preserve"> a +0.75 D fog prompt after objective capture (relaxes accommodation, prevents over-minusing); skippable</w:t>
      </w:r>
    </w:p>
    <w:p>
      <w:pPr>
        <w:spacing w:after="60"/>
        <w:ind w:left="360"/>
      </w:pPr>
      <w:r>
        <w:rPr>
          <w:rFonts w:ascii="Nunito Sans" w:hAnsi="Nunito Sans"/>
          <w:sz w:val="22"/>
          <w:szCs w:val="22"/>
        </w:rPr>
        <w:t xml:space="preserve">•  </w:t>
      </w:r>
      <w:r>
        <w:rPr>
          <w:rFonts w:ascii="Nunito Sans" w:hAnsi="Nunito Sans"/>
          <w:b/>
          <w:sz w:val="22"/>
          <w:szCs w:val="22"/>
        </w:rPr>
        <w:t xml:space="preserve">Sphere compensation note</w:t>
      </w:r>
      <w:r>
        <w:rPr>
          <w:rFonts w:ascii="Nunito Sans" w:hAnsi="Nunito Sans"/>
          <w:sz w:val="22"/>
          <w:szCs w:val="22"/>
        </w:rPr>
        <w:t xml:space="preserve"> during cylinder power: for each −0.50 D CYL added, add +0.25 D SPH to maintain the circle of least confusion</w:t>
      </w:r>
    </w:p>
    <w:p>
      <w:pPr>
        <w:spacing w:after="60"/>
        <w:ind w:left="360"/>
      </w:pPr>
      <w:r>
        <w:rPr>
          <w:rFonts w:ascii="Nunito Sans" w:hAnsi="Nunito Sans"/>
          <w:sz w:val="22"/>
          <w:szCs w:val="22"/>
        </w:rPr>
        <w:t xml:space="preserve">•  </w:t>
      </w:r>
      <w:r>
        <w:rPr>
          <w:rFonts w:ascii="Nunito Sans" w:hAnsi="Nunito Sans"/>
          <w:b/>
          <w:sz w:val="22"/>
          <w:szCs w:val="22"/>
        </w:rPr>
        <w:t xml:space="preserve">Rx discipline:</w:t>
      </w:r>
      <w:r>
        <w:rPr>
          <w:rFonts w:ascii="Nunito Sans" w:hAnsi="Nunito Sans"/>
          <w:sz w:val="22"/>
          <w:szCs w:val="22"/>
        </w:rPr>
        <w:t xml:space="preserve"> SPH/CYL signed + 2 dp; AXIS integer + °; ADD signed with D or "—". Monocular throughout — no OU averaging</w:t>
      </w:r>
    </w:p>
    <w:p>
      <w:pPr>
        <w:spacing w:after="60"/>
        <w:ind w:left="360"/>
      </w:pPr>
      <w:r>
        <w:rPr>
          <w:rFonts w:ascii="Nunito Sans" w:hAnsi="Nunito Sans"/>
          <w:sz w:val="22"/>
          <w:szCs w:val="22"/>
        </w:rPr>
        <w:t xml:space="preserve">•  </w:t>
      </w:r>
      <w:r>
        <w:rPr>
          <w:rFonts w:ascii="Nunito Sans" w:hAnsi="Nunito Sans"/>
          <w:b/>
          <w:sz w:val="22"/>
          <w:szCs w:val="22"/>
        </w:rPr>
        <w:t xml:space="preserve">Optotype selector</w:t>
      </w:r>
      <w:r>
        <w:rPr>
          <w:rFonts w:ascii="Nunito Sans" w:hAnsi="Nunito Sans"/>
          <w:sz w:val="22"/>
          <w:szCs w:val="22"/>
        </w:rPr>
        <w:t xml:space="preserve"> (Letters / Tumbling E / Tumbling C) drawn as geometric SVG optotypes, shared with Visual Acuity, for pediatric / non-literate / non-Latin-script patients; additive VA notation (e.g. 20/25 +4) surfaced as best VA so far</w:t>
      </w:r>
    </w:p>
    <w:p>
      <w:pPr>
        <w:spacing w:after="60"/>
        <w:ind w:left="360"/>
      </w:pPr>
      <w:r>
        <w:rPr>
          <w:rFonts w:ascii="Nunito Sans" w:hAnsi="Nunito Sans"/>
          <w:sz w:val="22"/>
          <w:szCs w:val="22"/>
        </w:rPr>
        <w:t xml:space="preserve">•  </w:t>
      </w:r>
      <w:r>
        <w:rPr>
          <w:rFonts w:ascii="Nunito Sans" w:hAnsi="Nunito Sans"/>
          <w:b/>
          <w:sz w:val="22"/>
          <w:szCs w:val="22"/>
        </w:rPr>
        <w:t xml:space="preserve">Report:</w:t>
      </w:r>
      <w:r>
        <w:rPr>
          <w:rFonts w:ascii="Nunito Sans" w:hAnsi="Nunito Sans"/>
          <w:sz w:val="22"/>
          <w:szCs w:val="22"/>
        </w:rP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60"/>
        <w:ind w:left="360"/>
      </w:pPr>
      <w:r>
        <w:rPr>
          <w:rFonts w:ascii="Nunito Sans" w:hAnsi="Nunito Sans"/>
          <w:sz w:val="22"/>
          <w:szCs w:val="22"/>
        </w:rPr>
        <w:t xml:space="preserve">•  </w:t>
      </w:r>
      <w:r>
        <w:rPr>
          <w:rFonts w:ascii="Nunito Sans" w:hAnsi="Nunito Sans"/>
          <w:b/>
          <w:sz w:val="22"/>
          <w:szCs w:val="22"/>
        </w:rPr>
        <w:t xml:space="preserve">New in v0.2.7 — six competitive-parity enhancements (all measurements/simulations, never verdicts):</w:t>
      </w:r>
      <w:r>
        <w:rPr>
          <w:rFonts w:ascii="Nunito Sans" w:hAnsi="Nunito Sans"/>
          <w:sz w:val="22"/>
          <w:szCs w:val="22"/>
        </w:rPr>
        <w:t xml:space="preserve"> (1) </w:t>
      </w:r>
      <w:r>
        <w:rPr>
          <w:rFonts w:ascii="Nunito Sans" w:hAnsi="Nunito Sans"/>
          <w:b/>
          <w:sz w:val="22"/>
          <w:szCs w:val="22"/>
        </w:rPr>
        <w:t xml:space="preserve">PSF + simulated-VA</w:t>
      </w:r>
      <w:r>
        <w:rPr>
          <w:rFonts w:ascii="Nunito Sans" w:hAnsi="Nunito Sans"/>
          <w:sz w:val="22"/>
          <w:szCs w:val="22"/>
        </w:rPr>
        <w:t xml:space="preserve"> before/after, habitual vs. new Rx; (2) </w:t>
      </w:r>
      <w:r>
        <w:rPr>
          <w:rFonts w:ascii="Nunito Sans" w:hAnsi="Nunito Sans"/>
          <w:b/>
          <w:sz w:val="22"/>
          <w:szCs w:val="22"/>
        </w:rPr>
        <w:t xml:space="preserve">binocular balance</w:t>
      </w:r>
      <w:r>
        <w:rPr>
          <w:rFonts w:ascii="Nunito Sans" w:hAnsi="Nunito Sans"/>
          <w:sz w:val="22"/>
          <w:szCs w:val="22"/>
        </w:rPr>
        <w:t xml:space="preserve"> step after both eyes via fogging / alternate occlusion (no prism); (3) </w:t>
      </w:r>
      <w:r>
        <w:rPr>
          <w:rFonts w:ascii="Nunito Sans" w:hAnsi="Nunito Sans"/>
          <w:b/>
          <w:sz w:val="22"/>
          <w:szCs w:val="22"/>
        </w:rPr>
        <w:t xml:space="preserve">multi-source Rx comparison</w:t>
      </w:r>
      <w:r>
        <w:rPr>
          <w:rFonts w:ascii="Nunito Sans" w:hAnsi="Nunito Sans"/>
          <w:sz w:val="22"/>
          <w:szCs w:val="22"/>
        </w:rPr>
        <w:t xml:space="preserve"> — objective / subjective / habitual / unaided with spherical-equivalent deltas; (4) </w:t>
      </w:r>
      <w:r>
        <w:rPr>
          <w:rFonts w:ascii="Nunito Sans" w:hAnsi="Nunito Sans"/>
          <w:b/>
          <w:sz w:val="22"/>
          <w:szCs w:val="22"/>
        </w:rPr>
        <w:t xml:space="preserve">photopic vs. mesopic (day &amp; night)</w:t>
      </w:r>
      <w:r>
        <w:rPr>
          <w:rFonts w:ascii="Nunito Sans" w:hAnsi="Nunito Sans"/>
          <w:sz w:val="22"/>
          <w:szCs w:val="22"/>
        </w:rPr>
        <w:t xml:space="preserve"> — 4 mm and 6 mm both hardware-confirmed, with a night-shift Diff row; (5) </w:t>
      </w:r>
      <w:r>
        <w:rPr>
          <w:rFonts w:ascii="Nunito Sans" w:hAnsi="Nunito Sans"/>
          <w:b/>
          <w:sz w:val="22"/>
          <w:szCs w:val="22"/>
        </w:rPr>
        <w:t xml:space="preserve">Smart-Cylinder auto-bracketing</w:t>
      </w:r>
      <w:r>
        <w:rPr>
          <w:rFonts w:ascii="Nunito Sans" w:hAnsi="Nunito Sans"/>
          <w:sz w:val="22"/>
          <w:szCs w:val="22"/>
        </w:rPr>
        <w:t xml:space="preserve"> on the JCC (step auto-sizes to cylinder magnitude, narrows after each reversal); (6) </w:t>
      </w:r>
      <w:r>
        <w:rPr>
          <w:rFonts w:ascii="Nunito Sans" w:hAnsi="Nunito Sans"/>
          <w:b/>
          <w:sz w:val="22"/>
          <w:szCs w:val="22"/>
        </w:rPr>
        <w:t xml:space="preserve">refraction progression tracker</w:t>
      </w:r>
      <w:r>
        <w:rPr>
          <w:rFonts w:ascii="Nunito Sans" w:hAnsi="Nunito Sans"/>
          <w:sz w:val="22"/>
          <w:szCs w:val="22"/>
        </w:rPr>
        <w:t xml:space="preserve"> — spherical-equivalent trend + D/yr vs. age-banded reference, at-risk call left to the clinician. The report is now organized into tabs (Summary · Rx comparison · Day &amp; night · Vision simulation · Wavefront · Progression). The 6 mm columns, vertex range, and Rx ranges are </w:t>
      </w:r>
      <w:r>
        <w:rPr>
          <w:rFonts w:ascii="Nunito Sans" w:hAnsi="Nunito Sans"/>
          <w:b/>
          <w:sz w:val="22"/>
          <w:szCs w:val="22"/>
        </w:rPr>
        <w:t xml:space="preserve">hardware-confirmed</w:t>
      </w:r>
      <w:r>
        <w:rPr>
          <w:rFonts w:ascii="Nunito Sans" w:hAnsi="Nunito Sans"/>
          <w:sz w:val="22"/>
          <w:szCs w:val="22"/>
        </w:rPr>
        <w:t xml:space="preserve"> (Steve, Q3/Q7/Q8).</w:t>
      </w:r>
    </w:p>
    <w:p>
      <w:pPr>
        <w:spacing w:after="60"/>
        <w:ind w:left="360"/>
      </w:pPr>
      <w:r>
        <w:rPr>
          <w:rFonts w:ascii="Nunito Sans" w:hAnsi="Nunito Sans"/>
          <w:sz w:val="22"/>
          <w:szCs w:val="22"/>
        </w:rPr>
        <w:t xml:space="preserve">•  </w:t>
      </w:r>
      <w:r>
        <w:rPr>
          <w:rFonts w:ascii="Nunito Sans" w:hAnsi="Nunito Sans"/>
          <w:b/>
          <w:sz w:val="22"/>
          <w:szCs w:val="22"/>
        </w:rPr>
        <w:t xml:space="preserve">Certify &amp; close is a system event</w:t>
      </w:r>
      <w:r>
        <w:rPr>
          <w:rFonts w:ascii="Nunito Sans" w:hAnsi="Nunito Sans"/>
          <w:sz w:val="22"/>
          <w:szCs w:val="22"/>
        </w:rPr>
        <w:t xml:space="preserve"> — it releases the verified Rx to the downstream xoFit job object (not a UI-only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two-stage flow (objective wavefront → subjective JCC/MPMVA refinement) match how you'd run a refraction on a digital phoropter?</w:t>
      </w:r>
    </w:p>
    <w:p>
      <w:pPr>
        <w:spacing w:after="60"/>
        <w:ind w:left="360"/>
      </w:pPr>
      <w:r>
        <w:rPr>
          <w:rFonts w:ascii="Nunito Sans" w:hAnsi="Nunito Sans"/>
          <w:sz w:val="22"/>
          <w:szCs w:val="22"/>
        </w:rPr>
        <w:t xml:space="preserve">•  </w:t>
      </w:r>
      <w:r>
        <w:rPr>
          <w:rFonts w:ascii="Nunito Sans" w:hAnsi="Nunito Sans"/>
          <w:sz w:val="22"/>
          <w:szCs w:val="22"/>
        </w:rPr>
        <w:t xml:space="preserve">Is the +0.75 D fogging prompt and the axis-before-power JCC ordering correct and complete?</w:t>
      </w:r>
    </w:p>
    <w:p>
      <w:pPr>
        <w:spacing w:after="60"/>
        <w:ind w:left="360"/>
      </w:pPr>
      <w:r>
        <w:rPr>
          <w:rFonts w:ascii="Nunito Sans" w:hAnsi="Nunito Sans"/>
          <w:sz w:val="22"/>
          <w:szCs w:val="22"/>
        </w:rPr>
        <w:t xml:space="preserve">•  </w:t>
      </w:r>
      <w:r>
        <w:rPr>
          <w:rFonts w:ascii="Nunito Sans" w:hAnsi="Nunito Sans"/>
          <w:sz w:val="22"/>
          <w:szCs w:val="22"/>
        </w:rPr>
        <w:t xml:space="preserve">Is the "no clinical claims / measurement-and-verification only" stance for the report the right call, versus the interpretive banners the other tests carry?</w:t>
      </w:r>
    </w:p>
    <w:p>
      <w:pPr>
        <w:spacing w:after="60"/>
        <w:ind w:left="360"/>
      </w:pPr>
      <w:r>
        <w:rPr>
          <w:rFonts w:ascii="Nunito Sans" w:hAnsi="Nunito Sans"/>
          <w:sz w:val="22"/>
          <w:szCs w:val="22"/>
        </w:rPr>
        <w:t xml:space="preserve">•  </w:t>
      </w:r>
      <w:r>
        <w:rPr>
          <w:rFonts w:ascii="Nunito Sans" w:hAnsi="Nunito Sans"/>
          <w:sz w:val="22"/>
          <w:szCs w:val="22"/>
        </w:rPr>
        <w:t xml:space="preserve">What is the right pass/fail acuity threshold for the subjective endpoint? (Currently "more than half correct," flagged for validation.)</w:t>
      </w:r>
    </w:p>
    <w:p>
      <w:pPr>
        <w:spacing w:after="60"/>
        <w:ind w:left="360"/>
      </w:pPr>
      <w:r>
        <w:rPr>
          <w:rFonts w:ascii="Nunito Sans" w:hAnsi="Nunito Sans"/>
          <w:sz w:val="22"/>
          <w:szCs w:val="22"/>
        </w:rPr>
        <w:t xml:space="preserve">•  </w:t>
      </w:r>
      <w:r>
        <w:rPr>
          <w:rFonts w:ascii="Nunito Sans" w:hAnsi="Nunito Sans"/>
          <w:sz w:val="22"/>
          <w:szCs w:val="22"/>
        </w:rPr>
        <w:t xml:space="preserve">Does anything about the certified-Rx-as-release-gate model raise a clinical or workflow concern?</w:t>
      </w:r>
    </w:p>
    <w:p>
      <w:pPr>
        <w:spacing w:after="60"/>
        <w:ind w:left="360"/>
      </w:pPr>
      <w:r>
        <w:rPr>
          <w:rFonts w:ascii="Nunito Sans" w:hAnsi="Nunito Sans"/>
          <w:sz w:val="22"/>
          <w:szCs w:val="22"/>
        </w:rPr>
        <w:t xml:space="preserve">•  </w:t>
      </w:r>
      <w:r>
        <w:rPr>
          <w:rFonts w:ascii="Nunito Sans" w:hAnsi="Nunito Sans"/>
          <w:sz w:val="22"/>
          <w:szCs w:val="22"/>
        </w:rPr>
        <w:t xml:space="preserve">On the six v0.2.7 enhancements: does the </w:t>
      </w:r>
      <w:r>
        <w:rPr>
          <w:rFonts w:ascii="Nunito Sans" w:hAnsi="Nunito Sans"/>
          <w:b/>
          <w:sz w:val="22"/>
          <w:szCs w:val="22"/>
        </w:rPr>
        <w:t xml:space="preserve">binocular balance</w:t>
      </w:r>
      <w:r>
        <w:rPr>
          <w:rFonts w:ascii="Nunito Sans" w:hAnsi="Nunito Sans"/>
          <w:sz w:val="22"/>
          <w:szCs w:val="22"/>
        </w:rPr>
        <w:t xml:space="preserve"> via fogging/alternate occlusion (no prism) read as clinically valid? Are the </w:t>
      </w:r>
      <w:r>
        <w:rPr>
          <w:rFonts w:ascii="Nunito Sans" w:hAnsi="Nunito Sans"/>
          <w:b/>
          <w:sz w:val="22"/>
          <w:szCs w:val="22"/>
        </w:rPr>
        <w:t xml:space="preserve">multi-source Rx comparison</w:t>
      </w:r>
      <w:r>
        <w:rPr>
          <w:rFonts w:ascii="Nunito Sans" w:hAnsi="Nunito Sans"/>
          <w:sz w:val="22"/>
          <w:szCs w:val="22"/>
        </w:rPr>
        <w:t xml:space="preserve">, </w:t>
      </w:r>
      <w:r>
        <w:rPr>
          <w:rFonts w:ascii="Nunito Sans" w:hAnsi="Nunito Sans"/>
          <w:b/>
          <w:sz w:val="22"/>
          <w:szCs w:val="22"/>
        </w:rPr>
        <w:t xml:space="preserve">day-&amp;-night (photopic/mesopic)</w:t>
      </w:r>
      <w:r>
        <w:rPr>
          <w:rFonts w:ascii="Nunito Sans" w:hAnsi="Nunito Sans"/>
          <w:sz w:val="22"/>
          <w:szCs w:val="22"/>
        </w:rPr>
        <w:t xml:space="preserve">, and </w:t>
      </w:r>
      <w:r>
        <w:rPr>
          <w:rFonts w:ascii="Nunito Sans" w:hAnsi="Nunito Sans"/>
          <w:b/>
          <w:sz w:val="22"/>
          <w:szCs w:val="22"/>
        </w:rPr>
        <w:t xml:space="preserve">progression tracker</w:t>
      </w:r>
      <w:r>
        <w:rPr>
          <w:rFonts w:ascii="Nunito Sans" w:hAnsi="Nunito Sans"/>
          <w:sz w:val="22"/>
          <w:szCs w:val="22"/>
        </w:rPr>
        <w:t xml:space="preserve"> the right competitive-parity additions, presented as data rather than verdicts? Is the </w:t>
      </w:r>
      <w:r>
        <w:rPr>
          <w:rFonts w:ascii="Nunito Sans" w:hAnsi="Nunito Sans"/>
          <w:b/>
          <w:sz w:val="22"/>
          <w:szCs w:val="22"/>
        </w:rPr>
        <w:t xml:space="preserve">Smart-Cylinder auto-bracketing</w:t>
      </w:r>
      <w:r>
        <w:rPr>
          <w:rFonts w:ascii="Nunito Sans" w:hAnsi="Nunito Sans"/>
          <w:sz w:val="22"/>
          <w:szCs w:val="22"/>
        </w:rPr>
        <w:t xml:space="preserve"> behavior on the JCC what you'd expect?</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spacing w:after="0"/>
      </w:pPr>
    </w:p>
    <w:p>
      <w:pPr>
        <w:spacing w:before="240" w:after="80"/>
      </w:pPr>
      <w:r>
        <w:rPr>
          <w:rFonts w:ascii="Nunito Sans" w:hAnsi="Nunito Sans"/>
          <w:b/>
          <w:sz w:val="28"/>
          <w:szCs w:val="28"/>
        </w:rPr>
        <w:t xml:space="preserve">Cross-cutting conventions</w:t>
      </w:r>
    </w:p>
    <w:p>
      <w:pPr>
        <w:spacing w:after="120"/>
      </w:pPr>
      <w:r>
        <w:rPr>
          <w:rFonts w:ascii="Nunito Sans" w:hAnsi="Nunito Sans"/>
          <w:sz w:val="22"/>
          <w:szCs w:val="22"/>
        </w:rPr>
        <w:t xml:space="preserve">These apply consistently across every clinically-faithful test:</w:t>
      </w:r>
    </w:p>
    <w:p>
      <w:pPr>
        <w:spacing w:after="120"/>
      </w:pPr>
      <w:r>
        <w:rPr>
          <w:rFonts w:ascii="Nunito Sans" w:hAnsi="Nunito Sans"/>
          <w:b/>
          <w:sz w:val="22"/>
          <w:szCs w:val="22"/>
        </w:rPr>
        <w:t xml:space="preserve">Eye reference.</w:t>
      </w:r>
      <w:r>
        <w:rPr>
          <w:rFonts w:ascii="Nunito Sans" w:hAnsi="Nunito Sans"/>
          <w:sz w:val="22"/>
          <w:szCs w:val="22"/>
        </w:rPr>
        <w:t xml:space="preserve"> OD (right) before OS (left). Universal medical convention used in patient charts, refraction records, prescriptions. When testing both eyes, the workflow is always OD first.</w:t>
      </w:r>
    </w:p>
    <w:p>
      <w:pPr>
        <w:spacing w:after="120"/>
      </w:pPr>
      <w:r>
        <w:rPr>
          <w:rFonts w:ascii="Nunito Sans" w:hAnsi="Nunito Sans"/>
          <w:b/>
          <w:sz w:val="22"/>
          <w:szCs w:val="22"/>
        </w:rPr>
        <w:t xml:space="preserve">Doctor sign-off.</w:t>
      </w:r>
      <w:r>
        <w:rPr>
          <w:rFonts w:ascii="Nunito Sans" w:hAnsi="Nunito Sans"/>
          <w:sz w:val="22"/>
          <w:szCs w:val="22"/>
        </w:rP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rFonts w:ascii="Nunito Sans" w:hAnsi="Nunito Sans"/>
          <w:b/>
          <w:sz w:val="22"/>
          <w:szCs w:val="22"/>
        </w:rPr>
        <w:t xml:space="preserve">Test cancellation.</w:t>
      </w:r>
      <w:r>
        <w:rPr>
          <w:rFonts w:ascii="Nunito Sans" w:hAnsi="Nunito Sans"/>
          <w:sz w:val="22"/>
          <w:szCs w:val="22"/>
        </w:rP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rFonts w:ascii="Nunito Sans" w:hAnsi="Nunito Sans"/>
          <w:b/>
          <w:sz w:val="22"/>
          <w:szCs w:val="22"/>
        </w:rPr>
        <w:t xml:space="preserve">Test names.</w:t>
      </w:r>
      <w:r>
        <w:rPr>
          <w:rFonts w:ascii="Nunito Sans" w:hAnsi="Nunito Sans"/>
          <w:sz w:val="22"/>
          <w:szCs w:val="22"/>
        </w:rPr>
        <w:t xml:space="preserve"> UI labels use bare nouns ("Visual Field," "Extraocular Motility") rather than appending "Test" or "Exam." Formal report headers retain "Report" suffix for documentation weight.</w:t>
      </w:r>
    </w:p>
    <w:p>
      <w:pPr>
        <w:spacing w:after="120"/>
      </w:pPr>
      <w:r>
        <w:rPr>
          <w:rFonts w:ascii="Nunito Sans" w:hAnsi="Nunito Sans"/>
          <w:b/>
          <w:sz w:val="22"/>
          <w:szCs w:val="22"/>
        </w:rPr>
        <w:t xml:space="preserve">Severity color coding.</w:t>
      </w:r>
      <w:r>
        <w:rPr>
          <w:rFonts w:ascii="Nunito Sans" w:hAnsi="Nunito Sans"/>
          <w:sz w:val="22"/>
          <w:szCs w:val="22"/>
        </w:rPr>
        <w:t xml:space="preserve"> Red / Amber / Green palette is reserved for clinical alerts, severity bands, and status indicators only — never used for general UI styling.</w:t>
      </w:r>
    </w:p>
    <w:p>
      <w:pPr>
        <w:spacing w:after="120"/>
      </w:pPr>
      <w:r>
        <w:rPr>
          <w:rFonts w:ascii="Nunito Sans" w:hAnsi="Nunito Sans"/>
          <w:b/>
          <w:sz w:val="22"/>
          <w:szCs w:val="22"/>
        </w:rPr>
        <w:t xml:space="preserve">Session notes.</w:t>
      </w:r>
      <w:r>
        <w:rPr>
          <w:rFonts w:ascii="Nunito Sans" w:hAnsi="Nunito Sans"/>
          <w:sz w:val="22"/>
          <w:szCs w:val="22"/>
        </w:rPr>
        <w:t xml:space="preserve"> Every clinical-fidelity test includes a free-text Session notes textarea (sidebar during testing, dedicated card in the report) for the clinician's own observations alongside the structured data.</w:t>
      </w:r>
    </w:p>
    <w:p>
      <w:pPr>
        <w:spacing w:after="120"/>
      </w:pPr>
      <w:r>
        <w:rPr>
          <w:rFonts w:ascii="Nunito Sans" w:hAnsi="Nunito Sans"/>
          <w:b/>
          <w:sz w:val="22"/>
          <w:szCs w:val="22"/>
        </w:rPr>
        <w:t xml:space="preserve">Patient identity.</w:t>
      </w:r>
      <w:r>
        <w:rPr>
          <w:rFonts w:ascii="Nunito Sans" w:hAnsi="Nunito Sans"/>
          <w:sz w:val="22"/>
          <w:szCs w:val="22"/>
        </w:rP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spacing w:after="0"/>
      </w:pPr>
    </w:p>
    <w:p>
      <w:pPr>
        <w:spacing w:before="240" w:after="80"/>
      </w:pPr>
      <w:r>
        <w:rPr>
          <w:rFonts w:ascii="Nunito Sans" w:hAnsi="Nunito Sans"/>
          <w:b/>
          <w:sz w:val="28"/>
          <w:szCs w:val="28"/>
        </w:rPr>
        <w:t xml:space="preserve">Tests not yet at clinical fidelity</w:t>
      </w:r>
    </w:p>
    <w:p>
      <w:pPr>
        <w:spacing w:after="120"/>
      </w:pPr>
      <w:r>
        <w:rPr>
          <w:rFonts w:ascii="Nunito Sans" w:hAnsi="Nunito Sans"/>
          <w:sz w:val="22"/>
          <w:szCs w:val="22"/>
        </w:rPr>
        <w:t xml:space="preserve">These tests are clickable in the prototype and walk through their basic UI, but their clinical scoring and interpretation have not yet been rebuilt against published standards. Treat their on-screen data as illustrative only.</w:t>
      </w:r>
    </w:p>
    <w:p>
      <w:pPr>
        <w:spacing w:after="60"/>
        <w:ind w:left="360"/>
      </w:pPr>
      <w:r>
        <w:rPr>
          <w:rFonts w:ascii="Nunito Sans" w:hAnsi="Nunito Sans"/>
          <w:sz w:val="22"/>
          <w:szCs w:val="22"/>
        </w:rPr>
        <w:t xml:space="preserve">•  </w:t>
      </w:r>
      <w:r>
        <w:rPr>
          <w:rFonts w:ascii="Nunito Sans" w:hAnsi="Nunito Sans"/>
          <w:sz w:val="22"/>
          <w:szCs w:val="22"/>
        </w:rPr>
        <w:t xml:space="preserve">Refraction</w:t>
      </w:r>
    </w:p>
    <w:p>
      <w:pPr>
        <w:spacing w:after="60"/>
        <w:ind w:left="360"/>
      </w:pPr>
      <w:r>
        <w:rPr>
          <w:rFonts w:ascii="Nunito Sans" w:hAnsi="Nunito Sans"/>
          <w:sz w:val="22"/>
          <w:szCs w:val="22"/>
        </w:rPr>
        <w:t xml:space="preserve">•  </w:t>
      </w:r>
      <w:r>
        <w:rPr>
          <w:rFonts w:ascii="Nunito Sans" w:hAnsi="Nunito Sans"/>
          <w:sz w:val="22"/>
          <w:szCs w:val="22"/>
        </w:rPr>
        <w:t xml:space="preserve">Accommodation</w:t>
      </w:r>
    </w:p>
    <w:p>
      <w:pPr>
        <w:spacing w:after="60"/>
        <w:ind w:left="360"/>
      </w:pPr>
      <w:r>
        <w:rPr>
          <w:rFonts w:ascii="Nunito Sans" w:hAnsi="Nunito Sans"/>
          <w:sz w:val="22"/>
          <w:szCs w:val="22"/>
        </w:rPr>
        <w:t xml:space="preserve">•  </w:t>
      </w:r>
      <w:r>
        <w:rPr>
          <w:rFonts w:ascii="Nunito Sans" w:hAnsi="Nunito Sans"/>
          <w:sz w:val="22"/>
          <w:szCs w:val="22"/>
        </w:rPr>
        <w:t xml:space="preserve">Keratometry</w:t>
      </w:r>
    </w:p>
    <w:p>
      <w:pPr>
        <w:spacing w:after="60"/>
        <w:ind w:left="360"/>
      </w:pPr>
      <w:r>
        <w:rPr>
          <w:rFonts w:ascii="Nunito Sans" w:hAnsi="Nunito Sans"/>
          <w:sz w:val="22"/>
          <w:szCs w:val="22"/>
        </w:rPr>
        <w:t xml:space="preserve">•  </w:t>
      </w:r>
      <w:r>
        <w:rPr>
          <w:rFonts w:ascii="Nunito Sans" w:hAnsi="Nunito Sans"/>
          <w:sz w:val="22"/>
          <w:szCs w:val="22"/>
        </w:rPr>
        <w:t xml:space="preserve">Confrontation</w:t>
      </w:r>
    </w:p>
    <w:p>
      <w:pPr>
        <w:spacing w:after="60"/>
        <w:ind w:left="360"/>
      </w:pPr>
      <w:r>
        <w:rPr>
          <w:rFonts w:ascii="Nunito Sans" w:hAnsi="Nunito Sans"/>
          <w:sz w:val="22"/>
          <w:szCs w:val="22"/>
        </w:rPr>
        <w:t xml:space="preserve">•  </w:t>
      </w:r>
      <w:r>
        <w:rPr>
          <w:rFonts w:ascii="Nunito Sans" w:hAnsi="Nunito Sans"/>
          <w:sz w:val="22"/>
          <w:szCs w:val="22"/>
        </w:rPr>
        <w:t xml:space="preserve">Esterman Binocular (this one inherits clinical fidelity from Visual Fields — it routes to the Visual Field test with the Esterman protocol pre-selected)</w:t>
      </w:r>
    </w:p>
    <w:p>
      <w:pPr>
        <w:spacing w:after="60"/>
        <w:ind w:left="360"/>
      </w:pPr>
      <w:r>
        <w:rPr>
          <w:rFonts w:ascii="Nunito Sans" w:hAnsi="Nunito Sans"/>
          <w:sz w:val="22"/>
          <w:szCs w:val="22"/>
        </w:rPr>
        <w:t xml:space="preserve">•  </w:t>
      </w:r>
      <w:r>
        <w:rPr>
          <w:rFonts w:ascii="Nunito Sans" w:hAnsi="Nunito Sans"/>
          <w:sz w:val="22"/>
          <w:szCs w:val="22"/>
        </w:rPr>
        <w:t xml:space="preserve">Binocular Vision</w:t>
      </w:r>
    </w:p>
    <w:p>
      <w:pPr>
        <w:spacing w:after="60"/>
        <w:ind w:left="360"/>
      </w:pPr>
      <w:r>
        <w:rPr>
          <w:rFonts w:ascii="Nunito Sans" w:hAnsi="Nunito Sans"/>
          <w:sz w:val="22"/>
          <w:szCs w:val="22"/>
        </w:rPr>
        <w:t xml:space="preserve">•  </w:t>
      </w:r>
      <w:r>
        <w:rPr>
          <w:rFonts w:ascii="Nunito Sans" w:hAnsi="Nunito Sans"/>
          <w:sz w:val="22"/>
          <w:szCs w:val="22"/>
        </w:rPr>
        <w:t xml:space="preserve">Convergence</w:t>
      </w:r>
    </w:p>
    <w:p>
      <w:pPr>
        <w:spacing w:after="60"/>
        <w:ind w:left="360"/>
      </w:pPr>
      <w:r>
        <w:rPr>
          <w:rFonts w:ascii="Nunito Sans" w:hAnsi="Nunito Sans"/>
          <w:sz w:val="22"/>
          <w:szCs w:val="22"/>
        </w:rPr>
        <w:t xml:space="preserve">•  </w:t>
      </w:r>
      <w:r>
        <w:rPr>
          <w:rFonts w:ascii="Nunito Sans" w:hAnsi="Nunito Sans"/>
          <w:sz w:val="22"/>
          <w:szCs w:val="22"/>
        </w:rPr>
        <w:t xml:space="preserve">Contrast Sensitivity (Pelli-Robson visual fidelity only; clinical scoring not yet implemented)</w:t>
      </w:r>
    </w:p>
    <w:p>
      <w:pPr>
        <w:spacing w:after="60"/>
        <w:ind w:left="360"/>
      </w:pPr>
      <w:r>
        <w:rPr>
          <w:rFonts w:ascii="Nunito Sans" w:hAnsi="Nunito Sans"/>
          <w:sz w:val="22"/>
          <w:szCs w:val="22"/>
        </w:rPr>
        <w:t xml:space="preserve">•  </w:t>
      </w:r>
      <w:r>
        <w:rPr>
          <w:rFonts w:ascii="Nunito Sans" w:hAnsi="Nunito Sans"/>
          <w:sz w:val="22"/>
          <w:szCs w:val="22"/>
        </w:rPr>
        <w:t xml:space="preserve">Visual Reaction Time</w:t>
      </w:r>
    </w:p>
    <w:p>
      <w:pPr>
        <w:spacing w:after="60"/>
        <w:ind w:left="360"/>
      </w:pPr>
      <w:r>
        <w:rPr>
          <w:rFonts w:ascii="Nunito Sans" w:hAnsi="Nunito Sans"/>
          <w:sz w:val="22"/>
          <w:szCs w:val="22"/>
        </w:rPr>
        <w:t xml:space="preserve">•  </w:t>
      </w:r>
      <w:r>
        <w:rPr>
          <w:rFonts w:ascii="Nunito Sans" w:hAnsi="Nunito Sans"/>
          <w:sz w:val="22"/>
          <w:szCs w:val="22"/>
        </w:rPr>
        <w:t xml:space="preserve">Eye Tracking Accuracy</w:t>
      </w:r>
    </w:p>
    <w:p>
      <w:pPr>
        <w:spacing w:after="60"/>
        <w:ind w:left="360"/>
      </w:pPr>
      <w:r>
        <w:rPr>
          <w:rFonts w:ascii="Nunito Sans" w:hAnsi="Nunito Sans"/>
          <w:sz w:val="22"/>
          <w:szCs w:val="22"/>
        </w:rPr>
        <w:t xml:space="preserve">•  </w:t>
      </w:r>
      <w:r>
        <w:rPr>
          <w:rFonts w:ascii="Nunito Sans" w:hAnsi="Nunito Sans"/>
          <w:sz w:val="22"/>
          <w:szCs w:val="22"/>
        </w:rPr>
        <w:t xml:space="preserve">Fixation Stability</w:t>
      </w:r>
    </w:p>
    <w:p>
      <w:pPr>
        <w:spacing w:after="60"/>
        <w:ind w:left="360"/>
      </w:pPr>
      <w:r>
        <w:rPr>
          <w:rFonts w:ascii="Nunito Sans" w:hAnsi="Nunito Sans"/>
          <w:sz w:val="22"/>
          <w:szCs w:val="22"/>
        </w:rPr>
        <w:t xml:space="preserve">•  </w:t>
      </w:r>
      <w:r>
        <w:rPr>
          <w:rFonts w:ascii="Nunito Sans" w:hAnsi="Nunito Sans"/>
          <w:sz w:val="22"/>
          <w:szCs w:val="22"/>
        </w:rPr>
        <w:t xml:space="preserve">Tear Film</w:t>
      </w:r>
    </w:p>
    <w:p>
      <w:pPr>
        <w:spacing w:after="60"/>
        <w:ind w:left="360"/>
      </w:pPr>
      <w:r>
        <w:rPr>
          <w:rFonts w:ascii="Nunito Sans" w:hAnsi="Nunito Sans"/>
          <w:sz w:val="22"/>
          <w:szCs w:val="22"/>
        </w:rPr>
        <w:t xml:space="preserve">•  </w:t>
      </w:r>
      <w:r>
        <w:rPr>
          <w:rFonts w:ascii="Nunito Sans" w:hAnsi="Nunito Sans"/>
          <w:sz w:val="22"/>
          <w:szCs w:val="22"/>
        </w:rPr>
        <w:t xml:space="preserve">AI Pattern Recognition</w:t>
      </w:r>
    </w:p>
    <w:p>
      <w:pPr>
        <w:spacing w:after="120"/>
      </w:pPr>
      <w:r>
        <w:rPr>
          <w:rFonts w:ascii="Nunito Sans" w:hAnsi="Nunito Sans"/>
          <w:sz w:val="22"/>
          <w:szCs w:val="22"/>
        </w:rPr>
        <w:t xml:space="preserve">The panel's input on which of these should be prioritized for the next clinical rebuild is welcomed.</w:t>
      </w:r>
    </w:p>
    <w:p>
      <w:pPr>
        <w:spacing w:after="0"/>
      </w:pPr>
    </w:p>
    <w:p>
      <w:pPr>
        <w:spacing w:before="240" w:after="80"/>
      </w:pPr>
      <w:r>
        <w:rPr>
          <w:rFonts w:ascii="Nunito Sans" w:hAnsi="Nunito Sans"/>
          <w:b/>
          <w:sz w:val="28"/>
          <w:szCs w:val="28"/>
        </w:rPr>
        <w:t xml:space="preserve">How to give us feedback</w:t>
      </w:r>
    </w:p>
    <w:p>
      <w:pPr>
        <w:spacing w:after="120"/>
      </w:pPr>
      <w:r>
        <w:rPr>
          <w:rFonts w:ascii="Nunito Sans" w:hAnsi="Nunito Sans"/>
          <w:sz w:val="22"/>
          <w:szCs w:val="22"/>
        </w:rPr>
        <w:t xml:space="preserve">Specific items to flag:</w:t>
      </w:r>
    </w:p>
    <w:p>
      <w:pPr>
        <w:spacing w:after="60"/>
        <w:ind w:left="360"/>
      </w:pPr>
      <w:r>
        <w:rPr>
          <w:rFonts w:ascii="Nunito Sans" w:hAnsi="Nunito Sans"/>
          <w:sz w:val="22"/>
          <w:szCs w:val="22"/>
        </w:rPr>
        <w:t xml:space="preserve">•  </w:t>
      </w:r>
      <w:r>
        <w:rPr>
          <w:rFonts w:ascii="Nunito Sans" w:hAnsi="Nunito Sans"/>
          <w:b/>
          <w:sz w:val="22"/>
          <w:szCs w:val="22"/>
        </w:rPr>
        <w:t xml:space="preserve">Deviations from current published clinical standards.</w:t>
      </w:r>
      <w:r>
        <w:rPr>
          <w:rFonts w:ascii="Nunito Sans" w:hAnsi="Nunito Sans"/>
          <w:sz w:val="22"/>
          <w:szCs w:val="22"/>
        </w:rPr>
        <w:t xml:space="preserve"> If something on screen doesn't match how you'd run the test in practice, please flag it with the published reference we should be conforming to.</w:t>
      </w:r>
    </w:p>
    <w:p>
      <w:pPr>
        <w:spacing w:after="60"/>
        <w:ind w:left="360"/>
      </w:pPr>
      <w:r>
        <w:rPr>
          <w:rFonts w:ascii="Nunito Sans" w:hAnsi="Nunito Sans"/>
          <w:sz w:val="22"/>
          <w:szCs w:val="22"/>
        </w:rPr>
        <w:t xml:space="preserve">•  </w:t>
      </w:r>
      <w:r>
        <w:rPr>
          <w:rFonts w:ascii="Nunito Sans" w:hAnsi="Nunito Sans"/>
          <w:b/>
          <w:sz w:val="22"/>
          <w:szCs w:val="22"/>
        </w:rPr>
        <w:t xml:space="preserve">Workflow friction.</w:t>
      </w:r>
      <w:r>
        <w:rPr>
          <w:rFonts w:ascii="Nunito Sans" w:hAnsi="Nunito Sans"/>
          <w:sz w:val="22"/>
          <w:szCs w:val="22"/>
        </w:rPr>
        <w:t xml:space="preserve"> Tablet-based testing introduces interaction patterns that paper-based or older instrument workflows didn't have. If a step feels awkward or wrong, that's exactly what we want to catch in this review.</w:t>
      </w:r>
    </w:p>
    <w:p>
      <w:pPr>
        <w:spacing w:after="60"/>
        <w:ind w:left="360"/>
      </w:pPr>
      <w:r>
        <w:rPr>
          <w:rFonts w:ascii="Nunito Sans" w:hAnsi="Nunito Sans"/>
          <w:sz w:val="22"/>
          <w:szCs w:val="22"/>
        </w:rPr>
        <w:t xml:space="preserve">•  </w:t>
      </w:r>
      <w:r>
        <w:rPr>
          <w:rFonts w:ascii="Nunito Sans" w:hAnsi="Nunito Sans"/>
          <w:b/>
          <w:sz w:val="22"/>
          <w:szCs w:val="22"/>
        </w:rPr>
        <w:t xml:space="preserve">Terminology and copy.</w:t>
      </w:r>
      <w:r>
        <w:rPr>
          <w:rFonts w:ascii="Nunito Sans" w:hAnsi="Nunito Sans"/>
          <w:sz w:val="22"/>
          <w:szCs w:val="22"/>
        </w:rPr>
        <w:t xml:space="preserve"> The clinical phrasing in interpretations, banners, and labels should read naturally to a doctor. If anything reads as institutional jargon, generic medical-software boilerplate, or just wrong — please flag it.</w:t>
      </w:r>
    </w:p>
    <w:p>
      <w:pPr>
        <w:spacing w:after="60"/>
        <w:ind w:left="360"/>
      </w:pPr>
      <w:r>
        <w:rPr>
          <w:rFonts w:ascii="Nunito Sans" w:hAnsi="Nunito Sans"/>
          <w:sz w:val="22"/>
          <w:szCs w:val="22"/>
        </w:rPr>
        <w:t xml:space="preserve">•  </w:t>
      </w:r>
      <w:r>
        <w:rPr>
          <w:rFonts w:ascii="Nunito Sans" w:hAnsi="Nunito Sans"/>
          <w:b/>
          <w:sz w:val="22"/>
          <w:szCs w:val="22"/>
        </w:rPr>
        <w:t xml:space="preserve">What's missing.</w:t>
      </w:r>
      <w:r>
        <w:rPr>
          <w:rFonts w:ascii="Nunito Sans" w:hAnsi="Nunito Sans"/>
          <w:sz w:val="22"/>
          <w:szCs w:val="22"/>
        </w:rPr>
        <w:t xml:space="preserve"> If an entire affordance or step that you'd expect to see is absent, that's high-value feedback.</w:t>
      </w:r>
    </w:p>
    <w:p>
      <w:pPr>
        <w:spacing w:after="120"/>
      </w:pPr>
      <w:r>
        <w:rPr>
          <w:rFonts w:ascii="Nunito Sans" w:hAnsi="Nunito Sans"/>
          <w:sz w:val="22"/>
          <w:szCs w:val="22"/>
        </w:rPr>
        <w:t xml:space="preserve">Please return your observations through the standard project channels. The development team will respond directly to clinical accuracy issues; UI/UX adjustments will be incorporated in the next design iteration.</w:t>
      </w:r>
    </w:p>
    <w:p>
      <w:pPr>
        <w:spacing w:after="0"/>
      </w:pPr>
    </w:p>
    <w:p>
      <w:pPr>
        <w:spacing w:after="120"/>
      </w:pPr>
      <w:r>
        <w:rPr>
          <w:rFonts w:ascii="Nunito Sans" w:hAnsi="Nunito Sans"/>
          <w:i/>
          <w:sz w:val="22"/>
          <w:szCs w:val="22"/>
        </w:rPr>
        <w:t xml:space="preserve">Method Marketing Agency · xoExam UI/UX Clinical Evaluation Brief · v0.3.2 · September 18, 2026</w:t>
      </w:r>
    </w:p>
    <w:sectPr>
      <w:pgSz w:w="12240" w:h="15840"/>
      <w:pgMar w:top="1440" w:right="1440" w:bottom="1440" w:left="1440" w:header="720" w:footer="720" w:gutter="0"/>
    </w:sectPr>
  </w:body>
</w:document>
</file>