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rFonts w:ascii="Nunito Sans" w:hAnsi="Nunito Sans"/>
          <w:b/>
          <w:sz w:val="32"/>
          <w:szCs w:val="32"/>
        </w:rPr>
        <w:t xml:space="preserve">xoExam™ UI/UX — Clinical Evaluation Brief</w:t>
      </w:r>
    </w:p>
    <w:p>
      <w:pPr>
        <w:spacing w:before="240" w:after="80"/>
      </w:pPr>
      <w:r>
        <w:rPr>
          <w:rFonts w:ascii="Nunito Sans" w:hAnsi="Nunito Sans"/>
          <w:b/>
          <w:sz w:val="28"/>
          <w:szCs w:val="28"/>
        </w:rPr>
        <w:t xml:space="preserve">A current-state guide for the doctor panel evaluating the user interface</w:t>
      </w:r>
    </w:p>
    <w:p>
      <w:pPr>
        <w:spacing w:before="240" w:after="80"/>
      </w:pPr>
      <w:r>
        <w:rPr>
          <w:rFonts w:ascii="Nunito Sans" w:hAnsi="Nunito Sans"/>
          <w:b/>
          <w:sz w:val="24"/>
          <w:szCs w:val="24"/>
        </w:rPr>
        <w:t xml:space="preserve">Method Marketing Agency for Xenon Ophthalmics Inc.</w:t>
      </w:r>
    </w:p>
    <w:p>
      <w:pPr>
        <w:spacing w:after="0"/>
      </w:pPr>
    </w:p>
    <w:p>
      <w:pPr>
        <w:spacing w:before="60" w:after="120"/>
        <w:ind w:left="360"/>
      </w:pPr>
      <w:r>
        <w:rPr>
          <w:rFonts w:ascii="Nunito Sans" w:hAnsi="Nunito Sans"/>
          <w:i/>
          <w:sz w:val="22"/>
          <w:szCs w:val="22"/>
          <w:color w:val="444444"/>
        </w:rPr>
        <w:t xml:space="preserve">This brief describes what the current xoExam™ prototype does clinically, test by test. It is written for the doctor panel evaluating the user interface — optometrists, ophthalmologists, and clinical reviewers. The goal is to make it quick to verify "does this match what I do in practice?" without needing context on the design process or prior iterations.  This is not a regulatory submission, a clinical validation report, or a substitute for instrument calibration. It is a transparency document — what the design adheres to, so a clinician can evaluate it against current published standards.  </w:t>
      </w:r>
      <w:r>
        <w:rPr>
          <w:rFonts w:ascii="Nunito Sans" w:hAnsi="Nunito Sans"/>
          <w:b/>
          <w:i/>
          <w:sz w:val="22"/>
          <w:szCs w:val="22"/>
          <w:color w:val="444444"/>
        </w:rPr>
        <w:t xml:space="preserve">v0.3.3 note — binocular alignment, near vision and refraction-flow branching in Objective &amp; Subjective Refraction.</w:t>
      </w:r>
      <w:r>
        <w:rPr>
          <w:rFonts w:ascii="Nunito Sans" w:hAnsi="Nunito Sans"/>
          <w:i/>
          <w:sz w:val="22"/>
          <w:szCs w:val="22"/>
          <w:color w:val="444444"/>
        </w:rPr>
        <w:t xml:space="preserve"> Adds digital-prism alignment measurement (per-eye image displacement, BI/BO/BU/BD, dissociated vs associated method recorded; measured prism is recorded by default and enters the prescription only when the clinician elects to prescribe it); a near-vision workflow (linked add, locked distance Rx, near Rx, near acuity in Snellen-equivalent and M-units, contrast and lighting, convergence for working distance, NRA/PRA with centered add); a selectable 3- or 5-scan objective capture averaged in power-vector space with automatic rejection of spurious readings and recorded scan spread; and JCC entry branching on starting cylinder per standard refraction flow (axis first above 0.50 D, power first at or below 0.50 D, probe when no cylinder is present). Wavefront Refraction is untouched; the count of tests at clinical fidelity is unchanged. </w:t>
      </w:r>
      <w:r>
        <w:rPr>
          <w:rFonts w:ascii="Nunito Sans" w:hAnsi="Nunito Sans"/>
          <w:b/>
          <w:i/>
          <w:sz w:val="22"/>
          <w:szCs w:val="22"/>
          <w:color w:val="444444"/>
        </w:rPr>
        <w:t xml:space="preserve">The prism, near and JCC-branching workflow is the clinical detail the panel is asked to review.</w:t>
      </w:r>
    </w:p>
    <w:p>
      <w:pPr>
        <w:spacing w:after="0"/>
      </w:pPr>
    </w:p>
    <w:p>
      <w:pPr>
        <w:spacing w:before="240" w:after="80"/>
      </w:pPr>
      <w:r>
        <w:rPr>
          <w:rFonts w:ascii="Nunito Sans" w:hAnsi="Nunito Sans"/>
          <w:b/>
          <w:sz w:val="28"/>
          <w:szCs w:val="28"/>
        </w:rPr>
        <w:t xml:space="preserve">What you are evaluating</w:t>
      </w:r>
    </w:p>
    <w:p>
      <w:pPr>
        <w:spacing w:after="120"/>
      </w:pPr>
      <w:r>
        <w:rPr>
          <w:rFonts w:ascii="Nunito Sans" w:hAnsi="Nunito Sans"/>
          <w:sz w:val="22"/>
          <w:szCs w:val="22"/>
        </w:rPr>
        <w:t xml:space="preserve">Seven of the device's planned exams are currently at full clinical fidelity in the prototype — meaning the scoring, scales, interpretation logic, and reporting have been designed to match published clinical standards. The remaining tests in the catalog are visual placeholders only — they look correct and flow correctly, but their clinical layer has not yet been rebuilt. Treat any on-screen data in those placeholders as illustrative.</w:t>
      </w:r>
    </w:p>
    <w:p>
      <w:pPr>
        <w:spacing w:after="120"/>
      </w:pPr>
      <w:r>
        <w:rPr>
          <w:rFonts w:ascii="Nunito Sans" w:hAnsi="Nunito Sans"/>
          <w:sz w:val="22"/>
          <w:szCs w:val="22"/>
        </w:rPr>
        <w:t xml:space="preserve">The seven clinically-faithful tests:</w:t>
      </w:r>
    </w:p>
    <w:p>
      <w:pPr>
        <w:spacing w:after="60"/>
        <w:ind w:left="360"/>
      </w:pPr>
      <w:r>
        <w:rPr>
          <w:rFonts w:ascii="Nunito Sans" w:hAnsi="Nunito Sans"/>
          <w:sz w:val="22"/>
          <w:szCs w:val="22"/>
        </w:rPr>
        <w:t xml:space="preserve">1. Visual Acuity</w:t>
      </w:r>
    </w:p>
    <w:p>
      <w:pPr>
        <w:spacing w:after="60"/>
        <w:ind w:left="360"/>
      </w:pPr>
      <w:r>
        <w:rPr>
          <w:rFonts w:ascii="Nunito Sans" w:hAnsi="Nunito Sans"/>
          <w:sz w:val="22"/>
          <w:szCs w:val="22"/>
        </w:rPr>
        <w:t xml:space="preserve">2. Color Vision (Ishihara + D-15 Farnsworth)</w:t>
      </w:r>
    </w:p>
    <w:p>
      <w:pPr>
        <w:spacing w:after="60"/>
        <w:ind w:left="360"/>
      </w:pPr>
      <w:r>
        <w:rPr>
          <w:rFonts w:ascii="Nunito Sans" w:hAnsi="Nunito Sans"/>
          <w:sz w:val="22"/>
          <w:szCs w:val="22"/>
        </w:rPr>
        <w:t xml:space="preserve">3. Visual Fields</w:t>
      </w:r>
    </w:p>
    <w:p>
      <w:pPr>
        <w:spacing w:after="60"/>
        <w:ind w:left="360"/>
      </w:pPr>
      <w:r>
        <w:rPr>
          <w:rFonts w:ascii="Nunito Sans" w:hAnsi="Nunito Sans"/>
          <w:sz w:val="22"/>
          <w:szCs w:val="22"/>
        </w:rPr>
        <w:t xml:space="preserve">4. Wavefront Aberrometry</w:t>
      </w:r>
    </w:p>
    <w:p>
      <w:pPr>
        <w:spacing w:after="60"/>
        <w:ind w:left="360"/>
      </w:pPr>
      <w:r>
        <w:rPr>
          <w:rFonts w:ascii="Nunito Sans" w:hAnsi="Nunito Sans"/>
          <w:sz w:val="22"/>
          <w:szCs w:val="22"/>
        </w:rPr>
        <w:t xml:space="preserve">5. Extraocular Motility</w:t>
      </w:r>
    </w:p>
    <w:p>
      <w:pPr>
        <w:spacing w:after="60"/>
        <w:ind w:left="360"/>
      </w:pPr>
      <w:r>
        <w:rPr>
          <w:rFonts w:ascii="Nunito Sans" w:hAnsi="Nunito Sans"/>
          <w:sz w:val="22"/>
          <w:szCs w:val="22"/>
        </w:rPr>
        <w:t xml:space="preserve">6. Pupillometry</w:t>
      </w:r>
    </w:p>
    <w:p>
      <w:pPr>
        <w:spacing w:after="60"/>
        <w:ind w:left="360"/>
      </w:pPr>
      <w:r>
        <w:rPr>
          <w:rFonts w:ascii="Nunito Sans" w:hAnsi="Nunito Sans"/>
          <w:sz w:val="22"/>
          <w:szCs w:val="22"/>
        </w:rPr>
        <w:t xml:space="preserve">7. Wavefront Refraction</w:t>
      </w:r>
    </w:p>
    <w:p>
      <w:pPr>
        <w:spacing w:after="120"/>
      </w:pPr>
      <w:r>
        <w:rPr>
          <w:rFonts w:ascii="Nunito Sans" w:hAnsi="Nunito Sans"/>
          <w:sz w:val="22"/>
          <w:szCs w:val="22"/>
        </w:rPr>
        <w:t xml:space="preserve">The remaining tests in the catalog await their own clinical rebuilds in subsequent releases. The entire UI/UX ships as one unified build — currently v0.3.3; a test reaching clinical fidelity in an earlier release is correct and unchanged since then, not running older software.</w:t>
      </w:r>
    </w:p>
    <w:p>
      <w:pPr>
        <w:spacing w:after="0"/>
      </w:pPr>
    </w:p>
    <w:p>
      <w:pPr>
        <w:spacing w:before="240" w:after="80"/>
      </w:pPr>
      <w:r>
        <w:rPr>
          <w:rFonts w:ascii="Nunito Sans" w:hAnsi="Nunito Sans"/>
          <w:b/>
          <w:sz w:val="28"/>
          <w:szCs w:val="28"/>
        </w:rPr>
        <w:t xml:space="preserve">1. Visual Acuity</w:t>
      </w:r>
    </w:p>
    <w:p>
      <w:pPr>
        <w:spacing w:before="240" w:after="80"/>
      </w:pPr>
      <w:r>
        <w:rPr>
          <w:rFonts w:ascii="Nunito Sans" w:hAnsi="Nunito Sans"/>
          <w:b/>
          <w:sz w:val="24"/>
          <w:szCs w:val="24"/>
        </w:rPr>
        <w:t xml:space="preserve">Clinical purpose</w:t>
      </w:r>
    </w:p>
    <w:p>
      <w:pPr>
        <w:spacing w:after="120"/>
      </w:pPr>
      <w:r>
        <w:rPr>
          <w:rFonts w:ascii="Nunito Sans" w:hAnsi="Nunito Sans"/>
          <w:sz w:val="22"/>
          <w:szCs w:val="22"/>
        </w:rPr>
        <w:t xml:space="preserve">Measure best-corrected distance visual acuity to identify reduction in central vision and guide refractive correction.</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Snellen notation system (20/x feet equivalent), with LogMAR (log of the Minimum Angle of Resolution) surfaced in parallel for documentation and longitudinal comparison.</w:t>
      </w:r>
    </w:p>
    <w:p>
      <w:pPr>
        <w:spacing w:before="240" w:after="80"/>
      </w:pPr>
      <w:r>
        <w:rPr>
          <w:rFonts w:ascii="Nunito Sans" w:hAnsi="Nunito Sans"/>
          <w:b/>
          <w:sz w:val="24"/>
          <w:szCs w:val="24"/>
        </w:rPr>
        <w:t xml:space="preserve">What the UI does</w:t>
      </w:r>
    </w:p>
    <w:p>
      <w:pPr>
        <w:spacing w:after="60"/>
        <w:ind w:left="360"/>
      </w:pPr>
      <w:r>
        <w:rPr>
          <w:rFonts w:ascii="Nunito Sans" w:hAnsi="Nunito Sans"/>
          <w:sz w:val="22"/>
          <w:szCs w:val="22"/>
        </w:rPr>
        <w:t xml:space="preserve">•  </w:t>
      </w:r>
      <w:r>
        <w:rPr>
          <w:rFonts w:ascii="Nunito Sans" w:hAnsi="Nunito Sans"/>
          <w:sz w:val="22"/>
          <w:szCs w:val="22"/>
        </w:rPr>
        <w:t xml:space="preserve">10-line chart progression from 20/200 to 20/10 (LogMAR 1.00 to −0.30)</w:t>
      </w:r>
    </w:p>
    <w:p>
      <w:pPr>
        <w:spacing w:after="60"/>
        <w:ind w:left="360"/>
      </w:pPr>
      <w:r>
        <w:rPr>
          <w:rFonts w:ascii="Nunito Sans" w:hAnsi="Nunito Sans"/>
          <w:sz w:val="22"/>
          <w:szCs w:val="22"/>
        </w:rPr>
        <w:t xml:space="preserve">•  </w:t>
      </w:r>
      <w:r>
        <w:rPr>
          <w:rFonts w:ascii="Nunito Sans" w:hAnsi="Nunito Sans"/>
          <w:sz w:val="22"/>
          <w:szCs w:val="22"/>
        </w:rPr>
        <w:t xml:space="preserve">Three chart types selectable: Snellen letters, Numbers (for non-readers), Tumbling E (for non-Latin literacy or pediatric use)</w:t>
      </w:r>
    </w:p>
    <w:p>
      <w:pPr>
        <w:spacing w:after="60"/>
        <w:ind w:left="360"/>
      </w:pPr>
      <w:r>
        <w:rPr>
          <w:rFonts w:ascii="Nunito Sans" w:hAnsi="Nunito Sans"/>
          <w:sz w:val="22"/>
          <w:szCs w:val="22"/>
        </w:rPr>
        <w:t xml:space="preserve">•  </w:t>
      </w:r>
      <w:r>
        <w:rPr>
          <w:rFonts w:ascii="Nunito Sans" w:hAnsi="Nunito Sans"/>
          <w:sz w:val="22"/>
          <w:szCs w:val="22"/>
        </w:rPr>
        <w:t xml:space="preserve">Per-letter scoring — tap a letter to cycle through unmarked / correct / incorrect</w:t>
      </w:r>
    </w:p>
    <w:p>
      <w:pPr>
        <w:spacing w:after="60"/>
        <w:ind w:left="360"/>
      </w:pPr>
      <w:r>
        <w:rPr>
          <w:rFonts w:ascii="Nunito Sans" w:hAnsi="Nunito Sans"/>
          <w:sz w:val="22"/>
          <w:szCs w:val="22"/>
        </w:rPr>
        <w:t xml:space="preserve">•  </w:t>
      </w:r>
      <w:r>
        <w:rPr>
          <w:rFonts w:ascii="Nunito Sans" w:hAnsi="Nunito Sans"/>
          <w:sz w:val="22"/>
          <w:szCs w:val="22"/>
        </w:rPr>
        <w:t xml:space="preserve">Per-eye testing: OD-only, OS-only, or OU</w:t>
      </w:r>
    </w:p>
    <w:p>
      <w:pPr>
        <w:spacing w:after="60"/>
        <w:ind w:left="360"/>
      </w:pPr>
      <w:r>
        <w:rPr>
          <w:rFonts w:ascii="Nunito Sans" w:hAnsi="Nunito Sans"/>
          <w:sz w:val="22"/>
          <w:szCs w:val="22"/>
        </w:rPr>
        <w:t xml:space="preserve">•  </w:t>
      </w:r>
      <w:r>
        <w:rPr>
          <w:rFonts w:ascii="Nunito Sans" w:hAnsi="Nunito Sans"/>
          <w:sz w:val="22"/>
          <w:szCs w:val="22"/>
        </w:rPr>
        <w:t xml:space="preserve">Line-pass rule: more than half correct (clinical convention — 3+ on a 5-letter line)</w:t>
      </w:r>
    </w:p>
    <w:p>
      <w:pPr>
        <w:spacing w:after="60"/>
        <w:ind w:left="360"/>
      </w:pPr>
      <w:r>
        <w:rPr>
          <w:rFonts w:ascii="Nunito Sans" w:hAnsi="Nunito Sans"/>
          <w:sz w:val="22"/>
          <w:szCs w:val="22"/>
        </w:rPr>
        <w:t xml:space="preserve">•  </w:t>
      </w:r>
      <w:r>
        <w:rPr>
          <w:rFonts w:ascii="Nunito Sans" w:hAnsi="Nunito Sans"/>
          <w:sz w:val="22"/>
          <w:szCs w:val="22"/>
        </w:rPr>
        <w:t xml:space="preserve">Auto-advance to the next line on passing</w:t>
      </w:r>
    </w:p>
    <w:p>
      <w:pPr>
        <w:spacing w:after="60"/>
        <w:ind w:left="360"/>
      </w:pPr>
      <w:r>
        <w:rPr>
          <w:rFonts w:ascii="Nunito Sans" w:hAnsi="Nunito Sans"/>
          <w:sz w:val="22"/>
          <w:szCs w:val="22"/>
        </w:rPr>
        <w:t xml:space="preserve">•  </w:t>
      </w:r>
      <w:r>
        <w:rPr>
          <w:rFonts w:ascii="Nunito Sans" w:hAnsi="Nunito Sans"/>
          <w:sz w:val="22"/>
          <w:szCs w:val="22"/>
        </w:rPr>
        <w:t xml:space="preserve">Prescription adjustment panel surfaces on a failed line for SPH / CYL / AXIS refinement on either eye</w:t>
      </w:r>
    </w:p>
    <w:p>
      <w:pPr>
        <w:spacing w:after="60"/>
        <w:ind w:left="360"/>
      </w:pPr>
      <w:r>
        <w:rPr>
          <w:rFonts w:ascii="Nunito Sans" w:hAnsi="Nunito Sans"/>
          <w:sz w:val="22"/>
          <w:szCs w:val="22"/>
        </w:rPr>
        <w:t xml:space="preserve">•  </w:t>
      </w:r>
      <w:r>
        <w:rPr>
          <w:rFonts w:ascii="Nunito Sans" w:hAnsi="Nunito Sans"/>
          <w:sz w:val="22"/>
          <w:szCs w:val="22"/>
        </w:rPr>
        <w:t xml:space="preserve">The report shows both Snellen and LogMAR notation, a per-line scoring table, and severity classification (Normal / Mild reduction / Moderate reduction / Significant reduction) driven by the worst-eye result</w:t>
      </w:r>
    </w:p>
    <w:p>
      <w:pPr>
        <w:spacing w:before="240" w:after="80"/>
      </w:pPr>
      <w:r>
        <w:rPr>
          <w:rFonts w:ascii="Nunito Sans" w:hAnsi="Nunito Sans"/>
          <w:b/>
          <w:sz w:val="24"/>
          <w:szCs w:val="24"/>
        </w:rPr>
        <w:t xml:space="preserve">What we'd like the panel to evaluate</w:t>
      </w:r>
    </w:p>
    <w:p>
      <w:pPr>
        <w:spacing w:after="60"/>
        <w:ind w:left="360"/>
      </w:pPr>
      <w:r>
        <w:rPr>
          <w:rFonts w:ascii="Nunito Sans" w:hAnsi="Nunito Sans"/>
          <w:sz w:val="22"/>
          <w:szCs w:val="22"/>
        </w:rPr>
        <w:t xml:space="preserve">•  </w:t>
      </w:r>
      <w:r>
        <w:rPr>
          <w:rFonts w:ascii="Nunito Sans" w:hAnsi="Nunito Sans"/>
          <w:sz w:val="22"/>
          <w:szCs w:val="22"/>
        </w:rPr>
        <w:t xml:space="preserve">Does the chart type selection cover the patient populations you typically see?</w:t>
      </w:r>
    </w:p>
    <w:p>
      <w:pPr>
        <w:spacing w:after="60"/>
        <w:ind w:left="360"/>
      </w:pPr>
      <w:r>
        <w:rPr>
          <w:rFonts w:ascii="Nunito Sans" w:hAnsi="Nunito Sans"/>
          <w:sz w:val="22"/>
          <w:szCs w:val="22"/>
        </w:rPr>
        <w:t xml:space="preserve">•  </w:t>
      </w:r>
      <w:r>
        <w:rPr>
          <w:rFonts w:ascii="Nunito Sans" w:hAnsi="Nunito Sans"/>
          <w:sz w:val="22"/>
          <w:szCs w:val="22"/>
        </w:rPr>
        <w:t xml:space="preserve">Is the per-letter scoring interaction efficient enough for a real clinical workflow?</w:t>
      </w:r>
    </w:p>
    <w:p>
      <w:pPr>
        <w:spacing w:after="60"/>
        <w:ind w:left="360"/>
      </w:pPr>
      <w:r>
        <w:rPr>
          <w:rFonts w:ascii="Nunito Sans" w:hAnsi="Nunito Sans"/>
          <w:sz w:val="22"/>
          <w:szCs w:val="22"/>
        </w:rPr>
        <w:t xml:space="preserve">•  </w:t>
      </w:r>
      <w:r>
        <w:rPr>
          <w:rFonts w:ascii="Nunito Sans" w:hAnsi="Nunito Sans"/>
          <w:sz w:val="22"/>
          <w:szCs w:val="22"/>
        </w:rPr>
        <w:t xml:space="preserve">Does the LogMAR + Snellen dual-notation in the report match your documentation expectations?</w:t>
      </w:r>
    </w:p>
    <w:p>
      <w:pPr>
        <w:spacing w:after="60"/>
        <w:ind w:left="360"/>
      </w:pPr>
      <w:r>
        <w:rPr>
          <w:rFonts w:ascii="Nunito Sans" w:hAnsi="Nunito Sans"/>
          <w:sz w:val="22"/>
          <w:szCs w:val="22"/>
        </w:rPr>
        <w:t xml:space="preserve">•  </w:t>
      </w:r>
      <w:r>
        <w:rPr>
          <w:rFonts w:ascii="Nunito Sans" w:hAnsi="Nunito Sans"/>
          <w:sz w:val="22"/>
          <w:szCs w:val="22"/>
        </w:rPr>
        <w:t xml:space="preserve">Is the prescription adjustment panel positioned correctly in the flow?</w:t>
      </w:r>
    </w:p>
    <w:p>
      <w:pPr>
        <w:spacing w:before="240" w:after="80"/>
      </w:pPr>
      <w:r>
        <w:rPr>
          <w:rFonts w:ascii="Nunito Sans" w:hAnsi="Nunito Sans"/>
          <w:b/>
          <w:sz w:val="24"/>
          <w:szCs w:val="24"/>
        </w:rPr>
        <w:t xml:space="preserve">What's coming (not yet in the UI)</w:t>
      </w:r>
    </w:p>
    <w:p>
      <w:pPr>
        <w:spacing w:after="120"/>
      </w:pPr>
      <w:r>
        <w:rPr>
          <w:rFonts w:ascii="Nunito Sans" w:hAnsi="Nunito Sans"/>
          <w:sz w:val="22"/>
          <w:szCs w:val="22"/>
        </w:rPr>
        <w:t xml:space="preserve">ETDRS chart layout with Sloan 10 letter set and Bailey-Lovie crowding, pediatric LEA symbols, pinhole occluder workflow, and near-vision J-notation mode. These depend on confirming what the production headset's optics can simulate (true 40 cm near distance, pinhole insert availability).</w:t>
      </w:r>
    </w:p>
    <w:p>
      <w:pPr>
        <w:spacing w:after="0"/>
      </w:pPr>
    </w:p>
    <w:p>
      <w:pPr>
        <w:spacing w:before="240" w:after="80"/>
      </w:pPr>
      <w:r>
        <w:rPr>
          <w:rFonts w:ascii="Nunito Sans" w:hAnsi="Nunito Sans"/>
          <w:b/>
          <w:sz w:val="28"/>
          <w:szCs w:val="28"/>
        </w:rPr>
        <w:t xml:space="preserve">2. Color Vision</w:t>
      </w:r>
    </w:p>
    <w:p>
      <w:pPr>
        <w:spacing w:before="240" w:after="80"/>
      </w:pPr>
      <w:r>
        <w:rPr>
          <w:rFonts w:ascii="Nunito Sans" w:hAnsi="Nunito Sans"/>
          <w:b/>
          <w:sz w:val="24"/>
          <w:szCs w:val="24"/>
        </w:rPr>
        <w:t xml:space="preserve">Clinical purpose</w:t>
      </w:r>
    </w:p>
    <w:p>
      <w:pPr>
        <w:spacing w:after="120"/>
      </w:pPr>
      <w:r>
        <w:rPr>
          <w:rFonts w:ascii="Nunito Sans" w:hAnsi="Nunito Sans"/>
          <w:sz w:val="22"/>
          <w:szCs w:val="22"/>
        </w:rPr>
        <w:t xml:space="preserve">Screen for and characterize color vision deficiency — red-green (protan, deutan) and blue-yellow (tritan).</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Two complementary protocols:</w:t>
      </w:r>
    </w:p>
    <w:p>
      <w:pPr>
        <w:spacing w:after="60"/>
        <w:ind w:left="360"/>
      </w:pPr>
      <w:r>
        <w:rPr>
          <w:rFonts w:ascii="Nunito Sans" w:hAnsi="Nunito Sans"/>
          <w:sz w:val="22"/>
          <w:szCs w:val="22"/>
        </w:rPr>
        <w:t xml:space="preserve">•  </w:t>
      </w:r>
      <w:r>
        <w:rPr>
          <w:rFonts w:ascii="Nunito Sans" w:hAnsi="Nunito Sans"/>
          <w:b/>
          <w:sz w:val="22"/>
          <w:szCs w:val="22"/>
        </w:rPr>
        <w:t xml:space="preserve">Ishihara pseudo-isochromatic plates</w:t>
      </w:r>
      <w:r>
        <w:rPr>
          <w:rFonts w:ascii="Nunito Sans" w:hAnsi="Nunito Sans"/>
          <w:sz w:val="22"/>
          <w:szCs w:val="22"/>
        </w:rPr>
        <w:t xml:space="preserve"> — the global screening standard since 1917</w:t>
      </w:r>
    </w:p>
    <w:p>
      <w:pPr>
        <w:spacing w:after="60"/>
        <w:ind w:left="360"/>
      </w:pPr>
      <w:r>
        <w:rPr>
          <w:rFonts w:ascii="Nunito Sans" w:hAnsi="Nunito Sans"/>
          <w:sz w:val="22"/>
          <w:szCs w:val="22"/>
        </w:rPr>
        <w:t xml:space="preserve">•  </w:t>
      </w:r>
      <w:r>
        <w:rPr>
          <w:rFonts w:ascii="Nunito Sans" w:hAnsi="Nunito Sans"/>
          <w:b/>
          <w:sz w:val="22"/>
          <w:szCs w:val="22"/>
        </w:rPr>
        <w:t xml:space="preserve">D-15 Farnsworth dichotomous hue test</w:t>
      </w:r>
      <w:r>
        <w:rPr>
          <w:rFonts w:ascii="Nunito Sans" w:hAnsi="Nunito Sans"/>
          <w:sz w:val="22"/>
          <w:szCs w:val="22"/>
        </w:rPr>
        <w:t xml:space="preserve"> — quantitative confusion-axis assessment, scored using Vingrys &amp; King-Smith (1988) moment-of-inertia methodology</w:t>
      </w:r>
    </w:p>
    <w:p>
      <w:pPr>
        <w:spacing w:before="240" w:after="80"/>
      </w:pPr>
      <w:r>
        <w:rPr>
          <w:rFonts w:ascii="Nunito Sans" w:hAnsi="Nunito Sans"/>
          <w:b/>
          <w:sz w:val="24"/>
          <w:szCs w:val="24"/>
        </w:rPr>
        <w:t xml:space="preserve">What the UI does</w:t>
      </w:r>
    </w:p>
    <w:p>
      <w:pPr>
        <w:spacing w:after="60"/>
        <w:ind w:left="360"/>
      </w:pPr>
      <w:r>
        <w:rPr>
          <w:rFonts w:ascii="Nunito Sans" w:hAnsi="Nunito Sans"/>
          <w:sz w:val="22"/>
          <w:szCs w:val="22"/>
        </w:rPr>
        <w:t xml:space="preserve">•  </w:t>
      </w:r>
      <w:r>
        <w:rPr>
          <w:rFonts w:ascii="Nunito Sans" w:hAnsi="Nunito Sans"/>
          <w:sz w:val="22"/>
          <w:szCs w:val="22"/>
        </w:rPr>
        <w:t xml:space="preserve">Test order: OD then OS then OU as three discrete tests (not "OU = OD then OS")</w:t>
      </w:r>
    </w:p>
    <w:p>
      <w:pPr>
        <w:spacing w:after="60"/>
        <w:ind w:left="360"/>
      </w:pPr>
      <w:r>
        <w:rPr>
          <w:rFonts w:ascii="Nunito Sans" w:hAnsi="Nunito Sans"/>
          <w:sz w:val="22"/>
          <w:szCs w:val="22"/>
        </w:rPr>
        <w:t xml:space="preserve">•  </w:t>
      </w:r>
      <w:r>
        <w:rPr>
          <w:rFonts w:ascii="Nunito Sans" w:hAnsi="Nunito Sans"/>
          <w:sz w:val="22"/>
          <w:szCs w:val="22"/>
        </w:rPr>
        <w:t xml:space="preserve">Transition modal between eyes with patient-positioning instructions</w:t>
      </w:r>
    </w:p>
    <w:p>
      <w:pPr>
        <w:spacing w:after="60"/>
        <w:ind w:left="360"/>
      </w:pPr>
      <w:r>
        <w:rPr>
          <w:rFonts w:ascii="Nunito Sans" w:hAnsi="Nunito Sans"/>
          <w:sz w:val="22"/>
          <w:szCs w:val="22"/>
        </w:rPr>
        <w:t xml:space="preserve">•  </w:t>
      </w:r>
      <w:r>
        <w:rPr>
          <w:rFonts w:ascii="Nunito Sans" w:hAnsi="Nunito Sans"/>
          <w:sz w:val="22"/>
          <w:szCs w:val="22"/>
        </w:rPr>
        <w:t xml:space="preserve">Ishihara: 24 plates total (plates 1–4 with licensed images; plates 5–24 use clinically-correct simulated placeholders pending licensed asset delivery)</w:t>
      </w:r>
    </w:p>
    <w:p>
      <w:pPr>
        <w:spacing w:after="60"/>
        <w:ind w:left="360"/>
      </w:pPr>
      <w:r>
        <w:rPr>
          <w:rFonts w:ascii="Nunito Sans" w:hAnsi="Nunito Sans"/>
          <w:sz w:val="22"/>
          <w:szCs w:val="22"/>
        </w:rPr>
        <w:t xml:space="preserve">•  </w:t>
      </w:r>
      <w:r>
        <w:rPr>
          <w:rFonts w:ascii="Nunito Sans" w:hAnsi="Nunito Sans"/>
          <w:sz w:val="22"/>
          <w:szCs w:val="22"/>
        </w:rPr>
        <w:t xml:space="preserve">Ishihara response: 3×4 number pad on the tablet (no text input) + "No response" option per plate</w:t>
      </w:r>
    </w:p>
    <w:p>
      <w:pPr>
        <w:spacing w:after="60"/>
        <w:ind w:left="360"/>
      </w:pPr>
      <w:r>
        <w:rPr>
          <w:rFonts w:ascii="Nunito Sans" w:hAnsi="Nunito Sans"/>
          <w:sz w:val="22"/>
          <w:szCs w:val="22"/>
        </w:rPr>
        <w:t xml:space="preserve">•  </w:t>
      </w:r>
      <w:r>
        <w:rPr>
          <w:rFonts w:ascii="Nunito Sans" w:hAnsi="Nunito Sans"/>
          <w:sz w:val="22"/>
          <w:szCs w:val="22"/>
        </w:rPr>
        <w:t xml:space="preserve">D-15: 16 Munsell V5/C4 sRGB-approximation caps, near-constant luminance, drag-to-reorder arrangement</w:t>
      </w:r>
    </w:p>
    <w:p>
      <w:pPr>
        <w:spacing w:after="60"/>
        <w:ind w:left="360"/>
      </w:pPr>
      <w:r>
        <w:rPr>
          <w:rFonts w:ascii="Nunito Sans" w:hAnsi="Nunito Sans"/>
          <w:sz w:val="22"/>
          <w:szCs w:val="22"/>
        </w:rPr>
        <w:t xml:space="preserve">•  </w:t>
      </w:r>
      <w:r>
        <w:rPr>
          <w:rFonts w:ascii="Nunito Sans" w:hAnsi="Nunito Sans"/>
          <w:sz w:val="22"/>
          <w:szCs w:val="22"/>
        </w:rPr>
        <w:t xml:space="preserve">Cap numbers hidden during arrangement (so the test is solved by hue discrimination, not by reading numbers)</w:t>
      </w:r>
    </w:p>
    <w:p>
      <w:pPr>
        <w:spacing w:after="60"/>
        <w:ind w:left="360"/>
      </w:pPr>
      <w:r>
        <w:rPr>
          <w:rFonts w:ascii="Nunito Sans" w:hAnsi="Nunito Sans"/>
          <w:sz w:val="22"/>
          <w:szCs w:val="22"/>
        </w:rPr>
        <w:t xml:space="preserve">•  </w:t>
      </w:r>
      <w:r>
        <w:rPr>
          <w:rFonts w:ascii="Nunito Sans" w:hAnsi="Nunito Sans"/>
          <w:sz w:val="22"/>
          <w:szCs w:val="22"/>
        </w:rPr>
        <w:t xml:space="preserve">SVG polar plot of patient's sequence vs. ideal sequence</w:t>
      </w:r>
    </w:p>
    <w:p>
      <w:pPr>
        <w:spacing w:after="60"/>
        <w:ind w:left="360"/>
      </w:pPr>
      <w:r>
        <w:rPr>
          <w:rFonts w:ascii="Nunito Sans" w:hAnsi="Nunito Sans"/>
          <w:sz w:val="22"/>
          <w:szCs w:val="22"/>
        </w:rPr>
        <w:t xml:space="preserve">•  </w:t>
      </w:r>
      <w:r>
        <w:rPr>
          <w:rFonts w:ascii="Nunito Sans" w:hAnsi="Nunito Sans"/>
          <w:sz w:val="22"/>
          <w:szCs w:val="22"/>
        </w:rPr>
        <w:t xml:space="preserve">Three-band classification (AAO-style): Normal color vision / Borderline / Deficiency detected</w:t>
      </w:r>
    </w:p>
    <w:p>
      <w:pPr>
        <w:spacing w:after="60"/>
        <w:ind w:left="360"/>
      </w:pPr>
      <w:r>
        <w:rPr>
          <w:rFonts w:ascii="Nunito Sans" w:hAnsi="Nunito Sans"/>
          <w:sz w:val="22"/>
          <w:szCs w:val="22"/>
        </w:rPr>
        <w:t xml:space="preserve">•  </w:t>
      </w:r>
      <w:r>
        <w:rPr>
          <w:rFonts w:ascii="Nunito Sans" w:hAnsi="Nunito Sans"/>
          <w:sz w:val="22"/>
          <w:szCs w:val="22"/>
        </w:rPr>
        <w:t xml:space="preserve">Report shows per-eye polar diagnostic plot, plate-by-plate results table, D-15 scoring metrics</w:t>
      </w:r>
    </w:p>
    <w:p>
      <w:pPr>
        <w:spacing w:before="240" w:after="80"/>
      </w:pPr>
      <w:r>
        <w:rPr>
          <w:rFonts w:ascii="Nunito Sans" w:hAnsi="Nunito Sans"/>
          <w:b/>
          <w:sz w:val="24"/>
          <w:szCs w:val="24"/>
        </w:rPr>
        <w:t xml:space="preserve">What we'd like the panel to evaluate</w:t>
      </w:r>
    </w:p>
    <w:p>
      <w:pPr>
        <w:spacing w:after="60"/>
        <w:ind w:left="360"/>
      </w:pPr>
      <w:r>
        <w:rPr>
          <w:rFonts w:ascii="Nunito Sans" w:hAnsi="Nunito Sans"/>
          <w:sz w:val="22"/>
          <w:szCs w:val="22"/>
        </w:rPr>
        <w:t xml:space="preserve">•  </w:t>
      </w:r>
      <w:r>
        <w:rPr>
          <w:rFonts w:ascii="Nunito Sans" w:hAnsi="Nunito Sans"/>
          <w:sz w:val="22"/>
          <w:szCs w:val="22"/>
        </w:rPr>
        <w:t xml:space="preserve">Does the cap palette look clinically credible to you when rendered on the tablet?</w:t>
      </w:r>
    </w:p>
    <w:p>
      <w:pPr>
        <w:spacing w:after="60"/>
        <w:ind w:left="360"/>
      </w:pPr>
      <w:r>
        <w:rPr>
          <w:rFonts w:ascii="Nunito Sans" w:hAnsi="Nunito Sans"/>
          <w:sz w:val="22"/>
          <w:szCs w:val="22"/>
        </w:rPr>
        <w:t xml:space="preserve">•  </w:t>
      </w:r>
      <w:r>
        <w:rPr>
          <w:rFonts w:ascii="Nunito Sans" w:hAnsi="Nunito Sans"/>
          <w:sz w:val="22"/>
          <w:szCs w:val="22"/>
        </w:rPr>
        <w:t xml:space="preserve">Is the 3-band classification (Normal / Borderline / Deficiency) the right summarization, or do you prefer 4-band?</w:t>
      </w:r>
    </w:p>
    <w:p>
      <w:pPr>
        <w:spacing w:after="60"/>
        <w:ind w:left="360"/>
      </w:pPr>
      <w:r>
        <w:rPr>
          <w:rFonts w:ascii="Nunito Sans" w:hAnsi="Nunito Sans"/>
          <w:sz w:val="22"/>
          <w:szCs w:val="22"/>
        </w:rPr>
        <w:t xml:space="preserve">•  </w:t>
      </w:r>
      <w:r>
        <w:rPr>
          <w:rFonts w:ascii="Nunito Sans" w:hAnsi="Nunito Sans"/>
          <w:sz w:val="22"/>
          <w:szCs w:val="22"/>
        </w:rPr>
        <w:t xml:space="preserve">Is the test order (OD → OS → OU as three discrete runs) consistent with how you'd run color vision in practice?</w:t>
      </w:r>
    </w:p>
    <w:p>
      <w:pPr>
        <w:spacing w:after="0"/>
      </w:pPr>
    </w:p>
    <w:p>
      <w:pPr>
        <w:spacing w:before="240" w:after="80"/>
      </w:pPr>
      <w:r>
        <w:rPr>
          <w:rFonts w:ascii="Nunito Sans" w:hAnsi="Nunito Sans"/>
          <w:b/>
          <w:sz w:val="28"/>
          <w:szCs w:val="28"/>
        </w:rPr>
        <w:t xml:space="preserve">3. Visual Fields</w:t>
      </w:r>
    </w:p>
    <w:p>
      <w:pPr>
        <w:spacing w:before="240" w:after="80"/>
      </w:pPr>
      <w:r>
        <w:rPr>
          <w:rFonts w:ascii="Nunito Sans" w:hAnsi="Nunito Sans"/>
          <w:b/>
          <w:sz w:val="24"/>
          <w:szCs w:val="24"/>
        </w:rPr>
        <w:t xml:space="preserve">Clinical purpose</w:t>
      </w:r>
    </w:p>
    <w:p>
      <w:pPr>
        <w:spacing w:after="120"/>
      </w:pPr>
      <w:r>
        <w:rPr>
          <w:rFonts w:ascii="Nunito Sans" w:hAnsi="Nunito Sans"/>
          <w:sz w:val="22"/>
          <w:szCs w:val="22"/>
        </w:rPr>
        <w:t xml:space="preserve">Map peripheral and central visual field sensitivity to detect glaucomatous defects, neurological field loss, and other patterns of visual field abnormality.</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Humphrey Field Analyzer (HFA) protocols — the global gold standard for automated perimetry. Background luminance 31.5 apostilbs (≈ 10 cd/m²). Strategies and patterns mirror the HFA II / HFA III instrument lineup.</w:t>
      </w:r>
    </w:p>
    <w:p>
      <w:pPr>
        <w:spacing w:before="240" w:after="80"/>
      </w:pPr>
      <w:r>
        <w:rPr>
          <w:rFonts w:ascii="Nunito Sans" w:hAnsi="Nunito Sans"/>
          <w:b/>
          <w:sz w:val="24"/>
          <w:szCs w:val="24"/>
        </w:rPr>
        <w:t xml:space="preserve">What the UI does</w:t>
      </w:r>
    </w:p>
    <w:p>
      <w:pPr>
        <w:spacing w:after="60"/>
        <w:ind w:left="360"/>
      </w:pPr>
      <w:r>
        <w:rPr>
          <w:rFonts w:ascii="Nunito Sans" w:hAnsi="Nunito Sans"/>
          <w:sz w:val="22"/>
          <w:szCs w:val="22"/>
        </w:rPr>
        <w:t xml:space="preserve">•  </w:t>
      </w:r>
      <w:r>
        <w:rPr>
          <w:rFonts w:ascii="Nunito Sans" w:hAnsi="Nunito Sans"/>
          <w:sz w:val="22"/>
          <w:szCs w:val="22"/>
        </w:rPr>
        <w:t xml:space="preserve">Eye sequence: OD-first bilateral by default (user-tweakable to OS-first). Binocular-by-design patterns (Esterman, mEsterman, FDP, cFDP) always run as a single OU</w:t>
      </w:r>
    </w:p>
    <w:p>
      <w:pPr>
        <w:spacing w:after="60"/>
        <w:ind w:left="360"/>
      </w:pPr>
      <w:r>
        <w:rPr>
          <w:rFonts w:ascii="Nunito Sans" w:hAnsi="Nunito Sans"/>
          <w:sz w:val="22"/>
          <w:szCs w:val="22"/>
        </w:rPr>
        <w:t xml:space="preserve">•  </w:t>
      </w:r>
      <w:r>
        <w:rPr>
          <w:rFonts w:ascii="Nunito Sans" w:hAnsi="Nunito Sans"/>
          <w:sz w:val="22"/>
          <w:szCs w:val="22"/>
        </w:rPr>
        <w:t xml:space="preserve">Monocular patterns available: 10-1, 10-2, 24-1, 24-2, 30-2, Screening, Goldmann</w:t>
      </w:r>
    </w:p>
    <w:p>
      <w:pPr>
        <w:spacing w:after="60"/>
        <w:ind w:left="360"/>
      </w:pPr>
      <w:r>
        <w:rPr>
          <w:rFonts w:ascii="Nunito Sans" w:hAnsi="Nunito Sans"/>
          <w:sz w:val="22"/>
          <w:szCs w:val="22"/>
        </w:rPr>
        <w:t xml:space="preserve">•  </w:t>
      </w:r>
      <w:r>
        <w:rPr>
          <w:rFonts w:ascii="Nunito Sans" w:hAnsi="Nunito Sans"/>
          <w:sz w:val="22"/>
          <w:szCs w:val="22"/>
        </w:rPr>
        <w:t xml:space="preserve">Binocular patterns available: Functional Esterman (DVLA/DMV driving fitness), Modified Esterman (Central), FDP, Combined FDP Mode</w:t>
      </w:r>
    </w:p>
    <w:p>
      <w:pPr>
        <w:spacing w:after="60"/>
        <w:ind w:left="360"/>
      </w:pPr>
      <w:r>
        <w:rPr>
          <w:rFonts w:ascii="Nunito Sans" w:hAnsi="Nunito Sans"/>
          <w:sz w:val="22"/>
          <w:szCs w:val="22"/>
        </w:rPr>
        <w:t xml:space="preserve">•  </w:t>
      </w:r>
      <w:r>
        <w:rPr>
          <w:rFonts w:ascii="Nunito Sans" w:hAnsi="Nunito Sans"/>
          <w:sz w:val="22"/>
          <w:szCs w:val="22"/>
        </w:rPr>
        <w:t xml:space="preserve">Strategies: SITA-Standard, SITA-Fast (default), SITA-Faster, Full Threshold</w:t>
      </w:r>
    </w:p>
    <w:p>
      <w:pPr>
        <w:spacing w:after="60"/>
        <w:ind w:left="360"/>
      </w:pPr>
      <w:r>
        <w:rPr>
          <w:rFonts w:ascii="Nunito Sans" w:hAnsi="Nunito Sans"/>
          <w:sz w:val="22"/>
          <w:szCs w:val="22"/>
        </w:rPr>
        <w:t xml:space="preserve">•  </w:t>
      </w:r>
      <w:r>
        <w:rPr>
          <w:rFonts w:ascii="Nunito Sans" w:hAnsi="Nunito Sans"/>
          <w:sz w:val="22"/>
          <w:szCs w:val="22"/>
        </w:rPr>
        <w:t xml:space="preserve">Stimulus sizes: Goldmann III (default, 4 mm² at 1/3 m) and Goldmann V (64 mm²)</w:t>
      </w:r>
    </w:p>
    <w:p>
      <w:pPr>
        <w:spacing w:after="60"/>
        <w:ind w:left="360"/>
      </w:pPr>
      <w:r>
        <w:rPr>
          <w:rFonts w:ascii="Nunito Sans" w:hAnsi="Nunito Sans"/>
          <w:sz w:val="22"/>
          <w:szCs w:val="22"/>
        </w:rPr>
        <w:t xml:space="preserve">•  </w:t>
      </w:r>
      <w:r>
        <w:rPr>
          <w:rFonts w:ascii="Nunito Sans" w:hAnsi="Nunito Sans"/>
          <w:sz w:val="22"/>
          <w:szCs w:val="22"/>
        </w:rPr>
        <w:t xml:space="preserve">Foveal threshold calibration before test start, surfaced on the report's central diagram</w:t>
      </w:r>
    </w:p>
    <w:p>
      <w:pPr>
        <w:spacing w:after="60"/>
        <w:ind w:left="360"/>
      </w:pPr>
      <w:r>
        <w:rPr>
          <w:rFonts w:ascii="Nunito Sans" w:hAnsi="Nunito Sans"/>
          <w:sz w:val="22"/>
          <w:szCs w:val="22"/>
        </w:rPr>
        <w:t xml:space="preserve">•  </w:t>
      </w:r>
      <w:r>
        <w:rPr>
          <w:rFonts w:ascii="Nunito Sans" w:hAnsi="Nunito Sans"/>
          <w:b/>
          <w:sz w:val="22"/>
          <w:szCs w:val="22"/>
        </w:rPr>
        <w:t xml:space="preserve">GHT (Glaucoma Hemifield Test)</w:t>
      </w:r>
      <w:r>
        <w:rPr>
          <w:rFonts w:ascii="Nunito Sans" w:hAnsi="Nunito Sans"/>
          <w:sz w:val="22"/>
          <w:szCs w:val="22"/>
        </w:rPr>
        <w:t xml:space="preserve"> result per eye in five categories: Within Normal Limits / Borderline / Outside Normal Limits / General Reduction of Sensitivity / Abnormally High Sensitivity</w:t>
      </w:r>
    </w:p>
    <w:p>
      <w:pPr>
        <w:spacing w:after="60"/>
        <w:ind w:left="360"/>
      </w:pPr>
      <w:r>
        <w:rPr>
          <w:rFonts w:ascii="Nunito Sans" w:hAnsi="Nunito Sans"/>
          <w:sz w:val="22"/>
          <w:szCs w:val="22"/>
        </w:rPr>
        <w:t xml:space="preserve">•  </w:t>
      </w:r>
      <w:r>
        <w:rPr>
          <w:rFonts w:ascii="Nunito Sans" w:hAnsi="Nunito Sans"/>
          <w:b/>
          <w:sz w:val="22"/>
          <w:szCs w:val="22"/>
        </w:rPr>
        <w:t xml:space="preserve">Probability plots:</w:t>
      </w:r>
      <w:r>
        <w:rPr>
          <w:rFonts w:ascii="Nunito Sans" w:hAnsi="Nunito Sans"/>
          <w:sz w:val="22"/>
          <w:szCs w:val="22"/>
        </w:rPr>
        <w:t xml:space="preserve"> Total Deviation and Pattern Deviation with HFA-style symbols</w:t>
      </w:r>
    </w:p>
    <w:p>
      <w:pPr>
        <w:spacing w:after="60"/>
        <w:ind w:left="360"/>
      </w:pPr>
      <w:r>
        <w:rPr>
          <w:rFonts w:ascii="Nunito Sans" w:hAnsi="Nunito Sans"/>
          <w:sz w:val="22"/>
          <w:szCs w:val="22"/>
        </w:rPr>
        <w:t xml:space="preserve">•  </w:t>
      </w:r>
      <w:r>
        <w:rPr>
          <w:rFonts w:ascii="Nunito Sans" w:hAnsi="Nunito Sans"/>
          <w:b/>
          <w:sz w:val="22"/>
          <w:szCs w:val="22"/>
        </w:rPr>
        <w:t xml:space="preserve">Reliability indices</w:t>
      </w:r>
      <w:r>
        <w:rPr>
          <w:rFonts w:ascii="Nunito Sans" w:hAnsi="Nunito Sans"/>
          <w:sz w:val="22"/>
          <w:szCs w:val="22"/>
        </w:rPr>
        <w:t xml:space="preserve"> (FP / FN / FL) banded to HFA's actual XX-flag thresholds. A Strict preset is selectable</w:t>
      </w:r>
    </w:p>
    <w:p>
      <w:pPr>
        <w:spacing w:after="60"/>
        <w:ind w:left="360"/>
      </w:pPr>
      <w:r>
        <w:rPr>
          <w:rFonts w:ascii="Nunito Sans" w:hAnsi="Nunito Sans"/>
          <w:sz w:val="22"/>
          <w:szCs w:val="22"/>
        </w:rPr>
        <w:t xml:space="preserve">•  </w:t>
      </w:r>
      <w:r>
        <w:rPr>
          <w:rFonts w:ascii="Nunito Sans" w:hAnsi="Nunito Sans"/>
          <w:b/>
          <w:sz w:val="22"/>
          <w:szCs w:val="22"/>
        </w:rPr>
        <w:t xml:space="preserve">Clinical override rule:</w:t>
      </w:r>
      <w:r>
        <w:rPr>
          <w:rFonts w:ascii="Nunito Sans" w:hAnsi="Nunito Sans"/>
          <w:sz w:val="22"/>
          <w:szCs w:val="22"/>
        </w:rPr>
        <w:t xml:space="preserve"> if any eye returns GHT "Outside Normal Limits" or "General Reduction," the patient classification is forced up at least one severity band even if MD is within normal limits — the standard clinical reading rule for early glaucoma</w:t>
      </w:r>
    </w:p>
    <w:p>
      <w:pPr>
        <w:spacing w:after="60"/>
        <w:ind w:left="360"/>
      </w:pPr>
      <w:r>
        <w:rPr>
          <w:rFonts w:ascii="Nunito Sans" w:hAnsi="Nunito Sans"/>
          <w:sz w:val="22"/>
          <w:szCs w:val="22"/>
        </w:rPr>
        <w:t xml:space="preserve">•  </w:t>
      </w:r>
      <w:r>
        <w:rPr>
          <w:rFonts w:ascii="Nunito Sans" w:hAnsi="Nunito Sans"/>
          <w:sz w:val="22"/>
          <w:szCs w:val="22"/>
        </w:rPr>
        <w:t xml:space="preserve">Report shows MD, PSD, VFI per eye color-coded by Hodapp-Anderson-Parrish bands, age-banded reference MD table (20–30: −0.3 dB → 80+: −3.6 dB), and per-eye result cards with cumulative worst-eye classification</w:t>
      </w:r>
    </w:p>
    <w:p>
      <w:pPr>
        <w:spacing w:before="240" w:after="80"/>
      </w:pPr>
      <w:r>
        <w:rPr>
          <w:rFonts w:ascii="Nunito Sans" w:hAnsi="Nunito Sans"/>
          <w:b/>
          <w:sz w:val="24"/>
          <w:szCs w:val="24"/>
        </w:rPr>
        <w:t xml:space="preserve">What we'd like the panel to evaluate</w:t>
      </w:r>
    </w:p>
    <w:p>
      <w:pPr>
        <w:spacing w:after="60"/>
        <w:ind w:left="360"/>
      </w:pPr>
      <w:r>
        <w:rPr>
          <w:rFonts w:ascii="Nunito Sans" w:hAnsi="Nunito Sans"/>
          <w:sz w:val="22"/>
          <w:szCs w:val="22"/>
        </w:rPr>
        <w:t xml:space="preserve">•  </w:t>
      </w:r>
      <w:r>
        <w:rPr>
          <w:rFonts w:ascii="Nunito Sans" w:hAnsi="Nunito Sans"/>
          <w:sz w:val="22"/>
          <w:szCs w:val="22"/>
        </w:rPr>
        <w:t xml:space="preserve">Are the pattern and strategy options the ones you'd actually use in practice?</w:t>
      </w:r>
    </w:p>
    <w:p>
      <w:pPr>
        <w:spacing w:after="60"/>
        <w:ind w:left="360"/>
      </w:pPr>
      <w:r>
        <w:rPr>
          <w:rFonts w:ascii="Nunito Sans" w:hAnsi="Nunito Sans"/>
          <w:sz w:val="22"/>
          <w:szCs w:val="22"/>
        </w:rPr>
        <w:t xml:space="preserve">•  </w:t>
      </w:r>
      <w:r>
        <w:rPr>
          <w:rFonts w:ascii="Nunito Sans" w:hAnsi="Nunito Sans"/>
          <w:sz w:val="22"/>
          <w:szCs w:val="22"/>
        </w:rPr>
        <w:t xml:space="preserve">Is the GHT result + override rule reading correctly as you'd expect?</w:t>
      </w:r>
    </w:p>
    <w:p>
      <w:pPr>
        <w:spacing w:after="60"/>
        <w:ind w:left="360"/>
      </w:pPr>
      <w:r>
        <w:rPr>
          <w:rFonts w:ascii="Nunito Sans" w:hAnsi="Nunito Sans"/>
          <w:sz w:val="22"/>
          <w:szCs w:val="22"/>
        </w:rPr>
        <w:t xml:space="preserve">•  </w:t>
      </w:r>
      <w:r>
        <w:rPr>
          <w:rFonts w:ascii="Nunito Sans" w:hAnsi="Nunito Sans"/>
          <w:sz w:val="22"/>
          <w:szCs w:val="22"/>
        </w:rPr>
        <w:t xml:space="preserve">Does the age-banded reference table belong in the report, or is it noise?</w:t>
      </w:r>
    </w:p>
    <w:p>
      <w:pPr>
        <w:spacing w:after="60"/>
        <w:ind w:left="360"/>
      </w:pPr>
      <w:r>
        <w:rPr>
          <w:rFonts w:ascii="Nunito Sans" w:hAnsi="Nunito Sans"/>
          <w:sz w:val="22"/>
          <w:szCs w:val="22"/>
        </w:rPr>
        <w:t xml:space="preserve">•  </w:t>
      </w:r>
      <w:r>
        <w:rPr>
          <w:rFonts w:ascii="Nunito Sans" w:hAnsi="Nunito Sans"/>
          <w:sz w:val="22"/>
          <w:szCs w:val="22"/>
        </w:rPr>
        <w:t xml:space="preserve">Reliability index bands — are Standard / Strict thresholds calibrated to what you'd consider clinically acceptable?</w:t>
      </w:r>
    </w:p>
    <w:p>
      <w:pPr>
        <w:spacing w:after="0"/>
      </w:pPr>
    </w:p>
    <w:p>
      <w:pPr>
        <w:spacing w:before="240" w:after="80"/>
      </w:pPr>
      <w:r>
        <w:rPr>
          <w:rFonts w:ascii="Nunito Sans" w:hAnsi="Nunito Sans"/>
          <w:b/>
          <w:sz w:val="28"/>
          <w:szCs w:val="28"/>
        </w:rPr>
        <w:t xml:space="preserve">4. Wavefront Aberrometry</w:t>
      </w:r>
    </w:p>
    <w:p>
      <w:pPr>
        <w:spacing w:before="240" w:after="80"/>
      </w:pPr>
      <w:r>
        <w:rPr>
          <w:rFonts w:ascii="Nunito Sans" w:hAnsi="Nunito Sans"/>
          <w:b/>
          <w:sz w:val="24"/>
          <w:szCs w:val="24"/>
        </w:rPr>
        <w:t xml:space="preserve">Clinical purpose</w:t>
      </w:r>
    </w:p>
    <w:p>
      <w:pPr>
        <w:spacing w:after="120"/>
      </w:pPr>
      <w:r>
        <w:rPr>
          <w:rFonts w:ascii="Nunito Sans" w:hAnsi="Nunito Sans"/>
          <w:sz w:val="22"/>
          <w:szCs w:val="22"/>
        </w:rPr>
        <w:t xml:space="preserve">Map the optical aberrations of the entire eye — lower-order (defocus, astigmatism) and higher-order (coma, trefoil, spherical aberration) — to inform contact lens fitting, refractive surgery candidacy, IOL planning, and unexplained reduced BCVA workup.</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Hartmann-Shack wavefront sensor output mapped to Zernike polynomial coefficients (OSA / ANSI ordering convention). Reference range for higher-order aberrations (HOAs) is calibrated to a 6.0 mm analysis diameter per industry standard (NIDEK OPD-Scan, iDesign, Alcon WaveLight).</w:t>
      </w:r>
    </w:p>
    <w:p>
      <w:pPr>
        <w:spacing w:before="240" w:after="80"/>
      </w:pPr>
      <w:r>
        <w:rPr>
          <w:rFonts w:ascii="Nunito Sans" w:hAnsi="Nunito Sans"/>
          <w:b/>
          <w:sz w:val="24"/>
          <w:szCs w:val="24"/>
        </w:rPr>
        <w:t xml:space="preserve">What the UI does</w:t>
      </w:r>
    </w:p>
    <w:p>
      <w:pPr>
        <w:spacing w:after="60"/>
        <w:ind w:left="360"/>
      </w:pPr>
      <w:r>
        <w:rPr>
          <w:rFonts w:ascii="Nunito Sans" w:hAnsi="Nunito Sans"/>
          <w:sz w:val="22"/>
          <w:szCs w:val="22"/>
        </w:rPr>
        <w:t xml:space="preserve">•  </w:t>
      </w:r>
      <w:r>
        <w:rPr>
          <w:rFonts w:ascii="Nunito Sans" w:hAnsi="Nunito Sans"/>
          <w:sz w:val="22"/>
          <w:szCs w:val="22"/>
        </w:rPr>
        <w:t xml:space="preserve">Eye sequence: OD-first bilateral, OU runs OD then OS as two discrete captures with full-screen transition prompt</w:t>
      </w:r>
    </w:p>
    <w:p>
      <w:pPr>
        <w:spacing w:after="60"/>
        <w:ind w:left="360"/>
      </w:pPr>
      <w:r>
        <w:rPr>
          <w:rFonts w:ascii="Nunito Sans" w:hAnsi="Nunito Sans"/>
          <w:sz w:val="22"/>
          <w:szCs w:val="22"/>
        </w:rPr>
        <w:t xml:space="preserve">•  </w:t>
      </w:r>
      <w:r>
        <w:rPr>
          <w:rFonts w:ascii="Nunito Sans" w:hAnsi="Nunito Sans"/>
          <w:sz w:val="22"/>
          <w:szCs w:val="22"/>
        </w:rPr>
        <w:t xml:space="preserve">Three-phase flow: eye selection → init / calibrating / capturing / complete → report</w:t>
      </w:r>
    </w:p>
    <w:p>
      <w:pPr>
        <w:spacing w:after="60"/>
        <w:ind w:left="360"/>
      </w:pPr>
      <w:r>
        <w:rPr>
          <w:rFonts w:ascii="Nunito Sans" w:hAnsi="Nunito Sans"/>
          <w:sz w:val="22"/>
          <w:szCs w:val="22"/>
        </w:rPr>
        <w:t xml:space="preserve">•  </w:t>
      </w:r>
      <w:r>
        <w:rPr>
          <w:rFonts w:ascii="Nunito Sans" w:hAnsi="Nunito Sans"/>
          <w:sz w:val="22"/>
          <w:szCs w:val="22"/>
        </w:rPr>
        <w:t xml:space="preserve">Capture mechanics: 3 measurements averaged per eye (published clinical minimum)</w:t>
      </w:r>
    </w:p>
    <w:p>
      <w:pPr>
        <w:spacing w:after="60"/>
        <w:ind w:left="360"/>
      </w:pPr>
      <w:r>
        <w:rPr>
          <w:rFonts w:ascii="Nunito Sans" w:hAnsi="Nunito Sans"/>
          <w:sz w:val="22"/>
          <w:szCs w:val="22"/>
        </w:rPr>
        <w:t xml:space="preserve">•  </w:t>
      </w:r>
      <w:r>
        <w:rPr>
          <w:rFonts w:ascii="Nunito Sans" w:hAnsi="Nunito Sans"/>
          <w:sz w:val="22"/>
          <w:szCs w:val="22"/>
        </w:rPr>
        <w:t xml:space="preserve">Analysis diameter: 6.0 mm</w:t>
      </w:r>
    </w:p>
    <w:p>
      <w:pPr>
        <w:spacing w:after="60"/>
        <w:ind w:left="360"/>
      </w:pPr>
      <w:r>
        <w:rPr>
          <w:rFonts w:ascii="Nunito Sans" w:hAnsi="Nunito Sans"/>
          <w:sz w:val="22"/>
          <w:szCs w:val="22"/>
        </w:rPr>
        <w:t xml:space="preserve">•  </w:t>
      </w:r>
      <w:r>
        <w:rPr>
          <w:rFonts w:ascii="Nunito Sans" w:hAnsi="Nunito Sans"/>
          <w:sz w:val="22"/>
          <w:szCs w:val="22"/>
        </w:rPr>
        <w:t xml:space="preserve">Axis values: unsigned 0–180°</w:t>
      </w:r>
    </w:p>
    <w:p>
      <w:pPr>
        <w:spacing w:after="60"/>
        <w:ind w:left="360"/>
      </w:pPr>
      <w:r>
        <w:rPr>
          <w:rFonts w:ascii="Nunito Sans" w:hAnsi="Nunito Sans"/>
          <w:sz w:val="22"/>
          <w:szCs w:val="22"/>
        </w:rPr>
        <w:t xml:space="preserve">•  </w:t>
      </w:r>
      <w:r>
        <w:rPr>
          <w:rFonts w:ascii="Nunito Sans" w:hAnsi="Nunito Sans"/>
          <w:sz w:val="22"/>
          <w:szCs w:val="22"/>
        </w:rPr>
        <w:t xml:space="preserve">Spherical aberration in micrometers (μm)</w:t>
      </w:r>
    </w:p>
    <w:p>
      <w:pPr>
        <w:spacing w:after="60"/>
        <w:ind w:left="360"/>
      </w:pPr>
      <w:r>
        <w:rPr>
          <w:rFonts w:ascii="Nunito Sans" w:hAnsi="Nunito Sans"/>
          <w:sz w:val="22"/>
          <w:szCs w:val="22"/>
        </w:rPr>
        <w:t xml:space="preserve">•  </w:t>
      </w:r>
      <w:r>
        <w:rPr>
          <w:rFonts w:ascii="Nunito Sans" w:hAnsi="Nunito Sans"/>
          <w:sz w:val="22"/>
          <w:szCs w:val="22"/>
        </w:rPr>
        <w:t xml:space="preserve">Zernike notation: Z₄⁰ rendered with proper subscript / superscript per OSA / ANSI standard</w:t>
      </w:r>
    </w:p>
    <w:p>
      <w:pPr>
        <w:spacing w:after="60"/>
        <w:ind w:left="360"/>
      </w:pPr>
      <w:r>
        <w:rPr>
          <w:rFonts w:ascii="Nunito Sans" w:hAnsi="Nunito Sans"/>
          <w:sz w:val="22"/>
          <w:szCs w:val="22"/>
        </w:rPr>
        <w:t xml:space="preserve">•  </w:t>
      </w:r>
      <w:r>
        <w:rPr>
          <w:rFonts w:ascii="Nunito Sans" w:hAnsi="Nunito Sans"/>
          <w:sz w:val="22"/>
          <w:szCs w:val="22"/>
        </w:rPr>
        <w:t xml:space="preserve">Primary metrics in the report: Sphere · Cylinder · Axis · Total HOA RMS · Coma RMS</w:t>
      </w:r>
    </w:p>
    <w:p>
      <w:pPr>
        <w:spacing w:after="60"/>
        <w:ind w:left="360"/>
      </w:pPr>
      <w:r>
        <w:rPr>
          <w:rFonts w:ascii="Nunito Sans" w:hAnsi="Nunito Sans"/>
          <w:sz w:val="22"/>
          <w:szCs w:val="22"/>
        </w:rPr>
        <w:t xml:space="preserve">•  </w:t>
      </w:r>
      <w:r>
        <w:rPr>
          <w:rFonts w:ascii="Nunito Sans" w:hAnsi="Nunito Sans"/>
          <w:sz w:val="22"/>
          <w:szCs w:val="22"/>
        </w:rPr>
        <w:t xml:space="preserve">Clinical interpretation thresholds (Applegate / Marsack for 6 mm pupil): Excellent &lt; 0.15 μm · Good &lt; 0.30 μm · Mildly elevated &lt; 0.45 μm · Significantly elevated ≥ 0.45 μm</w:t>
      </w:r>
    </w:p>
    <w:p>
      <w:pPr>
        <w:spacing w:after="60"/>
        <w:ind w:left="360"/>
      </w:pPr>
      <w:r>
        <w:rPr>
          <w:rFonts w:ascii="Nunito Sans" w:hAnsi="Nunito Sans"/>
          <w:sz w:val="22"/>
          <w:szCs w:val="22"/>
        </w:rPr>
        <w:t xml:space="preserve">•  </w:t>
      </w:r>
      <w:r>
        <w:rPr>
          <w:rFonts w:ascii="Nunito Sans" w:hAnsi="Nunito Sans"/>
          <w:sz w:val="22"/>
          <w:szCs w:val="22"/>
        </w:rPr>
        <w:t xml:space="preserve">Elevated-HOA amber flag during capture if HOA RMS &gt; 0.30 μm</w:t>
      </w:r>
    </w:p>
    <w:p>
      <w:pPr>
        <w:spacing w:after="60"/>
        <w:ind w:left="360"/>
      </w:pPr>
      <w:r>
        <w:rPr>
          <w:rFonts w:ascii="Nunito Sans" w:hAnsi="Nunito Sans"/>
          <w:sz w:val="22"/>
          <w:szCs w:val="22"/>
        </w:rPr>
        <w:t xml:space="preserve">•  </w:t>
      </w:r>
      <w:r>
        <w:rPr>
          <w:rFonts w:ascii="Nunito Sans" w:hAnsi="Nunito Sans"/>
          <w:sz w:val="22"/>
          <w:szCs w:val="22"/>
        </w:rPr>
        <w:t xml:space="preserve">Four view types in report: Pupil image · Centroid image · Full wavefront · Higher orders only</w:t>
      </w:r>
    </w:p>
    <w:p>
      <w:pPr>
        <w:spacing w:after="60"/>
        <w:ind w:left="360"/>
      </w:pPr>
      <w:r>
        <w:rPr>
          <w:rFonts w:ascii="Nunito Sans" w:hAnsi="Nunito Sans"/>
          <w:sz w:val="22"/>
          <w:szCs w:val="22"/>
        </w:rPr>
        <w:t xml:space="preserve">•  </w:t>
      </w:r>
      <w:r>
        <w:rPr>
          <w:rFonts w:ascii="Nunito Sans" w:hAnsi="Nunito Sans"/>
          <w:sz w:val="22"/>
          <w:szCs w:val="22"/>
        </w:rPr>
        <w:t xml:space="preserve">Color-scale legend under the wavefront map (−60 μm / 0 / +60 μm)</w:t>
      </w:r>
    </w:p>
    <w:p>
      <w:pPr>
        <w:spacing w:after="60"/>
        <w:ind w:left="360"/>
      </w:pPr>
      <w:r>
        <w:rPr>
          <w:rFonts w:ascii="Nunito Sans" w:hAnsi="Nunito Sans"/>
          <w:sz w:val="22"/>
          <w:szCs w:val="22"/>
        </w:rPr>
        <w:t xml:space="preserve">•  </w:t>
      </w:r>
      <w:r>
        <w:rPr>
          <w:rFonts w:ascii="Nunito Sans" w:hAnsi="Nunito Sans"/>
          <w:sz w:val="22"/>
          <w:szCs w:val="22"/>
        </w:rPr>
        <w:t xml:space="preserve">False-color wavefront convention: blue (negative deviation) → green (zero) → yellow / red / pink (positive). Standard across major commercial aberrometers.</w:t>
      </w:r>
    </w:p>
    <w:p>
      <w:pPr>
        <w:spacing w:before="240" w:after="80"/>
      </w:pPr>
      <w:r>
        <w:rPr>
          <w:rFonts w:ascii="Nunito Sans" w:hAnsi="Nunito Sans"/>
          <w:b/>
          <w:sz w:val="24"/>
          <w:szCs w:val="24"/>
        </w:rPr>
        <w:t xml:space="preserve">What we'd like the panel to evaluate</w:t>
      </w:r>
    </w:p>
    <w:p>
      <w:pPr>
        <w:spacing w:after="60"/>
        <w:ind w:left="360"/>
      </w:pPr>
      <w:r>
        <w:rPr>
          <w:rFonts w:ascii="Nunito Sans" w:hAnsi="Nunito Sans"/>
          <w:sz w:val="22"/>
          <w:szCs w:val="22"/>
        </w:rPr>
        <w:t xml:space="preserve">•  </w:t>
      </w:r>
      <w:r>
        <w:rPr>
          <w:rFonts w:ascii="Nunito Sans" w:hAnsi="Nunito Sans"/>
          <w:sz w:val="22"/>
          <w:szCs w:val="22"/>
        </w:rPr>
        <w:t xml:space="preserve">Is the analysis at 6.0 mm the right default? Should the doctor be able to change it per case?</w:t>
      </w:r>
    </w:p>
    <w:p>
      <w:pPr>
        <w:spacing w:after="60"/>
        <w:ind w:left="360"/>
      </w:pPr>
      <w:r>
        <w:rPr>
          <w:rFonts w:ascii="Nunito Sans" w:hAnsi="Nunito Sans"/>
          <w:sz w:val="22"/>
          <w:szCs w:val="22"/>
        </w:rPr>
        <w:t xml:space="preserve">•  </w:t>
      </w:r>
      <w:r>
        <w:rPr>
          <w:rFonts w:ascii="Nunito Sans" w:hAnsi="Nunito Sans"/>
          <w:sz w:val="22"/>
          <w:szCs w:val="22"/>
        </w:rPr>
        <w:t xml:space="preserve">Are the interpretation thresholds correctly calibrated?</w:t>
      </w:r>
    </w:p>
    <w:p>
      <w:pPr>
        <w:spacing w:after="60"/>
        <w:ind w:left="360"/>
      </w:pPr>
      <w:r>
        <w:rPr>
          <w:rFonts w:ascii="Nunito Sans" w:hAnsi="Nunito Sans"/>
          <w:sz w:val="22"/>
          <w:szCs w:val="22"/>
        </w:rPr>
        <w:t xml:space="preserve">•  </w:t>
      </w:r>
      <w:r>
        <w:rPr>
          <w:rFonts w:ascii="Nunito Sans" w:hAnsi="Nunito Sans"/>
          <w:sz w:val="22"/>
          <w:szCs w:val="22"/>
        </w:rPr>
        <w:t xml:space="preserve">Is "Total HOA RMS" the right summary metric for the dashboard banner, or do you prefer something else?</w:t>
      </w:r>
    </w:p>
    <w:p>
      <w:pPr>
        <w:spacing w:after="60"/>
        <w:ind w:left="360"/>
      </w:pPr>
      <w:r>
        <w:rPr>
          <w:rFonts w:ascii="Nunito Sans" w:hAnsi="Nunito Sans"/>
          <w:sz w:val="22"/>
          <w:szCs w:val="22"/>
        </w:rPr>
        <w:t xml:space="preserve">•  </w:t>
      </w:r>
      <w:r>
        <w:rPr>
          <w:rFonts w:ascii="Nunito Sans" w:hAnsi="Nunito Sans"/>
          <w:sz w:val="22"/>
          <w:szCs w:val="22"/>
        </w:rPr>
        <w:t xml:space="preserve">Is the four-view report layout (Pupil / Centroid / Full Wavefront / Higher Orders Only) useful, or is it information overload?</w:t>
      </w:r>
    </w:p>
    <w:p>
      <w:pPr>
        <w:spacing w:after="0"/>
      </w:pPr>
    </w:p>
    <w:p>
      <w:pPr>
        <w:spacing w:before="240" w:after="80"/>
      </w:pPr>
      <w:r>
        <w:rPr>
          <w:rFonts w:ascii="Nunito Sans" w:hAnsi="Nunito Sans"/>
          <w:b/>
          <w:sz w:val="28"/>
          <w:szCs w:val="28"/>
        </w:rPr>
        <w:t xml:space="preserve">5. Extraocular Motility</w:t>
      </w:r>
    </w:p>
    <w:p>
      <w:pPr>
        <w:spacing w:before="240" w:after="80"/>
      </w:pPr>
      <w:r>
        <w:rPr>
          <w:rFonts w:ascii="Nunito Sans" w:hAnsi="Nunito Sans"/>
          <w:b/>
          <w:sz w:val="24"/>
          <w:szCs w:val="24"/>
        </w:rPr>
        <w:t xml:space="preserve">Clinical purpose</w:t>
      </w:r>
    </w:p>
    <w:p>
      <w:pPr>
        <w:spacing w:after="120"/>
      </w:pPr>
      <w:r>
        <w:rPr>
          <w:rFonts w:ascii="Nunito Sans" w:hAnsi="Nunito Sans"/>
          <w:sz w:val="22"/>
          <w:szCs w:val="22"/>
        </w:rPr>
        <w:t xml:space="preserve">Assess the function of the six extraocular muscles and the three cranial nerves controlling them (CN III oculomotor, CN IV trochlear, CN VI abducens) to detect strabismus, cranial nerve palsy, internuclear ophthalmoplegia, and other ocular motility disorders.</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International EOM grading scale (0 to ±4) — 0 = normal, negative values = underaction, positive values = overaction. Nine cardinal positions of gaze including primary, with primary + secondary muscle / cranial nerve mapping per position.</w:t>
      </w:r>
    </w:p>
    <w:p>
      <w:pPr>
        <w:spacing w:before="240" w:after="80"/>
      </w:pPr>
      <w:r>
        <w:rPr>
          <w:rFonts w:ascii="Nunito Sans" w:hAnsi="Nunito Sans"/>
          <w:b/>
          <w:sz w:val="24"/>
          <w:szCs w:val="24"/>
        </w:rPr>
        <w:t xml:space="preserve">What the UI does</w:t>
      </w:r>
    </w:p>
    <w:p>
      <w:pPr>
        <w:spacing w:after="60"/>
        <w:ind w:left="360"/>
      </w:pPr>
      <w:r>
        <w:rPr>
          <w:rFonts w:ascii="Nunito Sans" w:hAnsi="Nunito Sans"/>
          <w:sz w:val="22"/>
          <w:szCs w:val="22"/>
        </w:rPr>
        <w:t xml:space="preserve">•  </w:t>
      </w:r>
      <w:r>
        <w:rPr>
          <w:rFonts w:ascii="Nunito Sans" w:hAnsi="Nunito Sans"/>
          <w:sz w:val="22"/>
          <w:szCs w:val="22"/>
        </w:rPr>
        <w:t xml:space="preserve">Three-phase flow with sub-test state machine: setup → versions → smooth pursuit → saccades → (conditional ductions-OD then ductions-OS) → report</w:t>
      </w:r>
    </w:p>
    <w:p>
      <w:pPr>
        <w:spacing w:after="60"/>
        <w:ind w:left="360"/>
      </w:pPr>
      <w:r>
        <w:rPr>
          <w:rFonts w:ascii="Nunito Sans" w:hAnsi="Nunito Sans"/>
          <w:sz w:val="22"/>
          <w:szCs w:val="22"/>
        </w:rPr>
        <w:t xml:space="preserve">•  </w:t>
      </w:r>
      <w:r>
        <w:rPr>
          <w:rFonts w:ascii="Nunito Sans" w:hAnsi="Nunito Sans"/>
          <w:b/>
          <w:sz w:val="22"/>
          <w:szCs w:val="22"/>
        </w:rPr>
        <w:t xml:space="preserve">Grading scale:</w:t>
      </w:r>
      <w:r>
        <w:rPr>
          <w:rFonts w:ascii="Nunito Sans" w:hAnsi="Nunito Sans"/>
          <w:sz w:val="22"/>
          <w:szCs w:val="22"/>
        </w:rPr>
        <w:t xml:space="preserve"> 0 to ±4 (0 = full normal range, default-selected, green; −1 ≈ 25% limitation; −2 ≈ 50%; −3 ≈ 75% with eye unable to pass midline; −4 = no movement; +1 to +3 = overaction in three grades)</w:t>
      </w:r>
    </w:p>
    <w:p>
      <w:pPr>
        <w:spacing w:after="60"/>
        <w:ind w:left="360"/>
      </w:pPr>
      <w:r>
        <w:rPr>
          <w:rFonts w:ascii="Nunito Sans" w:hAnsi="Nunito Sans"/>
          <w:sz w:val="22"/>
          <w:szCs w:val="22"/>
        </w:rPr>
        <w:t xml:space="preserve">•  </w:t>
      </w:r>
      <w:r>
        <w:rPr>
          <w:rFonts w:ascii="Nunito Sans" w:hAnsi="Nunito Sans"/>
          <w:b/>
          <w:sz w:val="22"/>
          <w:szCs w:val="22"/>
        </w:rPr>
        <w:t xml:space="preserve">Nine cardinal positions</w:t>
      </w:r>
      <w:r>
        <w:rPr>
          <w:rFonts w:ascii="Nunito Sans" w:hAnsi="Nunito Sans"/>
          <w:sz w:val="22"/>
          <w:szCs w:val="22"/>
        </w:rPr>
        <w:t xml:space="preserve"> with primary AND secondary muscle/CN mapping. The secondary mapping is critical for </w:t>
      </w:r>
      <w:r>
        <w:rPr>
          <w:rFonts w:ascii="Nunito Sans" w:hAnsi="Nunito Sans"/>
          <w:b/>
          <w:sz w:val="22"/>
          <w:szCs w:val="22"/>
        </w:rPr>
        <w:t xml:space="preserve">CN IV (trochlear) detection</w:t>
      </w:r>
      <w:r>
        <w:rPr>
          <w:rFonts w:ascii="Nunito Sans" w:hAnsi="Nunito Sans"/>
          <w:sz w:val="22"/>
          <w:szCs w:val="22"/>
        </w:rPr>
        <w:t xml:space="preserve"> at down-and-in gaze: Down &amp; right tests right inferior rectus (CN III-R) primarily AND left superior oblique (CN IV-L) secondarily; Down &amp; left tests left inferior rectus (CN III-L) primarily AND right superior oblique (CN IV-R) secondarily. Both muscles and both CNs are surfaced in the Versions Results table so isolated CN IV palsy is not missed.</w:t>
      </w:r>
    </w:p>
    <w:p>
      <w:pPr>
        <w:spacing w:after="60"/>
        <w:ind w:left="360"/>
      </w:pPr>
      <w:r>
        <w:rPr>
          <w:rFonts w:ascii="Nunito Sans" w:hAnsi="Nunito Sans"/>
          <w:sz w:val="22"/>
          <w:szCs w:val="22"/>
        </w:rPr>
        <w:t xml:space="preserve">•  </w:t>
      </w:r>
      <w:r>
        <w:rPr>
          <w:rFonts w:ascii="Nunito Sans" w:hAnsi="Nunito Sans"/>
          <w:b/>
          <w:sz w:val="22"/>
          <w:szCs w:val="22"/>
        </w:rPr>
        <w:t xml:space="preserve">H-pattern motility diagram</w:t>
      </w:r>
      <w:r>
        <w:rPr>
          <w:rFonts w:ascii="Nunito Sans" w:hAnsi="Nunito Sans"/>
          <w:sz w:val="22"/>
          <w:szCs w:val="22"/>
        </w:rPr>
        <w:t xml:space="preserve"> (clinical standard) — 9 nodes connected by H-shape lines, color-coded by grade</w:t>
      </w:r>
    </w:p>
    <w:p>
      <w:pPr>
        <w:spacing w:after="60"/>
        <w:ind w:left="360"/>
      </w:pPr>
      <w:r>
        <w:rPr>
          <w:rFonts w:ascii="Nunito Sans" w:hAnsi="Nunito Sans"/>
          <w:sz w:val="22"/>
          <w:szCs w:val="22"/>
        </w:rPr>
        <w:t xml:space="preserve">•  </w:t>
      </w:r>
      <w:r>
        <w:rPr>
          <w:rFonts w:ascii="Nunito Sans" w:hAnsi="Nunito Sans"/>
          <w:b/>
          <w:sz w:val="22"/>
          <w:szCs w:val="22"/>
        </w:rPr>
        <w:t xml:space="preserve">Sub-tests:</w:t>
      </w:r>
      <w:r>
        <w:rPr>
          <w:rFonts w:ascii="Nunito Sans" w:hAnsi="Nunito Sans"/>
          <w:sz w:val="22"/>
          <w:szCs w:val="22"/>
        </w:rPr>
        <w:t xml:space="preserve"> Versions (binocular, all 9 positions — required) · Smooth pursuit (4-option qualitative: Normal / Mildly reduced / Markedly reduced / Absent) · Saccadic assessment (4-option: Normal / Prolonged latency / Hypometric / Hypermetric) · Ductions (monocular, OD then OS — auto-enables when any version grade ≠ 0, can be manually enabled at setup)</w:t>
      </w:r>
    </w:p>
    <w:p>
      <w:pPr>
        <w:spacing w:after="60"/>
        <w:ind w:left="360"/>
      </w:pPr>
      <w:r>
        <w:rPr>
          <w:rFonts w:ascii="Nunito Sans" w:hAnsi="Nunito Sans"/>
          <w:sz w:val="22"/>
          <w:szCs w:val="22"/>
        </w:rPr>
        <w:t xml:space="preserve">•  </w:t>
      </w:r>
      <w:r>
        <w:rPr>
          <w:rFonts w:ascii="Nunito Sans" w:hAnsi="Nunito Sans"/>
          <w:b/>
          <w:sz w:val="22"/>
          <w:szCs w:val="22"/>
        </w:rPr>
        <w:t xml:space="preserve">Clinical interpretation logic</w:t>
      </w:r>
      <w:r>
        <w:rPr>
          <w:rFonts w:ascii="Nunito Sans" w:hAnsi="Nunito Sans"/>
          <w:sz w:val="22"/>
          <w:szCs w:val="22"/>
        </w:rPr>
        <w:t xml:space="preserve"> in the report distinguishes:</w:t>
      </w:r>
    </w:p>
    <w:p>
      <w:pPr>
        <w:spacing w:after="60"/>
        <w:ind w:left="720"/>
      </w:pPr>
      <w:r>
        <w:rPr>
          <w:rFonts w:ascii="Nunito Sans" w:hAnsi="Nunito Sans"/>
          <w:sz w:val="22"/>
          <w:szCs w:val="22"/>
        </w:rPr>
        <w:t xml:space="preserve">•  </w:t>
      </w:r>
      <w:r>
        <w:rPr>
          <w:rFonts w:ascii="Nunito Sans" w:hAnsi="Nunito Sans"/>
          <w:sz w:val="22"/>
          <w:szCs w:val="22"/>
        </w:rPr>
        <w:t xml:space="preserve">Isolated single-muscle underaction → "isolated muscle underaction or cranial nerve palsy" pattern</w:t>
      </w:r>
    </w:p>
    <w:p>
      <w:pPr>
        <w:spacing w:after="60"/>
        <w:ind w:left="720"/>
      </w:pPr>
      <w:r>
        <w:rPr>
          <w:rFonts w:ascii="Nunito Sans" w:hAnsi="Nunito Sans"/>
          <w:sz w:val="22"/>
          <w:szCs w:val="22"/>
        </w:rPr>
        <w:t xml:space="preserve">•  </w:t>
      </w:r>
      <w:r>
        <w:rPr>
          <w:rFonts w:ascii="Nunito Sans" w:hAnsi="Nunito Sans"/>
          <w:sz w:val="22"/>
          <w:szCs w:val="22"/>
        </w:rPr>
        <w:t xml:space="preserve">Multiple underactions → flagged for internuclear ophthalmoplegia / complex CN palsy / restrictive strabismus assessment</w:t>
      </w:r>
    </w:p>
    <w:p>
      <w:pPr>
        <w:spacing w:after="60"/>
        <w:ind w:left="720"/>
      </w:pPr>
      <w:r>
        <w:rPr>
          <w:rFonts w:ascii="Nunito Sans" w:hAnsi="Nunito Sans"/>
          <w:sz w:val="22"/>
          <w:szCs w:val="22"/>
        </w:rPr>
        <w:t xml:space="preserve">•  </w:t>
      </w:r>
      <w:r>
        <w:rPr>
          <w:rFonts w:ascii="Nunito Sans" w:hAnsi="Nunito Sans"/>
          <w:sz w:val="22"/>
          <w:szCs w:val="22"/>
        </w:rPr>
        <w:t xml:space="preserve">Overaction-only → "primary overaction or secondary to contralateral muscle weakness"</w:t>
      </w:r>
    </w:p>
    <w:p>
      <w:pPr>
        <w:spacing w:after="60"/>
        <w:ind w:left="720"/>
      </w:pPr>
      <w:r>
        <w:rPr>
          <w:rFonts w:ascii="Nunito Sans" w:hAnsi="Nunito Sans"/>
          <w:sz w:val="22"/>
          <w:szCs w:val="22"/>
        </w:rPr>
        <w:t xml:space="preserve">•  </w:t>
      </w:r>
      <w:r>
        <w:rPr>
          <w:rFonts w:ascii="Nunito Sans" w:hAnsi="Nunito Sans"/>
          <w:sz w:val="22"/>
          <w:szCs w:val="22"/>
        </w:rPr>
        <w:t xml:space="preserve">Versions full but pursuit/saccades abnormal → neurological causes flagged</w:t>
      </w:r>
    </w:p>
    <w:p>
      <w:pPr>
        <w:spacing w:after="60"/>
        <w:ind w:left="360"/>
      </w:pPr>
      <w:r>
        <w:rPr>
          <w:rFonts w:ascii="Nunito Sans" w:hAnsi="Nunito Sans"/>
          <w:sz w:val="22"/>
          <w:szCs w:val="22"/>
        </w:rPr>
        <w:t xml:space="preserve">•  </w:t>
      </w:r>
      <w:r>
        <w:rPr>
          <w:rFonts w:ascii="Nunito Sans" w:hAnsi="Nunito Sans"/>
          <w:b/>
          <w:sz w:val="22"/>
          <w:szCs w:val="22"/>
        </w:rPr>
        <w:t xml:space="preserve">CN palsy clinical flag</w:t>
      </w:r>
      <w:r>
        <w:rPr>
          <w:rFonts w:ascii="Nunito Sans" w:hAnsi="Nunito Sans"/>
          <w:sz w:val="22"/>
          <w:szCs w:val="22"/>
        </w:rPr>
        <w:t xml:space="preserve"> — prominent red surface with full position / muscle / CN details and neurological-referral copy surfaces automatically whenever any single position grade is ≤ −3</w:t>
      </w:r>
    </w:p>
    <w:p>
      <w:pPr>
        <w:spacing w:before="240" w:after="80"/>
      </w:pPr>
      <w:r>
        <w:rPr>
          <w:rFonts w:ascii="Nunito Sans" w:hAnsi="Nunito Sans"/>
          <w:b/>
          <w:sz w:val="24"/>
          <w:szCs w:val="24"/>
        </w:rPr>
        <w:t xml:space="preserve">What we'd like the panel to evaluate</w:t>
      </w:r>
    </w:p>
    <w:p>
      <w:pPr>
        <w:spacing w:after="60"/>
        <w:ind w:left="360"/>
      </w:pPr>
      <w:r>
        <w:rPr>
          <w:rFonts w:ascii="Nunito Sans" w:hAnsi="Nunito Sans"/>
          <w:sz w:val="22"/>
          <w:szCs w:val="22"/>
        </w:rPr>
        <w:t xml:space="preserve">•  </w:t>
      </w:r>
      <w:r>
        <w:rPr>
          <w:rFonts w:ascii="Nunito Sans" w:hAnsi="Nunito Sans"/>
          <w:sz w:val="22"/>
          <w:szCs w:val="22"/>
        </w:rPr>
        <w:t xml:space="preserve">Does the 0 to ±4 grading scale match how you'd record EOM findings? Specifically: are you accustomed to seeing 0 as "normal" or do some institutions still teach the old 1–5?</w:t>
      </w:r>
    </w:p>
    <w:p>
      <w:pPr>
        <w:spacing w:after="60"/>
        <w:ind w:left="360"/>
      </w:pPr>
      <w:r>
        <w:rPr>
          <w:rFonts w:ascii="Nunito Sans" w:hAnsi="Nunito Sans"/>
          <w:sz w:val="22"/>
          <w:szCs w:val="22"/>
        </w:rPr>
        <w:t xml:space="preserve">•  </w:t>
      </w:r>
      <w:r>
        <w:rPr>
          <w:rFonts w:ascii="Nunito Sans" w:hAnsi="Nunito Sans"/>
          <w:sz w:val="22"/>
          <w:szCs w:val="22"/>
        </w:rPr>
        <w:t xml:space="preserve">Is the H-pattern diagram layout the convention you expect to see in a printed EOM report?</w:t>
      </w:r>
    </w:p>
    <w:p>
      <w:pPr>
        <w:spacing w:after="60"/>
        <w:ind w:left="360"/>
      </w:pPr>
      <w:r>
        <w:rPr>
          <w:rFonts w:ascii="Nunito Sans" w:hAnsi="Nunito Sans"/>
          <w:sz w:val="22"/>
          <w:szCs w:val="22"/>
        </w:rPr>
        <w:t xml:space="preserve">•  </w:t>
      </w:r>
      <w:r>
        <w:rPr>
          <w:rFonts w:ascii="Nunito Sans" w:hAnsi="Nunito Sans"/>
          <w:sz w:val="22"/>
          <w:szCs w:val="22"/>
        </w:rPr>
        <w:t xml:space="preserve">Are the four sub-tests (Versions / Smooth pursuit / Saccades / Ductions) the right scope, or should anything be added or removed?</w:t>
      </w:r>
    </w:p>
    <w:p>
      <w:pPr>
        <w:spacing w:after="60"/>
        <w:ind w:left="360"/>
      </w:pPr>
      <w:r>
        <w:rPr>
          <w:rFonts w:ascii="Nunito Sans" w:hAnsi="Nunito Sans"/>
          <w:sz w:val="22"/>
          <w:szCs w:val="22"/>
        </w:rPr>
        <w:t xml:space="preserve">•  </w:t>
      </w:r>
      <w:r>
        <w:rPr>
          <w:rFonts w:ascii="Nunito Sans" w:hAnsi="Nunito Sans"/>
          <w:sz w:val="22"/>
          <w:szCs w:val="22"/>
        </w:rPr>
        <w:t xml:space="preserve">The auto-enable of ductions when any version grade is non-zero — is that the right trigger logic?</w:t>
      </w:r>
    </w:p>
    <w:p>
      <w:pPr>
        <w:spacing w:after="60"/>
        <w:ind w:left="360"/>
      </w:pPr>
      <w:r>
        <w:rPr>
          <w:rFonts w:ascii="Nunito Sans" w:hAnsi="Nunito Sans"/>
          <w:sz w:val="22"/>
          <w:szCs w:val="22"/>
        </w:rPr>
        <w:t xml:space="preserve">•  </w:t>
      </w:r>
      <w:r>
        <w:rPr>
          <w:rFonts w:ascii="Nunito Sans" w:hAnsi="Nunito Sans"/>
          <w:sz w:val="22"/>
          <w:szCs w:val="22"/>
        </w:rPr>
        <w:t xml:space="preserve">The interpretation banner copy (e.g., "Pattern consistent with isolated muscle underaction or cranial nerve palsy") — does the language read correctly to a doctor reviewing the report?</w:t>
      </w:r>
    </w:p>
    <w:p>
      <w:pPr>
        <w:spacing w:after="0"/>
      </w:pPr>
    </w:p>
    <w:p>
      <w:pPr>
        <w:spacing w:before="240" w:after="80"/>
      </w:pPr>
      <w:r>
        <w:rPr>
          <w:rFonts w:ascii="Nunito Sans" w:hAnsi="Nunito Sans"/>
          <w:b/>
          <w:sz w:val="28"/>
          <w:szCs w:val="28"/>
        </w:rPr>
        <w:t xml:space="preserve">6. Pupillometry</w:t>
      </w:r>
    </w:p>
    <w:p>
      <w:pPr>
        <w:spacing w:before="240" w:after="80"/>
      </w:pPr>
      <w:r>
        <w:rPr>
          <w:rFonts w:ascii="Nunito Sans" w:hAnsi="Nunito Sans"/>
          <w:b/>
          <w:sz w:val="24"/>
          <w:szCs w:val="24"/>
        </w:rPr>
        <w:t xml:space="preserve">Clinical purpose</w:t>
      </w:r>
    </w:p>
    <w:p>
      <w:pPr>
        <w:spacing w:after="120"/>
      </w:pPr>
      <w:r>
        <w:rPr>
          <w:rFonts w:ascii="Nunito Sans" w:hAnsi="Nunito Sans"/>
          <w:sz w:val="22"/>
          <w:szCs w:val="22"/>
        </w:rPr>
        <w:t xml:space="preserve">Measure pupil size under standardized light conditions, capture the dynamic pupillary light reflex, and detect a relative afferent pupillary defect (RAPD). These three measurements together screen for optic nerve disease, autonomic nervous system dysfunction (sympathetic and parasympathetic pathways), and intracranial pathology.</w:t>
      </w:r>
    </w:p>
    <w:p>
      <w:pPr>
        <w:spacing w:before="240" w:after="80"/>
      </w:pPr>
      <w:r>
        <w:rPr>
          <w:rFonts w:ascii="Nunito Sans" w:hAnsi="Nunito Sans"/>
          <w:b/>
          <w:sz w:val="24"/>
          <w:szCs w:val="24"/>
        </w:rPr>
        <w:t xml:space="preserve">Reference standard</w:t>
      </w:r>
    </w:p>
    <w:p>
      <w:pPr>
        <w:spacing w:after="60"/>
        <w:ind w:left="360"/>
      </w:pPr>
      <w:r>
        <w:rPr>
          <w:rFonts w:ascii="Nunito Sans" w:hAnsi="Nunito Sans"/>
          <w:sz w:val="22"/>
          <w:szCs w:val="22"/>
        </w:rPr>
        <w:t xml:space="preserve">•  </w:t>
      </w:r>
      <w:r>
        <w:rPr>
          <w:rFonts w:ascii="Nunito Sans" w:hAnsi="Nunito Sans"/>
          <w:b/>
          <w:sz w:val="22"/>
          <w:szCs w:val="22"/>
        </w:rPr>
        <w:t xml:space="preserve">Static pupil size:</w:t>
      </w:r>
      <w:r>
        <w:rPr>
          <w:rFonts w:ascii="Nunito Sans" w:hAnsi="Nunito Sans"/>
          <w:sz w:val="22"/>
          <w:szCs w:val="22"/>
        </w:rPr>
        <w:t xml:space="preserve"> Winn et al. 1994 age-banded normative data — six age bands (20s through 70+) × three light conditions (scotopic, mesopic, photopic), mean ± 1 SD</w:t>
      </w:r>
    </w:p>
    <w:p>
      <w:pPr>
        <w:spacing w:after="60"/>
        <w:ind w:left="360"/>
      </w:pPr>
      <w:r>
        <w:rPr>
          <w:rFonts w:ascii="Nunito Sans" w:hAnsi="Nunito Sans"/>
          <w:sz w:val="22"/>
          <w:szCs w:val="22"/>
        </w:rPr>
        <w:t xml:space="preserve">•  </w:t>
      </w:r>
      <w:r>
        <w:rPr>
          <w:rFonts w:ascii="Nunito Sans" w:hAnsi="Nunito Sans"/>
          <w:b/>
          <w:sz w:val="22"/>
          <w:szCs w:val="22"/>
        </w:rPr>
        <w:t xml:space="preserve">Anisocoria assessment:</w:t>
      </w:r>
      <w:r>
        <w:rPr>
          <w:rFonts w:ascii="Nunito Sans" w:hAnsi="Nunito Sans"/>
          <w:sz w:val="22"/>
          <w:szCs w:val="22"/>
        </w:rPr>
        <w:t xml:space="preserve"> light-vs-dark differential rule — anisocoria that varies with light condition by ≥ 0.3 mm is pathological (sympathetic if worse-in-dark, parasympathetic if worse-in-light)</w:t>
      </w:r>
    </w:p>
    <w:p>
      <w:pPr>
        <w:spacing w:after="60"/>
        <w:ind w:left="360"/>
      </w:pPr>
      <w:r>
        <w:rPr>
          <w:rFonts w:ascii="Nunito Sans" w:hAnsi="Nunito Sans"/>
          <w:sz w:val="22"/>
          <w:szCs w:val="22"/>
        </w:rPr>
        <w:t xml:space="preserve">•  </w:t>
      </w:r>
      <w:r>
        <w:rPr>
          <w:rFonts w:ascii="Nunito Sans" w:hAnsi="Nunito Sans"/>
          <w:b/>
          <w:sz w:val="22"/>
          <w:szCs w:val="22"/>
        </w:rPr>
        <w:t xml:space="preserve">Dynamic pupillary light reflex (PLR):</w:t>
      </w:r>
      <w:r>
        <w:rPr>
          <w:rFonts w:ascii="Nunito Sans" w:hAnsi="Nunito Sans"/>
          <w:sz w:val="22"/>
          <w:szCs w:val="22"/>
        </w:rPr>
        <w:t xml:space="preserve"> time-course capture of baseline size, peak constriction, latency, constriction velocity, T75 redilation, redilation velocity</w:t>
      </w:r>
    </w:p>
    <w:p>
      <w:pPr>
        <w:spacing w:after="60"/>
        <w:ind w:left="360"/>
      </w:pPr>
      <w:r>
        <w:rPr>
          <w:rFonts w:ascii="Nunito Sans" w:hAnsi="Nunito Sans"/>
          <w:sz w:val="22"/>
          <w:szCs w:val="22"/>
        </w:rPr>
        <w:t xml:space="preserve">•  </w:t>
      </w:r>
      <w:r>
        <w:rPr>
          <w:rFonts w:ascii="Nunito Sans" w:hAnsi="Nunito Sans"/>
          <w:b/>
          <w:sz w:val="22"/>
          <w:szCs w:val="22"/>
        </w:rPr>
        <w:t xml:space="preserve">NPi (Neurological Pupil index):</w:t>
      </w:r>
      <w:r>
        <w:rPr>
          <w:rFonts w:ascii="Nunito Sans" w:hAnsi="Nunito Sans"/>
          <w:sz w:val="22"/>
          <w:szCs w:val="22"/>
        </w:rPr>
        <w:t xml:space="preserve"> 0–5 composite score from NeurOptics NPi-200 reference — ≥ 3.0 normal, &lt; 3.0 abnormal; asymmetry &gt; 0.7 between eyes is a warning sign</w:t>
      </w:r>
    </w:p>
    <w:p>
      <w:pPr>
        <w:spacing w:after="60"/>
        <w:ind w:left="360"/>
      </w:pPr>
      <w:r>
        <w:rPr>
          <w:rFonts w:ascii="Nunito Sans" w:hAnsi="Nunito Sans"/>
          <w:sz w:val="22"/>
          <w:szCs w:val="22"/>
        </w:rPr>
        <w:t xml:space="preserve">•  </w:t>
      </w:r>
      <w:r>
        <w:rPr>
          <w:rFonts w:ascii="Nunito Sans" w:hAnsi="Nunito Sans"/>
          <w:b/>
          <w:sz w:val="22"/>
          <w:szCs w:val="22"/>
        </w:rPr>
        <w:t xml:space="preserve">RAPD (Marcus Gunn pupil) grading:</w:t>
      </w:r>
      <w:r>
        <w:rPr>
          <w:rFonts w:ascii="Nunito Sans" w:hAnsi="Nunito Sans"/>
          <w:sz w:val="22"/>
          <w:szCs w:val="22"/>
        </w:rPr>
        <w:t xml:space="preserve"> None / Trace / 1+ / 2+ / 3+ / 4+ amaurotic — standard clinical grading scale</w:t>
      </w:r>
    </w:p>
    <w:p>
      <w:pPr>
        <w:spacing w:before="240" w:after="80"/>
      </w:pPr>
      <w:r>
        <w:rPr>
          <w:rFonts w:ascii="Nunito Sans" w:hAnsi="Nunito Sans"/>
          <w:b/>
          <w:sz w:val="24"/>
          <w:szCs w:val="24"/>
        </w:rPr>
        <w:t xml:space="preserve">What the UI does</w:t>
      </w:r>
    </w:p>
    <w:p>
      <w:pPr>
        <w:spacing w:after="60"/>
        <w:ind w:left="360"/>
      </w:pPr>
      <w:r>
        <w:rPr>
          <w:rFonts w:ascii="Nunito Sans" w:hAnsi="Nunito Sans"/>
          <w:sz w:val="22"/>
          <w:szCs w:val="22"/>
        </w:rPr>
        <w:t xml:space="preserve">•  </w:t>
      </w:r>
      <w:r>
        <w:rPr>
          <w:rFonts w:ascii="Nunito Sans" w:hAnsi="Nunito Sans"/>
          <w:sz w:val="22"/>
          <w:szCs w:val="22"/>
        </w:rPr>
        <w:t xml:space="preserve">Eye sequence: OD-first bilateral (OD then OS as discrete runs) or OD-only / OS-only at user choice</w:t>
      </w:r>
    </w:p>
    <w:p>
      <w:pPr>
        <w:spacing w:after="60"/>
        <w:ind w:left="360"/>
      </w:pPr>
      <w:r>
        <w:rPr>
          <w:rFonts w:ascii="Nunito Sans" w:hAnsi="Nunito Sans"/>
          <w:sz w:val="22"/>
          <w:szCs w:val="22"/>
        </w:rPr>
        <w:t xml:space="preserve">•  </w:t>
      </w:r>
      <w:r>
        <w:rPr>
          <w:rFonts w:ascii="Nunito Sans" w:hAnsi="Nunito Sans"/>
          <w:sz w:val="22"/>
          <w:szCs w:val="22"/>
        </w:rPr>
        <w:t xml:space="preserve">In-test eye picker, eye-sequence breadcrumb, full-screen transition modal with patient-repositioning copy between eyes</w:t>
      </w:r>
    </w:p>
    <w:p>
      <w:pPr>
        <w:spacing w:after="60"/>
        <w:ind w:left="360"/>
      </w:pPr>
      <w:r>
        <w:rPr>
          <w:rFonts w:ascii="Nunito Sans" w:hAnsi="Nunito Sans"/>
          <w:sz w:val="22"/>
          <w:szCs w:val="22"/>
        </w:rPr>
        <w:t xml:space="preserve">•  </w:t>
      </w:r>
      <w:r>
        <w:rPr>
          <w:rFonts w:ascii="Nunito Sans" w:hAnsi="Nunito Sans"/>
          <w:sz w:val="22"/>
          <w:szCs w:val="22"/>
        </w:rPr>
        <w:t xml:space="preserve">Patient age input on the setup screen — drives the age-banded reference range lookup</w:t>
      </w:r>
    </w:p>
    <w:p>
      <w:pPr>
        <w:spacing w:after="60"/>
        <w:ind w:left="360"/>
      </w:pPr>
      <w:r>
        <w:rPr>
          <w:rFonts w:ascii="Nunito Sans" w:hAnsi="Nunito Sans"/>
          <w:sz w:val="22"/>
          <w:szCs w:val="22"/>
        </w:rPr>
        <w:t xml:space="preserve">•  </w:t>
      </w:r>
      <w:r>
        <w:rPr>
          <w:rFonts w:ascii="Nunito Sans" w:hAnsi="Nunito Sans"/>
          <w:sz w:val="22"/>
          <w:szCs w:val="22"/>
        </w:rPr>
        <w:t xml:space="preserve">Three sub-tests with state machine:</w:t>
      </w:r>
    </w:p>
    <w:p>
      <w:pPr>
        <w:spacing w:after="60"/>
        <w:ind w:left="720"/>
      </w:pPr>
      <w:r>
        <w:rPr>
          <w:rFonts w:ascii="Nunito Sans" w:hAnsi="Nunito Sans"/>
          <w:sz w:val="22"/>
          <w:szCs w:val="22"/>
        </w:rPr>
        <w:t xml:space="preserve">•  </w:t>
      </w:r>
      <w:r>
        <w:rPr>
          <w:rFonts w:ascii="Nunito Sans" w:hAnsi="Nunito Sans"/>
          <w:sz w:val="22"/>
          <w:szCs w:val="22"/>
        </w:rPr>
        <w:t xml:space="preserve">Static pupil size (required) — three light conditions per eye with deviation flags against the age-banded range</w:t>
      </w:r>
    </w:p>
    <w:p>
      <w:pPr>
        <w:spacing w:after="60"/>
        <w:ind w:left="720"/>
      </w:pPr>
      <w:r>
        <w:rPr>
          <w:rFonts w:ascii="Nunito Sans" w:hAnsi="Nunito Sans"/>
          <w:sz w:val="22"/>
          <w:szCs w:val="22"/>
        </w:rPr>
        <w:t xml:space="preserve">•  </w:t>
      </w:r>
      <w:r>
        <w:rPr>
          <w:rFonts w:ascii="Nunito Sans" w:hAnsi="Nunito Sans"/>
          <w:sz w:val="22"/>
          <w:szCs w:val="22"/>
        </w:rPr>
        <w:t xml:space="preserve">Dynamic light reflex (default on) — stimulus-flash animation, live PLR curve chart, summary metric tiles (baseline / min / constriction % / latency / constriction velocity / T75 redilation), NPi computed and surfaced per eye in a prominent severity-coded tile</w:t>
      </w:r>
    </w:p>
    <w:p>
      <w:pPr>
        <w:spacing w:after="60"/>
        <w:ind w:left="720"/>
      </w:pPr>
      <w:r>
        <w:rPr>
          <w:rFonts w:ascii="Nunito Sans" w:hAnsi="Nunito Sans"/>
          <w:sz w:val="22"/>
          <w:szCs w:val="22"/>
        </w:rPr>
        <w:t xml:space="preserve">•  </w:t>
      </w:r>
      <w:r>
        <w:rPr>
          <w:rFonts w:ascii="Nunito Sans" w:hAnsi="Nunito Sans"/>
          <w:sz w:val="22"/>
          <w:szCs w:val="22"/>
        </w:rPr>
        <w:t xml:space="preserve">Swinging flashlight (default on; requires both eyes) — alternating stimulus animation across both eyes, per-eye RAPD grade selector with all six grades exposed</w:t>
      </w:r>
    </w:p>
    <w:p>
      <w:pPr>
        <w:spacing w:after="60"/>
        <w:ind w:left="360"/>
      </w:pPr>
      <w:r>
        <w:rPr>
          <w:rFonts w:ascii="Nunito Sans" w:hAnsi="Nunito Sans"/>
          <w:sz w:val="22"/>
          <w:szCs w:val="22"/>
        </w:rPr>
        <w:t xml:space="preserve">•  </w:t>
      </w:r>
      <w:r>
        <w:rPr>
          <w:rFonts w:ascii="Nunito Sans" w:hAnsi="Nunito Sans"/>
          <w:sz w:val="22"/>
          <w:szCs w:val="22"/>
        </w:rPr>
        <w:t xml:space="preserve">Iris/pupil viewer: animated iris with breathing pupil, calibrated to the active light condition; stimulus flash overlays during dynamic capture and swinging flashlight</w:t>
      </w:r>
    </w:p>
    <w:p>
      <w:pPr>
        <w:spacing w:after="60"/>
        <w:ind w:left="360"/>
      </w:pPr>
      <w:r>
        <w:rPr>
          <w:rFonts w:ascii="Nunito Sans" w:hAnsi="Nunito Sans"/>
          <w:sz w:val="22"/>
          <w:szCs w:val="22"/>
        </w:rPr>
        <w:t xml:space="preserve">•  </w:t>
      </w:r>
      <w:r>
        <w:rPr>
          <w:rFonts w:ascii="Nunito Sans" w:hAnsi="Nunito Sans"/>
          <w:sz w:val="22"/>
          <w:szCs w:val="22"/>
        </w:rPr>
        <w:t xml:space="preserve">Patient Classification banner in the report with worst-finding-drives-bottom-line severity (Normal / Mild / Significant), per-eye NPi summary pills, per-eye RAPD summary pills, and overall anisocoria pill</w:t>
      </w:r>
    </w:p>
    <w:p>
      <w:pPr>
        <w:spacing w:after="60"/>
        <w:ind w:left="360"/>
      </w:pPr>
      <w:r>
        <w:rPr>
          <w:rFonts w:ascii="Nunito Sans" w:hAnsi="Nunito Sans"/>
          <w:sz w:val="22"/>
          <w:szCs w:val="22"/>
        </w:rPr>
        <w:t xml:space="preserve">•  </w:t>
      </w:r>
      <w:r>
        <w:rPr>
          <w:rFonts w:ascii="Nunito Sans" w:hAnsi="Nunito Sans"/>
          <w:sz w:val="22"/>
          <w:szCs w:val="22"/>
        </w:rPr>
        <w:t xml:space="preserve">Static measurements table — 3 light conditions × eyes tested, with age-banded reference range column and dedicated anisocoria row showing the light/dark differential (≥ 0.3 mm flagged as pathological pattern)</w:t>
      </w:r>
    </w:p>
    <w:p>
      <w:pPr>
        <w:spacing w:after="60"/>
        <w:ind w:left="360"/>
      </w:pPr>
      <w:r>
        <w:rPr>
          <w:rFonts w:ascii="Nunito Sans" w:hAnsi="Nunito Sans"/>
          <w:sz w:val="22"/>
          <w:szCs w:val="22"/>
        </w:rPr>
        <w:t xml:space="preserve">•  </w:t>
      </w:r>
      <w:r>
        <w:rPr>
          <w:rFonts w:ascii="Nunito Sans" w:hAnsi="Nunito Sans"/>
          <w:sz w:val="22"/>
          <w:szCs w:val="22"/>
        </w:rPr>
        <w:t xml:space="preserve">Dynamic measurements card per eye — PLR curve chart plus the six summary metrics, with NPi severity pill</w:t>
      </w:r>
    </w:p>
    <w:p>
      <w:pPr>
        <w:spacing w:after="60"/>
        <w:ind w:left="360"/>
      </w:pPr>
      <w:r>
        <w:rPr>
          <w:rFonts w:ascii="Nunito Sans" w:hAnsi="Nunito Sans"/>
          <w:sz w:val="22"/>
          <w:szCs w:val="22"/>
        </w:rPr>
        <w:t xml:space="preserve">•  </w:t>
      </w:r>
      <w:r>
        <w:rPr>
          <w:rFonts w:ascii="Nunito Sans" w:hAnsi="Nunito Sans"/>
          <w:sz w:val="22"/>
          <w:szCs w:val="22"/>
        </w:rPr>
        <w:t xml:space="preserve">RAPD assessment card per eye with full clinical descriptor</w:t>
      </w:r>
    </w:p>
    <w:p>
      <w:pPr>
        <w:spacing w:after="60"/>
        <w:ind w:left="360"/>
      </w:pPr>
      <w:r>
        <w:rPr>
          <w:rFonts w:ascii="Nunito Sans" w:hAnsi="Nunito Sans"/>
          <w:sz w:val="22"/>
          <w:szCs w:val="22"/>
        </w:rPr>
        <w:t xml:space="preserve">•  </w:t>
      </w:r>
      <w:r>
        <w:rPr>
          <w:rFonts w:ascii="Nunito Sans" w:hAnsi="Nunito Sans"/>
          <w:b/>
          <w:sz w:val="22"/>
          <w:szCs w:val="22"/>
        </w:rPr>
        <w:t xml:space="preserve">CN III / Horner's / RAPD clinical flag</w:t>
      </w:r>
      <w:r>
        <w:rPr>
          <w:rFonts w:ascii="Nunito Sans" w:hAnsi="Nunito Sans"/>
          <w:sz w:val="22"/>
          <w:szCs w:val="22"/>
        </w:rPr>
        <w:t xml:space="preserve"> surfaces automatically and prominently when any of: RAPD ≥ 1+ on either eye, anisocoria varies with light condition (sympathetic vs parasympathetic pattern), NPi &lt; 2.5 on either eye. Each pattern emits its own labeled flag with neuro-ophthalmic referral copy.</w:t>
      </w:r>
    </w:p>
    <w:p>
      <w:pPr>
        <w:spacing w:after="60"/>
        <w:ind w:left="360"/>
      </w:pPr>
      <w:r>
        <w:rPr>
          <w:rFonts w:ascii="Nunito Sans" w:hAnsi="Nunito Sans"/>
          <w:sz w:val="22"/>
          <w:szCs w:val="22"/>
        </w:rPr>
        <w:t xml:space="preserve">•  </w:t>
      </w:r>
      <w:r>
        <w:rPr>
          <w:rFonts w:ascii="Nunito Sans" w:hAnsi="Nunito Sans"/>
          <w:sz w:val="22"/>
          <w:szCs w:val="22"/>
        </w:rPr>
        <w:t xml:space="preserve">Clinical Interpretation card with severity tint and finding-by-finding bullet list</w:t>
      </w:r>
    </w:p>
    <w:p>
      <w:pPr>
        <w:spacing w:after="60"/>
        <w:ind w:left="360"/>
      </w:pPr>
      <w:r>
        <w:rPr>
          <w:rFonts w:ascii="Nunito Sans" w:hAnsi="Nunito Sans"/>
          <w:sz w:val="22"/>
          <w:szCs w:val="22"/>
        </w:rPr>
        <w:t xml:space="preserve">•  </w:t>
      </w:r>
      <w:r>
        <w:rPr>
          <w:rFonts w:ascii="Nunito Sans" w:hAnsi="Nunito Sans"/>
          <w:sz w:val="22"/>
          <w:szCs w:val="22"/>
        </w:rPr>
        <w:t xml:space="preserve">Age-banded reference values card so the printed report stands alone</w:t>
      </w:r>
    </w:p>
    <w:p>
      <w:pPr>
        <w:spacing w:after="60"/>
        <w:ind w:left="360"/>
      </w:pPr>
      <w:r>
        <w:rPr>
          <w:rFonts w:ascii="Nunito Sans" w:hAnsi="Nunito Sans"/>
          <w:sz w:val="22"/>
          <w:szCs w:val="22"/>
        </w:rPr>
        <w:t xml:space="preserve">•  </w:t>
      </w:r>
      <w:r>
        <w:rPr>
          <w:rFonts w:ascii="Nunito Sans" w:hAnsi="Nunito Sans"/>
          <w:sz w:val="22"/>
          <w:szCs w:val="22"/>
        </w:rPr>
        <w:t xml:space="preserve">Doctor sign-off label above the Certify &amp; close primary action</w:t>
      </w:r>
    </w:p>
    <w:p>
      <w:pPr>
        <w:spacing w:before="240" w:after="80"/>
      </w:pPr>
      <w:r>
        <w:rPr>
          <w:rFonts w:ascii="Nunito Sans" w:hAnsi="Nunito Sans"/>
          <w:b/>
          <w:sz w:val="24"/>
          <w:szCs w:val="24"/>
        </w:rPr>
        <w:t xml:space="preserve">What we'd like the panel to evaluate</w:t>
      </w:r>
    </w:p>
    <w:p>
      <w:pPr>
        <w:spacing w:after="60"/>
        <w:ind w:left="360"/>
      </w:pPr>
      <w:r>
        <w:rPr>
          <w:rFonts w:ascii="Nunito Sans" w:hAnsi="Nunito Sans"/>
          <w:sz w:val="22"/>
          <w:szCs w:val="22"/>
        </w:rPr>
        <w:t xml:space="preserve">•  </w:t>
      </w:r>
      <w:r>
        <w:rPr>
          <w:rFonts w:ascii="Nunito Sans" w:hAnsi="Nunito Sans"/>
          <w:sz w:val="22"/>
          <w:szCs w:val="22"/>
        </w:rPr>
        <w:t xml:space="preserve">Does the static measurement protocol (three light conditions per eye, captured in sequence with age-banded reference range overlay) match how you'd run static pupillometry?</w:t>
      </w:r>
    </w:p>
    <w:p>
      <w:pPr>
        <w:spacing w:after="60"/>
        <w:ind w:left="360"/>
      </w:pPr>
      <w:r>
        <w:rPr>
          <w:rFonts w:ascii="Nunito Sans" w:hAnsi="Nunito Sans"/>
          <w:sz w:val="22"/>
          <w:szCs w:val="22"/>
        </w:rPr>
        <w:t xml:space="preserve">•  </w:t>
      </w:r>
      <w:r>
        <w:rPr>
          <w:rFonts w:ascii="Nunito Sans" w:hAnsi="Nunito Sans"/>
          <w:sz w:val="22"/>
          <w:szCs w:val="22"/>
        </w:rPr>
        <w:t xml:space="preserve">The light/dark anisocoria differential rule (≥ 0.3 mm variation flags pathology) — is this the right threshold, and is the sympathetic-vs-parasympathetic interpretation copy reading correctly?</w:t>
      </w:r>
    </w:p>
    <w:p>
      <w:pPr>
        <w:spacing w:after="60"/>
        <w:ind w:left="360"/>
      </w:pPr>
      <w:r>
        <w:rPr>
          <w:rFonts w:ascii="Nunito Sans" w:hAnsi="Nunito Sans"/>
          <w:sz w:val="22"/>
          <w:szCs w:val="22"/>
        </w:rPr>
        <w:t xml:space="preserve">•  </w:t>
      </w:r>
      <w:r>
        <w:rPr>
          <w:rFonts w:ascii="Nunito Sans" w:hAnsi="Nunito Sans"/>
          <w:sz w:val="22"/>
          <w:szCs w:val="22"/>
        </w:rPr>
        <w:t xml:space="preserve">NPi thresholds (≥ 3.0 normal, &lt; 2.5 abnormal) and the asymmetry warning — calibrated against NeurOptics NPi-200 reference; does this match your reading practice if you've used the instrument?</w:t>
      </w:r>
    </w:p>
    <w:p>
      <w:pPr>
        <w:spacing w:after="60"/>
        <w:ind w:left="360"/>
      </w:pPr>
      <w:r>
        <w:rPr>
          <w:rFonts w:ascii="Nunito Sans" w:hAnsi="Nunito Sans"/>
          <w:sz w:val="22"/>
          <w:szCs w:val="22"/>
        </w:rPr>
        <w:t xml:space="preserve">•  </w:t>
      </w:r>
      <w:r>
        <w:rPr>
          <w:rFonts w:ascii="Nunito Sans" w:hAnsi="Nunito Sans"/>
          <w:sz w:val="22"/>
          <w:szCs w:val="22"/>
        </w:rPr>
        <w:t xml:space="preserve">RAPD 6-grade scale (None / Trace / 1+ / 2+ / 3+ / 4+) — is the grade-by-grade descriptor copy clinically accurate?</w:t>
      </w:r>
    </w:p>
    <w:p>
      <w:pPr>
        <w:spacing w:after="60"/>
        <w:ind w:left="360"/>
      </w:pPr>
      <w:r>
        <w:rPr>
          <w:rFonts w:ascii="Nunito Sans" w:hAnsi="Nunito Sans"/>
          <w:sz w:val="22"/>
          <w:szCs w:val="22"/>
        </w:rPr>
        <w:t xml:space="preserve">•  </w:t>
      </w:r>
      <w:r>
        <w:rPr>
          <w:rFonts w:ascii="Nunito Sans" w:hAnsi="Nunito Sans"/>
          <w:sz w:val="22"/>
          <w:szCs w:val="22"/>
        </w:rPr>
        <w:t xml:space="preserve">The Clinical Interpretation card's pattern-recognition flags (Horner's sympathetic, CN III parasympathetic, optic nerve RAPD, NPi neuro pattern) — does the auto-surfaced copy read correctly, or does it overstep?</w:t>
      </w:r>
    </w:p>
    <w:p>
      <w:pPr>
        <w:spacing w:before="240" w:after="80"/>
      </w:pPr>
      <w:r>
        <w:rPr>
          <w:rFonts w:ascii="Nunito Sans" w:hAnsi="Nunito Sans"/>
          <w:b/>
          <w:sz w:val="24"/>
          <w:szCs w:val="24"/>
        </w:rPr>
        <w:t xml:space="preserve">What's coming (not yet in the UI)</w:t>
      </w:r>
    </w:p>
    <w:p>
      <w:pPr>
        <w:spacing w:after="120"/>
      </w:pPr>
      <w:r>
        <w:rPr>
          <w:rFonts w:ascii="Nunito Sans" w:hAnsi="Nunito Sans"/>
          <w:sz w:val="22"/>
          <w:szCs w:val="22"/>
        </w:rPr>
        <w:t xml:space="preserve">Real-time dark adaptation countdown (≥ 5 minutes for scotopic measurement validity — currently the firmware is assumed to enforce this), pharmacological testing workflows (cocaine and apraclonidine for Horner's confirmation, pilocarpine for Adie's pupil), and ambient lux measurement readback from the headset interior. These depend on firmware capability confirmation with engineering.</w:t>
      </w:r>
    </w:p>
    <w:p>
      <w:pPr>
        <w:spacing w:after="0"/>
      </w:pPr>
    </w:p>
    <w:p>
      <w:pPr>
        <w:spacing w:before="240" w:after="80"/>
      </w:pPr>
      <w:r>
        <w:rPr>
          <w:rFonts w:ascii="Nunito Sans" w:hAnsi="Nunito Sans"/>
          <w:b/>
          <w:sz w:val="28"/>
          <w:szCs w:val="28"/>
        </w:rPr>
        <w:t xml:space="preserve">7. Wavefront Refraction</w:t>
      </w:r>
    </w:p>
    <w:p>
      <w:pPr>
        <w:spacing w:before="240" w:after="80"/>
      </w:pPr>
      <w:r>
        <w:rPr>
          <w:rFonts w:ascii="Nunito Sans" w:hAnsi="Nunito Sans"/>
          <w:b/>
          <w:sz w:val="24"/>
          <w:szCs w:val="24"/>
        </w:rPr>
        <w:t xml:space="preserve">Clinical purpose</w:t>
      </w:r>
    </w:p>
    <w:p>
      <w:pPr>
        <w:spacing w:after="120"/>
      </w:pPr>
      <w:r>
        <w:rPr>
          <w:rFonts w:ascii="Nunito Sans" w:hAnsi="Nunito Sans"/>
          <w:sz w:val="22"/>
          <w:szCs w:val="22"/>
        </w:rPr>
        <w:t xml:space="preserve">Produce a verified spectacle prescription by combining an objective starting measurement with subjective refinement — the digital replacement for the autorefractor-plus-phoropter workflow. The certified prescription is the output that releases the job to the downstream xoFit fitting/finishing workflow.</w:t>
      </w:r>
    </w:p>
    <w:p>
      <w:pPr>
        <w:spacing w:before="240" w:after="80"/>
      </w:pPr>
      <w:r>
        <w:rPr>
          <w:rFonts w:ascii="Nunito Sans" w:hAnsi="Nunito Sans"/>
          <w:b/>
          <w:sz w:val="24"/>
          <w:szCs w:val="24"/>
        </w:rPr>
        <w:t xml:space="preserve">Reference standard</w:t>
      </w:r>
    </w:p>
    <w:p>
      <w:pPr>
        <w:spacing w:after="60"/>
        <w:ind w:left="360"/>
      </w:pPr>
      <w:r>
        <w:rPr>
          <w:rFonts w:ascii="Nunito Sans" w:hAnsi="Nunito Sans"/>
          <w:sz w:val="22"/>
          <w:szCs w:val="22"/>
        </w:rPr>
        <w:t xml:space="preserve">•  </w:t>
      </w:r>
      <w:r>
        <w:rPr>
          <w:rFonts w:ascii="Nunito Sans" w:hAnsi="Nunito Sans"/>
          <w:b/>
          <w:sz w:val="22"/>
          <w:szCs w:val="22"/>
        </w:rPr>
        <w:t xml:space="preserve">Objective stage:</w:t>
      </w:r>
      <w:r>
        <w:rPr>
          <w:rFonts w:ascii="Nunito Sans" w:hAnsi="Nunito Sans"/>
          <w:sz w:val="22"/>
          <w:szCs w:val="22"/>
        </w:rPr>
        <w:t xml:space="preserve"> wavefront aberrometry used as an autorefractor — the Hartmann-Shack-derived lower-order sphere / cylinder / axis is the objective starting point.</w:t>
      </w:r>
    </w:p>
    <w:p>
      <w:pPr>
        <w:spacing w:after="60"/>
        <w:ind w:left="360"/>
      </w:pPr>
      <w:r>
        <w:rPr>
          <w:rFonts w:ascii="Nunito Sans" w:hAnsi="Nunito Sans"/>
          <w:sz w:val="22"/>
          <w:szCs w:val="22"/>
        </w:rPr>
        <w:t xml:space="preserve">•  </w:t>
      </w:r>
      <w:r>
        <w:rPr>
          <w:rFonts w:ascii="Nunito Sans" w:hAnsi="Nunito Sans"/>
          <w:b/>
          <w:sz w:val="22"/>
          <w:szCs w:val="22"/>
        </w:rPr>
        <w:t xml:space="preserve">Subjective stage:</w:t>
      </w:r>
      <w:r>
        <w:rPr>
          <w:rFonts w:ascii="Nunito Sans" w:hAnsi="Nunito Sans"/>
          <w:sz w:val="22"/>
          <w:szCs w:val="22"/>
        </w:rPr>
        <w:t xml:space="preserve"> standard manifest-refraction methodology on a liquid-lens digital phoropter — Maximum Plus to Maximum Visual Acuity (MPMVA) sphere endpoint, Jackson Cross Cylinder (JCC) for cylinder axis then power, fogging to control accommodation, additive visual-acuity notation.</w:t>
      </w:r>
    </w:p>
    <w:p>
      <w:pPr>
        <w:spacing w:before="60" w:after="120"/>
        <w:ind w:left="360"/>
      </w:pPr>
      <w:r>
        <w:rPr>
          <w:rFonts w:ascii="Nunito Sans" w:hAnsi="Nunito Sans"/>
          <w:b/>
          <w:i/>
          <w:sz w:val="22"/>
          <w:szCs w:val="22"/>
          <w:color w:val="444444"/>
        </w:rPr>
        <w:t xml:space="preserve">This test deliberately makes no clinical claims.</w:t>
      </w:r>
      <w:r>
        <w:rPr>
          <w:rFonts w:ascii="Nunito Sans" w:hAnsi="Nunito Sans"/>
          <w:i/>
          <w:sz w:val="22"/>
          <w:szCs w:val="22"/>
          <w:color w:val="444444"/>
        </w:rPr>
        <w:t xml:space="preserve"> Unlike the other clinically-faithful tests, the report carries no Patient Classification banner and no interpretive language. A refraction is a measurement-and-verification workflow, not a screening — interpretive output is stripped by clinical direction. The Clinical Summary states data only.</w:t>
      </w:r>
    </w:p>
    <w:p>
      <w:pPr>
        <w:spacing w:before="240" w:after="80"/>
      </w:pPr>
      <w:r>
        <w:rPr>
          <w:rFonts w:ascii="Nunito Sans" w:hAnsi="Nunito Sans"/>
          <w:b/>
          <w:sz w:val="24"/>
          <w:szCs w:val="24"/>
        </w:rPr>
        <w:t xml:space="preserve">What the UI does</w:t>
      </w:r>
    </w:p>
    <w:p>
      <w:pPr>
        <w:spacing w:after="60"/>
        <w:ind w:left="360"/>
      </w:pPr>
      <w:r>
        <w:rPr>
          <w:rFonts w:ascii="Nunito Sans" w:hAnsi="Nunito Sans"/>
          <w:sz w:val="22"/>
          <w:szCs w:val="22"/>
        </w:rPr>
        <w:t xml:space="preserve">•  </w:t>
      </w:r>
      <w:r>
        <w:rPr>
          <w:rFonts w:ascii="Nunito Sans" w:hAnsi="Nunito Sans"/>
          <w:sz w:val="22"/>
          <w:szCs w:val="22"/>
        </w:rPr>
        <w:t xml:space="preserve">Two-stage flow: entry (full refraction or subjective-only) → objective (monocular wavefront capture, OD then OS) → subjective (per eye: sphere/MPMVA → JCC axis → JCC power → optional second MPMVA → add) → report</w:t>
      </w:r>
    </w:p>
    <w:p>
      <w:pPr>
        <w:spacing w:after="60"/>
        <w:ind w:left="360"/>
      </w:pPr>
      <w:r>
        <w:rPr>
          <w:rFonts w:ascii="Nunito Sans" w:hAnsi="Nunito Sans"/>
          <w:sz w:val="22"/>
          <w:szCs w:val="22"/>
        </w:rPr>
        <w:t xml:space="preserve">•  </w:t>
      </w:r>
      <w:r>
        <w:rPr>
          <w:rFonts w:ascii="Nunito Sans" w:hAnsi="Nunito Sans"/>
          <w:sz w:val="22"/>
          <w:szCs w:val="22"/>
        </w:rPr>
        <w:t xml:space="preserve">Objective capture uses the live eye-scan presentation (dark viewer, breathing pupil, sweep line, centering ring, and a red alignment dot that turns the backdrop green on lock), documenting a scan count (1–3) per eye to communicate measurement reliability</w:t>
      </w:r>
    </w:p>
    <w:p>
      <w:pPr>
        <w:spacing w:after="60"/>
        <w:ind w:left="360"/>
      </w:pPr>
      <w:r>
        <w:rPr>
          <w:rFonts w:ascii="Nunito Sans" w:hAnsi="Nunito Sans"/>
          <w:sz w:val="22"/>
          <w:szCs w:val="22"/>
        </w:rPr>
        <w:t xml:space="preserve">•  </w:t>
      </w:r>
      <w:r>
        <w:rPr>
          <w:rFonts w:ascii="Nunito Sans" w:hAnsi="Nunito Sans"/>
          <w:b/>
          <w:sz w:val="22"/>
          <w:szCs w:val="22"/>
        </w:rPr>
        <w:t xml:space="preserve">Axis before power (JCC):</w:t>
      </w:r>
      <w:r>
        <w:rPr>
          <w:rFonts w:ascii="Nunito Sans" w:hAnsi="Nunito Sans"/>
          <w:sz w:val="22"/>
          <w:szCs w:val="22"/>
        </w:rPr>
        <w:t xml:space="preserve"> enforced by step order — cylinder-power refinement is unreachable until the cylinder axis is confirmed</w:t>
      </w:r>
    </w:p>
    <w:p>
      <w:pPr>
        <w:spacing w:after="60"/>
        <w:ind w:left="360"/>
      </w:pPr>
      <w:r>
        <w:rPr>
          <w:rFonts w:ascii="Nunito Sans" w:hAnsi="Nunito Sans"/>
          <w:sz w:val="22"/>
          <w:szCs w:val="22"/>
        </w:rPr>
        <w:t xml:space="preserve">•  </w:t>
      </w:r>
      <w:r>
        <w:rPr>
          <w:rFonts w:ascii="Nunito Sans" w:hAnsi="Nunito Sans"/>
          <w:b/>
          <w:sz w:val="22"/>
          <w:szCs w:val="22"/>
        </w:rPr>
        <w:t xml:space="preserve">Fogging:</w:t>
      </w:r>
      <w:r>
        <w:rPr>
          <w:rFonts w:ascii="Nunito Sans" w:hAnsi="Nunito Sans"/>
          <w:sz w:val="22"/>
          <w:szCs w:val="22"/>
        </w:rPr>
        <w:t xml:space="preserve"> a +0.75 D fog prompt after objective capture (relaxes accommodation, prevents over-minusing); skippable</w:t>
      </w:r>
    </w:p>
    <w:p>
      <w:pPr>
        <w:spacing w:after="60"/>
        <w:ind w:left="360"/>
      </w:pPr>
      <w:r>
        <w:rPr>
          <w:rFonts w:ascii="Nunito Sans" w:hAnsi="Nunito Sans"/>
          <w:sz w:val="22"/>
          <w:szCs w:val="22"/>
        </w:rPr>
        <w:t xml:space="preserve">•  </w:t>
      </w:r>
      <w:r>
        <w:rPr>
          <w:rFonts w:ascii="Nunito Sans" w:hAnsi="Nunito Sans"/>
          <w:b/>
          <w:sz w:val="22"/>
          <w:szCs w:val="22"/>
        </w:rPr>
        <w:t xml:space="preserve">Sphere compensation note</w:t>
      </w:r>
      <w:r>
        <w:rPr>
          <w:rFonts w:ascii="Nunito Sans" w:hAnsi="Nunito Sans"/>
          <w:sz w:val="22"/>
          <w:szCs w:val="22"/>
        </w:rPr>
        <w:t xml:space="preserve"> during cylinder power: for each −0.50 D CYL added, add +0.25 D SPH to maintain the circle of least confusion</w:t>
      </w:r>
    </w:p>
    <w:p>
      <w:pPr>
        <w:spacing w:after="60"/>
        <w:ind w:left="360"/>
      </w:pPr>
      <w:r>
        <w:rPr>
          <w:rFonts w:ascii="Nunito Sans" w:hAnsi="Nunito Sans"/>
          <w:sz w:val="22"/>
          <w:szCs w:val="22"/>
        </w:rPr>
        <w:t xml:space="preserve">•  </w:t>
      </w:r>
      <w:r>
        <w:rPr>
          <w:rFonts w:ascii="Nunito Sans" w:hAnsi="Nunito Sans"/>
          <w:b/>
          <w:sz w:val="22"/>
          <w:szCs w:val="22"/>
        </w:rPr>
        <w:t xml:space="preserve">Rx discipline:</w:t>
      </w:r>
      <w:r>
        <w:rPr>
          <w:rFonts w:ascii="Nunito Sans" w:hAnsi="Nunito Sans"/>
          <w:sz w:val="22"/>
          <w:szCs w:val="22"/>
        </w:rPr>
        <w:t xml:space="preserve"> SPH/CYL signed + 2 dp; AXIS integer + °; ADD signed with D or "—". Monocular throughout — no OU averaging</w:t>
      </w:r>
    </w:p>
    <w:p>
      <w:pPr>
        <w:spacing w:after="60"/>
        <w:ind w:left="360"/>
      </w:pPr>
      <w:r>
        <w:rPr>
          <w:rFonts w:ascii="Nunito Sans" w:hAnsi="Nunito Sans"/>
          <w:sz w:val="22"/>
          <w:szCs w:val="22"/>
        </w:rPr>
        <w:t xml:space="preserve">•  </w:t>
      </w:r>
      <w:r>
        <w:rPr>
          <w:rFonts w:ascii="Nunito Sans" w:hAnsi="Nunito Sans"/>
          <w:b/>
          <w:sz w:val="22"/>
          <w:szCs w:val="22"/>
        </w:rPr>
        <w:t xml:space="preserve">Optotype selector</w:t>
      </w:r>
      <w:r>
        <w:rPr>
          <w:rFonts w:ascii="Nunito Sans" w:hAnsi="Nunito Sans"/>
          <w:sz w:val="22"/>
          <w:szCs w:val="22"/>
        </w:rPr>
        <w:t xml:space="preserve"> (Letters / Tumbling E / Tumbling C) drawn as geometric SVG optotypes, shared with Visual Acuity, for pediatric / non-literate / non-Latin-script patients; additive VA notation (e.g. 20/25 +4) surfaced as best VA so far</w:t>
      </w:r>
    </w:p>
    <w:p>
      <w:pPr>
        <w:spacing w:after="60"/>
        <w:ind w:left="360"/>
      </w:pPr>
      <w:r>
        <w:rPr>
          <w:rFonts w:ascii="Nunito Sans" w:hAnsi="Nunito Sans"/>
          <w:sz w:val="22"/>
          <w:szCs w:val="22"/>
        </w:rPr>
        <w:t xml:space="preserve">•  </w:t>
      </w:r>
      <w:r>
        <w:rPr>
          <w:rFonts w:ascii="Nunito Sans" w:hAnsi="Nunito Sans"/>
          <w:b/>
          <w:sz w:val="22"/>
          <w:szCs w:val="22"/>
        </w:rPr>
        <w:t xml:space="preserve">Report:</w:t>
      </w:r>
      <w:r>
        <w:rPr>
          <w:rFonts w:ascii="Nunito Sans" w:hAnsi="Nunito Sans"/>
          <w:sz w:val="22"/>
          <w:szCs w:val="22"/>
        </w:rPr>
        <w:t xml:space="preserve"> Final Prescription hero (signed Rx + ADD + BCVA per eye); Objective Results and Subjective Correction two-box; wavefront analysis with 3 mm / 5 mm ring overlay toggle, zoom-scope, and color-scale legend; data-only Clinical Summary; Doctor sign-off above Certify &amp; close</w:t>
      </w:r>
    </w:p>
    <w:p>
      <w:pPr>
        <w:spacing w:after="60"/>
        <w:ind w:left="360"/>
      </w:pPr>
      <w:r>
        <w:rPr>
          <w:rFonts w:ascii="Nunito Sans" w:hAnsi="Nunito Sans"/>
          <w:sz w:val="22"/>
          <w:szCs w:val="22"/>
        </w:rPr>
        <w:t xml:space="preserve">•  </w:t>
      </w:r>
      <w:r>
        <w:rPr>
          <w:rFonts w:ascii="Nunito Sans" w:hAnsi="Nunito Sans"/>
          <w:b/>
          <w:sz w:val="22"/>
          <w:szCs w:val="22"/>
        </w:rPr>
        <w:t xml:space="preserve">New in v0.2.7 — six competitive-parity enhancements (all measurements/simulations, never verdicts):</w:t>
      </w:r>
      <w:r>
        <w:rPr>
          <w:rFonts w:ascii="Nunito Sans" w:hAnsi="Nunito Sans"/>
          <w:sz w:val="22"/>
          <w:szCs w:val="22"/>
        </w:rPr>
        <w:t xml:space="preserve"> (1) </w:t>
      </w:r>
      <w:r>
        <w:rPr>
          <w:rFonts w:ascii="Nunito Sans" w:hAnsi="Nunito Sans"/>
          <w:b/>
          <w:sz w:val="22"/>
          <w:szCs w:val="22"/>
        </w:rPr>
        <w:t xml:space="preserve">PSF + simulated-VA</w:t>
      </w:r>
      <w:r>
        <w:rPr>
          <w:rFonts w:ascii="Nunito Sans" w:hAnsi="Nunito Sans"/>
          <w:sz w:val="22"/>
          <w:szCs w:val="22"/>
        </w:rPr>
        <w:t xml:space="preserve"> before/after, habitual vs. new Rx; (2) </w:t>
      </w:r>
      <w:r>
        <w:rPr>
          <w:rFonts w:ascii="Nunito Sans" w:hAnsi="Nunito Sans"/>
          <w:b/>
          <w:sz w:val="22"/>
          <w:szCs w:val="22"/>
        </w:rPr>
        <w:t xml:space="preserve">binocular balance</w:t>
      </w:r>
      <w:r>
        <w:rPr>
          <w:rFonts w:ascii="Nunito Sans" w:hAnsi="Nunito Sans"/>
          <w:sz w:val="22"/>
          <w:szCs w:val="22"/>
        </w:rPr>
        <w:t xml:space="preserve"> step after both eyes via fogging / alternate occlusion (no prism); (3) </w:t>
      </w:r>
      <w:r>
        <w:rPr>
          <w:rFonts w:ascii="Nunito Sans" w:hAnsi="Nunito Sans"/>
          <w:b/>
          <w:sz w:val="22"/>
          <w:szCs w:val="22"/>
        </w:rPr>
        <w:t xml:space="preserve">multi-source Rx comparison</w:t>
      </w:r>
      <w:r>
        <w:rPr>
          <w:rFonts w:ascii="Nunito Sans" w:hAnsi="Nunito Sans"/>
          <w:sz w:val="22"/>
          <w:szCs w:val="22"/>
        </w:rPr>
        <w:t xml:space="preserve"> — objective / subjective / habitual / unaided with spherical-equivalent deltas; (4) </w:t>
      </w:r>
      <w:r>
        <w:rPr>
          <w:rFonts w:ascii="Nunito Sans" w:hAnsi="Nunito Sans"/>
          <w:b/>
          <w:sz w:val="22"/>
          <w:szCs w:val="22"/>
        </w:rPr>
        <w:t xml:space="preserve">photopic vs. mesopic (day &amp; night)</w:t>
      </w:r>
      <w:r>
        <w:rPr>
          <w:rFonts w:ascii="Nunito Sans" w:hAnsi="Nunito Sans"/>
          <w:sz w:val="22"/>
          <w:szCs w:val="22"/>
        </w:rPr>
        <w:t xml:space="preserve"> — 4 mm and 6 mm both hardware-confirmed, with a night-shift Diff row; (5) </w:t>
      </w:r>
      <w:r>
        <w:rPr>
          <w:rFonts w:ascii="Nunito Sans" w:hAnsi="Nunito Sans"/>
          <w:b/>
          <w:sz w:val="22"/>
          <w:szCs w:val="22"/>
        </w:rPr>
        <w:t xml:space="preserve">Smart-Cylinder auto-bracketing</w:t>
      </w:r>
      <w:r>
        <w:rPr>
          <w:rFonts w:ascii="Nunito Sans" w:hAnsi="Nunito Sans"/>
          <w:sz w:val="22"/>
          <w:szCs w:val="22"/>
        </w:rPr>
        <w:t xml:space="preserve"> on the JCC (step auto-sizes to cylinder magnitude, narrows after each reversal); (6) </w:t>
      </w:r>
      <w:r>
        <w:rPr>
          <w:rFonts w:ascii="Nunito Sans" w:hAnsi="Nunito Sans"/>
          <w:b/>
          <w:sz w:val="22"/>
          <w:szCs w:val="22"/>
        </w:rPr>
        <w:t xml:space="preserve">refraction progression tracker</w:t>
      </w:r>
      <w:r>
        <w:rPr>
          <w:rFonts w:ascii="Nunito Sans" w:hAnsi="Nunito Sans"/>
          <w:sz w:val="22"/>
          <w:szCs w:val="22"/>
        </w:rPr>
        <w:t xml:space="preserve"> — spherical-equivalent trend + D/yr vs. age-banded reference, at-risk call left to the clinician. The report is now organized into tabs (Summary · Rx comparison · Day &amp; night · Vision simulation · Wavefront · Progression). The 6 mm columns, vertex range, and Rx ranges are </w:t>
      </w:r>
      <w:r>
        <w:rPr>
          <w:rFonts w:ascii="Nunito Sans" w:hAnsi="Nunito Sans"/>
          <w:b/>
          <w:sz w:val="22"/>
          <w:szCs w:val="22"/>
        </w:rPr>
        <w:t xml:space="preserve">hardware-confirmed</w:t>
      </w:r>
      <w:r>
        <w:rPr>
          <w:rFonts w:ascii="Nunito Sans" w:hAnsi="Nunito Sans"/>
          <w:sz w:val="22"/>
          <w:szCs w:val="22"/>
        </w:rPr>
        <w:t xml:space="preserve"> (Steve, Q3/Q7/Q8).</w:t>
      </w:r>
    </w:p>
    <w:p>
      <w:pPr>
        <w:spacing w:after="60"/>
        <w:ind w:left="360"/>
      </w:pPr>
      <w:r>
        <w:rPr>
          <w:rFonts w:ascii="Nunito Sans" w:hAnsi="Nunito Sans"/>
          <w:sz w:val="22"/>
          <w:szCs w:val="22"/>
        </w:rPr>
        <w:t xml:space="preserve">•  </w:t>
      </w:r>
      <w:r>
        <w:rPr>
          <w:rFonts w:ascii="Nunito Sans" w:hAnsi="Nunito Sans"/>
          <w:b/>
          <w:sz w:val="22"/>
          <w:szCs w:val="22"/>
        </w:rPr>
        <w:t xml:space="preserve">Certify &amp; close is a system event</w:t>
      </w:r>
      <w:r>
        <w:rPr>
          <w:rFonts w:ascii="Nunito Sans" w:hAnsi="Nunito Sans"/>
          <w:sz w:val="22"/>
          <w:szCs w:val="22"/>
        </w:rPr>
        <w:t xml:space="preserve"> — it releases the verified Rx to the downstream xoFit job object (not a UI-only action)</w:t>
      </w:r>
    </w:p>
    <w:p>
      <w:pPr>
        <w:spacing w:before="240" w:after="80"/>
      </w:pPr>
      <w:r>
        <w:rPr>
          <w:rFonts w:ascii="Nunito Sans" w:hAnsi="Nunito Sans"/>
          <w:b/>
          <w:sz w:val="24"/>
          <w:szCs w:val="24"/>
        </w:rPr>
        <w:t xml:space="preserve">What we'd like the panel to evaluate</w:t>
      </w:r>
    </w:p>
    <w:p>
      <w:pPr>
        <w:spacing w:after="60"/>
        <w:ind w:left="360"/>
      </w:pPr>
      <w:r>
        <w:rPr>
          <w:rFonts w:ascii="Nunito Sans" w:hAnsi="Nunito Sans"/>
          <w:sz w:val="22"/>
          <w:szCs w:val="22"/>
        </w:rPr>
        <w:t xml:space="preserve">•  </w:t>
      </w:r>
      <w:r>
        <w:rPr>
          <w:rFonts w:ascii="Nunito Sans" w:hAnsi="Nunito Sans"/>
          <w:sz w:val="22"/>
          <w:szCs w:val="22"/>
        </w:rPr>
        <w:t xml:space="preserve">Does the two-stage flow (objective wavefront → subjective JCC/MPMVA refinement) match how you'd run a refraction on a digital phoropter?</w:t>
      </w:r>
    </w:p>
    <w:p>
      <w:pPr>
        <w:spacing w:after="60"/>
        <w:ind w:left="360"/>
      </w:pPr>
      <w:r>
        <w:rPr>
          <w:rFonts w:ascii="Nunito Sans" w:hAnsi="Nunito Sans"/>
          <w:sz w:val="22"/>
          <w:szCs w:val="22"/>
        </w:rPr>
        <w:t xml:space="preserve">•  </w:t>
      </w:r>
      <w:r>
        <w:rPr>
          <w:rFonts w:ascii="Nunito Sans" w:hAnsi="Nunito Sans"/>
          <w:sz w:val="22"/>
          <w:szCs w:val="22"/>
        </w:rPr>
        <w:t xml:space="preserve">Is the +0.75 D fogging prompt and the axis-before-power JCC ordering correct and complete?</w:t>
      </w:r>
    </w:p>
    <w:p>
      <w:pPr>
        <w:spacing w:after="60"/>
        <w:ind w:left="360"/>
      </w:pPr>
      <w:r>
        <w:rPr>
          <w:rFonts w:ascii="Nunito Sans" w:hAnsi="Nunito Sans"/>
          <w:sz w:val="22"/>
          <w:szCs w:val="22"/>
        </w:rPr>
        <w:t xml:space="preserve">•  </w:t>
      </w:r>
      <w:r>
        <w:rPr>
          <w:rFonts w:ascii="Nunito Sans" w:hAnsi="Nunito Sans"/>
          <w:sz w:val="22"/>
          <w:szCs w:val="22"/>
        </w:rPr>
        <w:t xml:space="preserve">Is the "no clinical claims / measurement-and-verification only" stance for the report the right call, versus the interpretive banners the other tests carry?</w:t>
      </w:r>
    </w:p>
    <w:p>
      <w:pPr>
        <w:spacing w:after="60"/>
        <w:ind w:left="360"/>
      </w:pPr>
      <w:r>
        <w:rPr>
          <w:rFonts w:ascii="Nunito Sans" w:hAnsi="Nunito Sans"/>
          <w:sz w:val="22"/>
          <w:szCs w:val="22"/>
        </w:rPr>
        <w:t xml:space="preserve">•  </w:t>
      </w:r>
      <w:r>
        <w:rPr>
          <w:rFonts w:ascii="Nunito Sans" w:hAnsi="Nunito Sans"/>
          <w:sz w:val="22"/>
          <w:szCs w:val="22"/>
        </w:rPr>
        <w:t xml:space="preserve">What is the right pass/fail acuity threshold for the subjective endpoint? (Currently "more than half correct," flagged for validation.)</w:t>
      </w:r>
    </w:p>
    <w:p>
      <w:pPr>
        <w:spacing w:after="60"/>
        <w:ind w:left="360"/>
      </w:pPr>
      <w:r>
        <w:rPr>
          <w:rFonts w:ascii="Nunito Sans" w:hAnsi="Nunito Sans"/>
          <w:sz w:val="22"/>
          <w:szCs w:val="22"/>
        </w:rPr>
        <w:t xml:space="preserve">•  </w:t>
      </w:r>
      <w:r>
        <w:rPr>
          <w:rFonts w:ascii="Nunito Sans" w:hAnsi="Nunito Sans"/>
          <w:sz w:val="22"/>
          <w:szCs w:val="22"/>
        </w:rPr>
        <w:t xml:space="preserve">Does anything about the certified-Rx-as-release-gate model raise a clinical or workflow concern?</w:t>
      </w:r>
    </w:p>
    <w:p>
      <w:pPr>
        <w:spacing w:after="60"/>
        <w:ind w:left="360"/>
      </w:pPr>
      <w:r>
        <w:rPr>
          <w:rFonts w:ascii="Nunito Sans" w:hAnsi="Nunito Sans"/>
          <w:sz w:val="22"/>
          <w:szCs w:val="22"/>
        </w:rPr>
        <w:t xml:space="preserve">•  </w:t>
      </w:r>
      <w:r>
        <w:rPr>
          <w:rFonts w:ascii="Nunito Sans" w:hAnsi="Nunito Sans"/>
          <w:sz w:val="22"/>
          <w:szCs w:val="22"/>
        </w:rPr>
        <w:t xml:space="preserve">On the six v0.2.7 enhancements: does the </w:t>
      </w:r>
      <w:r>
        <w:rPr>
          <w:rFonts w:ascii="Nunito Sans" w:hAnsi="Nunito Sans"/>
          <w:b/>
          <w:sz w:val="22"/>
          <w:szCs w:val="22"/>
        </w:rPr>
        <w:t xml:space="preserve">binocular balance</w:t>
      </w:r>
      <w:r>
        <w:rPr>
          <w:rFonts w:ascii="Nunito Sans" w:hAnsi="Nunito Sans"/>
          <w:sz w:val="22"/>
          <w:szCs w:val="22"/>
        </w:rPr>
        <w:t xml:space="preserve"> via fogging/alternate occlusion (no prism) read as clinically valid? Are the </w:t>
      </w:r>
      <w:r>
        <w:rPr>
          <w:rFonts w:ascii="Nunito Sans" w:hAnsi="Nunito Sans"/>
          <w:b/>
          <w:sz w:val="22"/>
          <w:szCs w:val="22"/>
        </w:rPr>
        <w:t xml:space="preserve">multi-source Rx comparison</w:t>
      </w:r>
      <w:r>
        <w:rPr>
          <w:rFonts w:ascii="Nunito Sans" w:hAnsi="Nunito Sans"/>
          <w:sz w:val="22"/>
          <w:szCs w:val="22"/>
        </w:rPr>
        <w:t xml:space="preserve">, </w:t>
      </w:r>
      <w:r>
        <w:rPr>
          <w:rFonts w:ascii="Nunito Sans" w:hAnsi="Nunito Sans"/>
          <w:b/>
          <w:sz w:val="22"/>
          <w:szCs w:val="22"/>
        </w:rPr>
        <w:t xml:space="preserve">day-&amp;-night (photopic/mesopic)</w:t>
      </w:r>
      <w:r>
        <w:rPr>
          <w:rFonts w:ascii="Nunito Sans" w:hAnsi="Nunito Sans"/>
          <w:sz w:val="22"/>
          <w:szCs w:val="22"/>
        </w:rPr>
        <w:t xml:space="preserve">, and </w:t>
      </w:r>
      <w:r>
        <w:rPr>
          <w:rFonts w:ascii="Nunito Sans" w:hAnsi="Nunito Sans"/>
          <w:b/>
          <w:sz w:val="22"/>
          <w:szCs w:val="22"/>
        </w:rPr>
        <w:t xml:space="preserve">progression tracker</w:t>
      </w:r>
      <w:r>
        <w:rPr>
          <w:rFonts w:ascii="Nunito Sans" w:hAnsi="Nunito Sans"/>
          <w:sz w:val="22"/>
          <w:szCs w:val="22"/>
        </w:rPr>
        <w:t xml:space="preserve"> the right competitive-parity additions, presented as data rather than verdicts? Is the </w:t>
      </w:r>
      <w:r>
        <w:rPr>
          <w:rFonts w:ascii="Nunito Sans" w:hAnsi="Nunito Sans"/>
          <w:b/>
          <w:sz w:val="22"/>
          <w:szCs w:val="22"/>
        </w:rPr>
        <w:t xml:space="preserve">Smart-Cylinder auto-bracketing</w:t>
      </w:r>
      <w:r>
        <w:rPr>
          <w:rFonts w:ascii="Nunito Sans" w:hAnsi="Nunito Sans"/>
          <w:sz w:val="22"/>
          <w:szCs w:val="22"/>
        </w:rPr>
        <w:t xml:space="preserve"> behavior on the JCC what you'd expect?</w:t>
      </w:r>
    </w:p>
    <w:p>
      <w:pPr>
        <w:spacing w:before="240" w:after="80"/>
      </w:pPr>
      <w:r>
        <w:rPr>
          <w:rFonts w:ascii="Nunito Sans" w:hAnsi="Nunito Sans"/>
          <w:b/>
          <w:sz w:val="24"/>
          <w:szCs w:val="24"/>
        </w:rPr>
        <w:t xml:space="preserve">What's coming (not yet in the UI)</w:t>
      </w:r>
    </w:p>
    <w:p>
      <w:pPr>
        <w:spacing w:after="120"/>
      </w:pPr>
      <w:r>
        <w:rPr>
          <w:rFonts w:ascii="Nunito Sans" w:hAnsi="Nunito Sans"/>
          <w:sz w:val="22"/>
          <w:szCs w:val="22"/>
        </w:rPr>
        <w:t xml:space="preserve">A patient-facing headset view for an objective self-administered mode (this component is the tablet / technician-doctor view only), and the engineering wiring that turns Certify &amp; close into the downstream Rx-release event. Both depend on scoping with engineering.</w:t>
      </w:r>
    </w:p>
    <w:p>
      <w:pPr>
        <w:spacing w:after="0"/>
      </w:pPr>
    </w:p>
    <w:p>
      <w:pPr>
        <w:spacing w:before="240" w:after="80"/>
      </w:pPr>
      <w:r>
        <w:rPr>
          <w:rFonts w:ascii="Nunito Sans" w:hAnsi="Nunito Sans"/>
          <w:b/>
          <w:sz w:val="28"/>
          <w:szCs w:val="28"/>
        </w:rPr>
        <w:t xml:space="preserve">Cross-cutting conventions</w:t>
      </w:r>
    </w:p>
    <w:p>
      <w:pPr>
        <w:spacing w:after="120"/>
      </w:pPr>
      <w:r>
        <w:rPr>
          <w:rFonts w:ascii="Nunito Sans" w:hAnsi="Nunito Sans"/>
          <w:sz w:val="22"/>
          <w:szCs w:val="22"/>
        </w:rPr>
        <w:t xml:space="preserve">These apply consistently across every clinically-faithful test:</w:t>
      </w:r>
    </w:p>
    <w:p>
      <w:pPr>
        <w:spacing w:after="120"/>
      </w:pPr>
      <w:r>
        <w:rPr>
          <w:rFonts w:ascii="Nunito Sans" w:hAnsi="Nunito Sans"/>
          <w:b/>
          <w:sz w:val="22"/>
          <w:szCs w:val="22"/>
        </w:rPr>
        <w:t xml:space="preserve">Eye reference.</w:t>
      </w:r>
      <w:r>
        <w:rPr>
          <w:rFonts w:ascii="Nunito Sans" w:hAnsi="Nunito Sans"/>
          <w:sz w:val="22"/>
          <w:szCs w:val="22"/>
        </w:rPr>
        <w:t xml:space="preserve"> OD (right) before OS (left). Universal medical convention used in patient charts, refraction records, prescriptions. When testing both eyes, the workflow is always OD first.</w:t>
      </w:r>
    </w:p>
    <w:p>
      <w:pPr>
        <w:spacing w:after="120"/>
      </w:pPr>
      <w:r>
        <w:rPr>
          <w:rFonts w:ascii="Nunito Sans" w:hAnsi="Nunito Sans"/>
          <w:b/>
          <w:sz w:val="22"/>
          <w:szCs w:val="22"/>
        </w:rPr>
        <w:t xml:space="preserve">Doctor sign-off.</w:t>
      </w:r>
      <w:r>
        <w:rPr>
          <w:rFonts w:ascii="Nunito Sans" w:hAnsi="Nunito Sans"/>
          <w:sz w:val="22"/>
          <w:szCs w:val="22"/>
        </w:rPr>
        <w:t xml:space="preserve"> Every clinical-fidelity test's report ends with a "Doctor sign-off" label above the primary "Certify &amp; close" button. Terminology matches EHR standards used by Epic, Cerner, and NextGen. "Doctor" is used (rather than "Physician" or "Provider") to correctly include both MDs (ophthalmologists) and ODs (optometrists) as authorized xoExam users.</w:t>
      </w:r>
    </w:p>
    <w:p>
      <w:pPr>
        <w:spacing w:after="120"/>
      </w:pPr>
      <w:r>
        <w:rPr>
          <w:rFonts w:ascii="Nunito Sans" w:hAnsi="Nunito Sans"/>
          <w:b/>
          <w:sz w:val="22"/>
          <w:szCs w:val="22"/>
        </w:rPr>
        <w:t xml:space="preserve">Test cancellation.</w:t>
      </w:r>
      <w:r>
        <w:rPr>
          <w:rFonts w:ascii="Nunito Sans" w:hAnsi="Nunito Sans"/>
          <w:sz w:val="22"/>
          <w:szCs w:val="22"/>
        </w:rPr>
        <w:t xml:space="preserve"> Canceling a test mid-flow requires an explicit confirmation modal — the back arrow is hidden during testing and a labeled red "Cancel test" button takes its place. The principle: back arrows mean "navigate safely"; destructive actions get explicit labeled buttons. No accidental data loss.</w:t>
      </w:r>
    </w:p>
    <w:p>
      <w:pPr>
        <w:spacing w:after="120"/>
      </w:pPr>
      <w:r>
        <w:rPr>
          <w:rFonts w:ascii="Nunito Sans" w:hAnsi="Nunito Sans"/>
          <w:b/>
          <w:sz w:val="22"/>
          <w:szCs w:val="22"/>
        </w:rPr>
        <w:t xml:space="preserve">Test names.</w:t>
      </w:r>
      <w:r>
        <w:rPr>
          <w:rFonts w:ascii="Nunito Sans" w:hAnsi="Nunito Sans"/>
          <w:sz w:val="22"/>
          <w:szCs w:val="22"/>
        </w:rPr>
        <w:t xml:space="preserve"> UI labels use bare nouns ("Visual Field," "Extraocular Motility") rather than appending "Test" or "Exam." Formal report headers retain "Report" suffix for documentation weight.</w:t>
      </w:r>
    </w:p>
    <w:p>
      <w:pPr>
        <w:spacing w:after="120"/>
      </w:pPr>
      <w:r>
        <w:rPr>
          <w:rFonts w:ascii="Nunito Sans" w:hAnsi="Nunito Sans"/>
          <w:b/>
          <w:sz w:val="22"/>
          <w:szCs w:val="22"/>
        </w:rPr>
        <w:t xml:space="preserve">Severity color coding.</w:t>
      </w:r>
      <w:r>
        <w:rPr>
          <w:rFonts w:ascii="Nunito Sans" w:hAnsi="Nunito Sans"/>
          <w:sz w:val="22"/>
          <w:szCs w:val="22"/>
        </w:rPr>
        <w:t xml:space="preserve"> Red / Amber / Green palette is reserved for clinical alerts, severity bands, and status indicators only — never used for general UI styling.</w:t>
      </w:r>
    </w:p>
    <w:p>
      <w:pPr>
        <w:spacing w:after="120"/>
      </w:pPr>
      <w:r>
        <w:rPr>
          <w:rFonts w:ascii="Nunito Sans" w:hAnsi="Nunito Sans"/>
          <w:b/>
          <w:sz w:val="22"/>
          <w:szCs w:val="22"/>
        </w:rPr>
        <w:t xml:space="preserve">Session notes.</w:t>
      </w:r>
      <w:r>
        <w:rPr>
          <w:rFonts w:ascii="Nunito Sans" w:hAnsi="Nunito Sans"/>
          <w:sz w:val="22"/>
          <w:szCs w:val="22"/>
        </w:rPr>
        <w:t xml:space="preserve"> Every clinical-fidelity test includes a free-text Session notes textarea (sidebar during testing, dedicated card in the report) for the clinician's own observations alongside the structured data.</w:t>
      </w:r>
    </w:p>
    <w:p>
      <w:pPr>
        <w:spacing w:after="120"/>
      </w:pPr>
      <w:r>
        <w:rPr>
          <w:rFonts w:ascii="Nunito Sans" w:hAnsi="Nunito Sans"/>
          <w:b/>
          <w:sz w:val="22"/>
          <w:szCs w:val="22"/>
        </w:rPr>
        <w:t xml:space="preserve">Patient identity.</w:t>
      </w:r>
      <w:r>
        <w:rPr>
          <w:rFonts w:ascii="Nunito Sans" w:hAnsi="Nunito Sans"/>
          <w:sz w:val="22"/>
          <w:szCs w:val="22"/>
        </w:rPr>
        <w:t xml:space="preserve"> A patient identity confirmation step (between test selection and Begin test) is not yet implemented. The current prototype assumes the technician has already confirmed the correct patient is in the headset. This is flagged as a regulatory decision pending — the panel's input here is welcomed.</w:t>
      </w:r>
    </w:p>
    <w:p>
      <w:pPr>
        <w:spacing w:after="0"/>
      </w:pPr>
    </w:p>
    <w:p>
      <w:pPr>
        <w:spacing w:before="240" w:after="80"/>
      </w:pPr>
      <w:r>
        <w:rPr>
          <w:rFonts w:ascii="Nunito Sans" w:hAnsi="Nunito Sans"/>
          <w:b/>
          <w:sz w:val="28"/>
          <w:szCs w:val="28"/>
        </w:rPr>
        <w:t xml:space="preserve">Tests not yet at clinical fidelity</w:t>
      </w:r>
    </w:p>
    <w:p>
      <w:pPr>
        <w:spacing w:after="120"/>
      </w:pPr>
      <w:r>
        <w:rPr>
          <w:rFonts w:ascii="Nunito Sans" w:hAnsi="Nunito Sans"/>
          <w:sz w:val="22"/>
          <w:szCs w:val="22"/>
        </w:rPr>
        <w:t xml:space="preserve">These tests are clickable in the prototype and walk through their basic UI, but their clinical scoring and interpretation have not yet been rebuilt against published standards. Treat their on-screen data as illustrative only.</w:t>
      </w:r>
    </w:p>
    <w:p>
      <w:pPr>
        <w:spacing w:after="60"/>
        <w:ind w:left="360"/>
      </w:pPr>
      <w:r>
        <w:rPr>
          <w:rFonts w:ascii="Nunito Sans" w:hAnsi="Nunito Sans"/>
          <w:sz w:val="22"/>
          <w:szCs w:val="22"/>
        </w:rPr>
        <w:t xml:space="preserve">•  </w:t>
      </w:r>
      <w:r>
        <w:rPr>
          <w:rFonts w:ascii="Nunito Sans" w:hAnsi="Nunito Sans"/>
          <w:sz w:val="22"/>
          <w:szCs w:val="22"/>
        </w:rPr>
        <w:t xml:space="preserve">Refraction</w:t>
      </w:r>
    </w:p>
    <w:p>
      <w:pPr>
        <w:spacing w:after="60"/>
        <w:ind w:left="360"/>
      </w:pPr>
      <w:r>
        <w:rPr>
          <w:rFonts w:ascii="Nunito Sans" w:hAnsi="Nunito Sans"/>
          <w:sz w:val="22"/>
          <w:szCs w:val="22"/>
        </w:rPr>
        <w:t xml:space="preserve">•  </w:t>
      </w:r>
      <w:r>
        <w:rPr>
          <w:rFonts w:ascii="Nunito Sans" w:hAnsi="Nunito Sans"/>
          <w:sz w:val="22"/>
          <w:szCs w:val="22"/>
        </w:rPr>
        <w:t xml:space="preserve">Accommodation</w:t>
      </w:r>
    </w:p>
    <w:p>
      <w:pPr>
        <w:spacing w:after="60"/>
        <w:ind w:left="360"/>
      </w:pPr>
      <w:r>
        <w:rPr>
          <w:rFonts w:ascii="Nunito Sans" w:hAnsi="Nunito Sans"/>
          <w:sz w:val="22"/>
          <w:szCs w:val="22"/>
        </w:rPr>
        <w:t xml:space="preserve">•  </w:t>
      </w:r>
      <w:r>
        <w:rPr>
          <w:rFonts w:ascii="Nunito Sans" w:hAnsi="Nunito Sans"/>
          <w:sz w:val="22"/>
          <w:szCs w:val="22"/>
        </w:rPr>
        <w:t xml:space="preserve">Keratometry</w:t>
      </w:r>
    </w:p>
    <w:p>
      <w:pPr>
        <w:spacing w:after="60"/>
        <w:ind w:left="360"/>
      </w:pPr>
      <w:r>
        <w:rPr>
          <w:rFonts w:ascii="Nunito Sans" w:hAnsi="Nunito Sans"/>
          <w:sz w:val="22"/>
          <w:szCs w:val="22"/>
        </w:rPr>
        <w:t xml:space="preserve">•  </w:t>
      </w:r>
      <w:r>
        <w:rPr>
          <w:rFonts w:ascii="Nunito Sans" w:hAnsi="Nunito Sans"/>
          <w:sz w:val="22"/>
          <w:szCs w:val="22"/>
        </w:rPr>
        <w:t xml:space="preserve">Confrontation</w:t>
      </w:r>
    </w:p>
    <w:p>
      <w:pPr>
        <w:spacing w:after="60"/>
        <w:ind w:left="360"/>
      </w:pPr>
      <w:r>
        <w:rPr>
          <w:rFonts w:ascii="Nunito Sans" w:hAnsi="Nunito Sans"/>
          <w:sz w:val="22"/>
          <w:szCs w:val="22"/>
        </w:rPr>
        <w:t xml:space="preserve">•  </w:t>
      </w:r>
      <w:r>
        <w:rPr>
          <w:rFonts w:ascii="Nunito Sans" w:hAnsi="Nunito Sans"/>
          <w:sz w:val="22"/>
          <w:szCs w:val="22"/>
        </w:rPr>
        <w:t xml:space="preserve">Esterman Binocular (this one inherits clinical fidelity from Visual Fields — it routes to the Visual Field test with the Esterman protocol pre-selected)</w:t>
      </w:r>
    </w:p>
    <w:p>
      <w:pPr>
        <w:spacing w:after="60"/>
        <w:ind w:left="360"/>
      </w:pPr>
      <w:r>
        <w:rPr>
          <w:rFonts w:ascii="Nunito Sans" w:hAnsi="Nunito Sans"/>
          <w:sz w:val="22"/>
          <w:szCs w:val="22"/>
        </w:rPr>
        <w:t xml:space="preserve">•  </w:t>
      </w:r>
      <w:r>
        <w:rPr>
          <w:rFonts w:ascii="Nunito Sans" w:hAnsi="Nunito Sans"/>
          <w:sz w:val="22"/>
          <w:szCs w:val="22"/>
        </w:rPr>
        <w:t xml:space="preserve">Binocular Vision</w:t>
      </w:r>
    </w:p>
    <w:p>
      <w:pPr>
        <w:spacing w:after="60"/>
        <w:ind w:left="360"/>
      </w:pPr>
      <w:r>
        <w:rPr>
          <w:rFonts w:ascii="Nunito Sans" w:hAnsi="Nunito Sans"/>
          <w:sz w:val="22"/>
          <w:szCs w:val="22"/>
        </w:rPr>
        <w:t xml:space="preserve">•  </w:t>
      </w:r>
      <w:r>
        <w:rPr>
          <w:rFonts w:ascii="Nunito Sans" w:hAnsi="Nunito Sans"/>
          <w:sz w:val="22"/>
          <w:szCs w:val="22"/>
        </w:rPr>
        <w:t xml:space="preserve">Convergence</w:t>
      </w:r>
    </w:p>
    <w:p>
      <w:pPr>
        <w:spacing w:after="60"/>
        <w:ind w:left="360"/>
      </w:pPr>
      <w:r>
        <w:rPr>
          <w:rFonts w:ascii="Nunito Sans" w:hAnsi="Nunito Sans"/>
          <w:sz w:val="22"/>
          <w:szCs w:val="22"/>
        </w:rPr>
        <w:t xml:space="preserve">•  </w:t>
      </w:r>
      <w:r>
        <w:rPr>
          <w:rFonts w:ascii="Nunito Sans" w:hAnsi="Nunito Sans"/>
          <w:sz w:val="22"/>
          <w:szCs w:val="22"/>
        </w:rPr>
        <w:t xml:space="preserve">Contrast Sensitivity (Pelli-Robson visual fidelity only; clinical scoring not yet implemented)</w:t>
      </w:r>
    </w:p>
    <w:p>
      <w:pPr>
        <w:spacing w:after="60"/>
        <w:ind w:left="360"/>
      </w:pPr>
      <w:r>
        <w:rPr>
          <w:rFonts w:ascii="Nunito Sans" w:hAnsi="Nunito Sans"/>
          <w:sz w:val="22"/>
          <w:szCs w:val="22"/>
        </w:rPr>
        <w:t xml:space="preserve">•  </w:t>
      </w:r>
      <w:r>
        <w:rPr>
          <w:rFonts w:ascii="Nunito Sans" w:hAnsi="Nunito Sans"/>
          <w:sz w:val="22"/>
          <w:szCs w:val="22"/>
        </w:rPr>
        <w:t xml:space="preserve">Visual Reaction Time</w:t>
      </w:r>
    </w:p>
    <w:p>
      <w:pPr>
        <w:spacing w:after="60"/>
        <w:ind w:left="360"/>
      </w:pPr>
      <w:r>
        <w:rPr>
          <w:rFonts w:ascii="Nunito Sans" w:hAnsi="Nunito Sans"/>
          <w:sz w:val="22"/>
          <w:szCs w:val="22"/>
        </w:rPr>
        <w:t xml:space="preserve">•  </w:t>
      </w:r>
      <w:r>
        <w:rPr>
          <w:rFonts w:ascii="Nunito Sans" w:hAnsi="Nunito Sans"/>
          <w:sz w:val="22"/>
          <w:szCs w:val="22"/>
        </w:rPr>
        <w:t xml:space="preserve">Eye Tracking Accuracy</w:t>
      </w:r>
    </w:p>
    <w:p>
      <w:pPr>
        <w:spacing w:after="60"/>
        <w:ind w:left="360"/>
      </w:pPr>
      <w:r>
        <w:rPr>
          <w:rFonts w:ascii="Nunito Sans" w:hAnsi="Nunito Sans"/>
          <w:sz w:val="22"/>
          <w:szCs w:val="22"/>
        </w:rPr>
        <w:t xml:space="preserve">•  </w:t>
      </w:r>
      <w:r>
        <w:rPr>
          <w:rFonts w:ascii="Nunito Sans" w:hAnsi="Nunito Sans"/>
          <w:sz w:val="22"/>
          <w:szCs w:val="22"/>
        </w:rPr>
        <w:t xml:space="preserve">Fixation Stability</w:t>
      </w:r>
    </w:p>
    <w:p>
      <w:pPr>
        <w:spacing w:after="60"/>
        <w:ind w:left="360"/>
      </w:pPr>
      <w:r>
        <w:rPr>
          <w:rFonts w:ascii="Nunito Sans" w:hAnsi="Nunito Sans"/>
          <w:sz w:val="22"/>
          <w:szCs w:val="22"/>
        </w:rPr>
        <w:t xml:space="preserve">•  </w:t>
      </w:r>
      <w:r>
        <w:rPr>
          <w:rFonts w:ascii="Nunito Sans" w:hAnsi="Nunito Sans"/>
          <w:sz w:val="22"/>
          <w:szCs w:val="22"/>
        </w:rPr>
        <w:t xml:space="preserve">Tear Film</w:t>
      </w:r>
    </w:p>
    <w:p>
      <w:pPr>
        <w:spacing w:after="60"/>
        <w:ind w:left="360"/>
      </w:pPr>
      <w:r>
        <w:rPr>
          <w:rFonts w:ascii="Nunito Sans" w:hAnsi="Nunito Sans"/>
          <w:sz w:val="22"/>
          <w:szCs w:val="22"/>
        </w:rPr>
        <w:t xml:space="preserve">•  </w:t>
      </w:r>
      <w:r>
        <w:rPr>
          <w:rFonts w:ascii="Nunito Sans" w:hAnsi="Nunito Sans"/>
          <w:sz w:val="22"/>
          <w:szCs w:val="22"/>
        </w:rPr>
        <w:t xml:space="preserve">AI Pattern Recognition</w:t>
      </w:r>
    </w:p>
    <w:p>
      <w:pPr>
        <w:spacing w:after="120"/>
      </w:pPr>
      <w:r>
        <w:rPr>
          <w:rFonts w:ascii="Nunito Sans" w:hAnsi="Nunito Sans"/>
          <w:sz w:val="22"/>
          <w:szCs w:val="22"/>
        </w:rPr>
        <w:t xml:space="preserve">The panel's input on which of these should be prioritized for the next clinical rebuild is welcomed.</w:t>
      </w:r>
    </w:p>
    <w:p>
      <w:pPr>
        <w:spacing w:after="0"/>
      </w:pPr>
    </w:p>
    <w:p>
      <w:pPr>
        <w:spacing w:before="240" w:after="80"/>
      </w:pPr>
      <w:r>
        <w:rPr>
          <w:rFonts w:ascii="Nunito Sans" w:hAnsi="Nunito Sans"/>
          <w:b/>
          <w:sz w:val="28"/>
          <w:szCs w:val="28"/>
        </w:rPr>
        <w:t xml:space="preserve">How to give us feedback</w:t>
      </w:r>
    </w:p>
    <w:p>
      <w:pPr>
        <w:spacing w:after="120"/>
      </w:pPr>
      <w:r>
        <w:rPr>
          <w:rFonts w:ascii="Nunito Sans" w:hAnsi="Nunito Sans"/>
          <w:sz w:val="22"/>
          <w:szCs w:val="22"/>
        </w:rPr>
        <w:t xml:space="preserve">Specific items to flag:</w:t>
      </w:r>
    </w:p>
    <w:p>
      <w:pPr>
        <w:spacing w:after="60"/>
        <w:ind w:left="360"/>
      </w:pPr>
      <w:r>
        <w:rPr>
          <w:rFonts w:ascii="Nunito Sans" w:hAnsi="Nunito Sans"/>
          <w:sz w:val="22"/>
          <w:szCs w:val="22"/>
        </w:rPr>
        <w:t xml:space="preserve">•  </w:t>
      </w:r>
      <w:r>
        <w:rPr>
          <w:rFonts w:ascii="Nunito Sans" w:hAnsi="Nunito Sans"/>
          <w:b/>
          <w:sz w:val="22"/>
          <w:szCs w:val="22"/>
        </w:rPr>
        <w:t xml:space="preserve">Deviations from current published clinical standards.</w:t>
      </w:r>
      <w:r>
        <w:rPr>
          <w:rFonts w:ascii="Nunito Sans" w:hAnsi="Nunito Sans"/>
          <w:sz w:val="22"/>
          <w:szCs w:val="22"/>
        </w:rPr>
        <w:t xml:space="preserve"> If something on screen doesn't match how you'd run the test in practice, please flag it with the published reference we should be conforming to.</w:t>
      </w:r>
    </w:p>
    <w:p>
      <w:pPr>
        <w:spacing w:after="60"/>
        <w:ind w:left="360"/>
      </w:pPr>
      <w:r>
        <w:rPr>
          <w:rFonts w:ascii="Nunito Sans" w:hAnsi="Nunito Sans"/>
          <w:sz w:val="22"/>
          <w:szCs w:val="22"/>
        </w:rPr>
        <w:t xml:space="preserve">•  </w:t>
      </w:r>
      <w:r>
        <w:rPr>
          <w:rFonts w:ascii="Nunito Sans" w:hAnsi="Nunito Sans"/>
          <w:b/>
          <w:sz w:val="22"/>
          <w:szCs w:val="22"/>
        </w:rPr>
        <w:t xml:space="preserve">Workflow friction.</w:t>
      </w:r>
      <w:r>
        <w:rPr>
          <w:rFonts w:ascii="Nunito Sans" w:hAnsi="Nunito Sans"/>
          <w:sz w:val="22"/>
          <w:szCs w:val="22"/>
        </w:rPr>
        <w:t xml:space="preserve"> Tablet-based testing introduces interaction patterns that paper-based or older instrument workflows didn't have. If a step feels awkward or wrong, that's exactly what we want to catch in this review.</w:t>
      </w:r>
    </w:p>
    <w:p>
      <w:pPr>
        <w:spacing w:after="60"/>
        <w:ind w:left="360"/>
      </w:pPr>
      <w:r>
        <w:rPr>
          <w:rFonts w:ascii="Nunito Sans" w:hAnsi="Nunito Sans"/>
          <w:sz w:val="22"/>
          <w:szCs w:val="22"/>
        </w:rPr>
        <w:t xml:space="preserve">•  </w:t>
      </w:r>
      <w:r>
        <w:rPr>
          <w:rFonts w:ascii="Nunito Sans" w:hAnsi="Nunito Sans"/>
          <w:b/>
          <w:sz w:val="22"/>
          <w:szCs w:val="22"/>
        </w:rPr>
        <w:t xml:space="preserve">Terminology and copy.</w:t>
      </w:r>
      <w:r>
        <w:rPr>
          <w:rFonts w:ascii="Nunito Sans" w:hAnsi="Nunito Sans"/>
          <w:sz w:val="22"/>
          <w:szCs w:val="22"/>
        </w:rPr>
        <w:t xml:space="preserve"> The clinical phrasing in interpretations, banners, and labels should read naturally to a doctor. If anything reads as institutional jargon, generic medical-software boilerplate, or just wrong — please flag it.</w:t>
      </w:r>
    </w:p>
    <w:p>
      <w:pPr>
        <w:spacing w:after="60"/>
        <w:ind w:left="360"/>
      </w:pPr>
      <w:r>
        <w:rPr>
          <w:rFonts w:ascii="Nunito Sans" w:hAnsi="Nunito Sans"/>
          <w:sz w:val="22"/>
          <w:szCs w:val="22"/>
        </w:rPr>
        <w:t xml:space="preserve">•  </w:t>
      </w:r>
      <w:r>
        <w:rPr>
          <w:rFonts w:ascii="Nunito Sans" w:hAnsi="Nunito Sans"/>
          <w:b/>
          <w:sz w:val="22"/>
          <w:szCs w:val="22"/>
        </w:rPr>
        <w:t xml:space="preserve">What's missing.</w:t>
      </w:r>
      <w:r>
        <w:rPr>
          <w:rFonts w:ascii="Nunito Sans" w:hAnsi="Nunito Sans"/>
          <w:sz w:val="22"/>
          <w:szCs w:val="22"/>
        </w:rPr>
        <w:t xml:space="preserve"> If an entire affordance or step that you'd expect to see is absent, that's high-value feedback.</w:t>
      </w:r>
    </w:p>
    <w:p>
      <w:pPr>
        <w:spacing w:after="120"/>
      </w:pPr>
      <w:r>
        <w:rPr>
          <w:rFonts w:ascii="Nunito Sans" w:hAnsi="Nunito Sans"/>
          <w:sz w:val="22"/>
          <w:szCs w:val="22"/>
        </w:rPr>
        <w:t xml:space="preserve">Please return your observations through the standard project channels. The development team will respond directly to clinical accuracy issues; UI/UX adjustments will be incorporated in the next design iteration.</w:t>
      </w:r>
    </w:p>
    <w:p>
      <w:pPr>
        <w:spacing w:after="0"/>
      </w:pPr>
    </w:p>
    <w:p>
      <w:pPr>
        <w:spacing w:after="120"/>
      </w:pPr>
      <w:r>
        <w:rPr>
          <w:rFonts w:ascii="Nunito Sans" w:hAnsi="Nunito Sans"/>
          <w:i/>
          <w:sz w:val="22"/>
          <w:szCs w:val="22"/>
        </w:rPr>
        <w:t xml:space="preserve">Method Marketing Agency · xoExam UI/UX Clinical Evaluation Brief · v0.3.3 · October 13, 2026</w:t>
      </w:r>
    </w:p>
    <w:sectPr>
      <w:pgSz w:w="12240" w:h="15840"/>
      <w:pgMar w:top="1440" w:right="1440" w:bottom="1440" w:left="1440" w:header="720" w:footer="720" w:gutter="0"/>
    </w:sectPr>
  </w:body>
</w:document>
</file>