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xoExam™ — Development Brief</w:t>
      </w:r>
    </w:p>
    <w:p>
      <w:pPr>
        <w:pStyle w:val="Heading2"/>
      </w:pPr>
      <w:r>
        <w:t xml:space="preserve">v0.2.5 · May 22, 2026 · Pupillometry · Beta scope CLOSED</w:t>
      </w:r>
    </w:p>
    <w:p>
      <w:pPr>
        <w:pStyle w:val="Normal"/>
      </w:pPr>
      <w:r>
        <w:rPr>
          <w:b/>
        </w:rPr>
        <w:t xml:space="preserve">Method Marketing Agency for Xenon Ophthalmics Inc.</w:t>
      </w:r>
    </w:p>
    <w:p>
      <w:pPr>
        <w:pStyle w:val="Heading2"/>
      </w:pPr>
      <w:r>
        <w:t xml:space="preserve">Executive summary</w:t>
      </w:r>
    </w:p>
    <w:p>
      <w:pPr>
        <w:pStyle w:val="Normal"/>
      </w:pPr>
      <w:r>
        <w:t xml:space="preserve">v0.2.5 brings </w:t>
      </w:r>
      <w:r>
        <w:rPr>
          <w:b/>
        </w:rPr>
        <w:t xml:space="preserve">Pupillometry</w:t>
      </w:r>
      <w:r>
        <w:t xml:space="preserve"> to clinical fidelity. This is the sixth and final test in the originally-defined beta scope — </w:t>
      </w:r>
      <w:r>
        <w:rPr>
          <w:b/>
        </w:rPr>
        <w:t xml:space="preserve">the beta scope is now closed</w:t>
      </w:r>
      <w:r>
        <w:t xml:space="preserve">. Six of the device's nineteen planned exams are at clinical fidelity in the prototype: Visual Acuity, Color Vision, Visual Fields, Wavefront Aberrometry, Extraocular Motility, and Pupillometry.</w:t>
      </w:r>
    </w:p>
    <w:p>
      <w:pPr>
        <w:pStyle w:val="Normal"/>
      </w:pPr>
      <w:r>
        <w:t xml:space="preserve">The rebuild replaced a 237-line static-only sketch with a ~1100-line clinical-fidelity component conforming to the Component Interface Contract — wrapped in ExamShell, three-phase flow, OD-first bilateral sequence, Patient Classification banner, four-pattern clinical flag system, Doctor sign-off. Net-new clinical content over the legacy implementation: dynamic pupillary light reflex (PLR) sub-test, NPi (Neurological Pupil index) composite per NeurOptics NPi-200 reference, swinging-flashlight RAPD assessment with six-grade clinical scale, age-banded reference range lookup driven by patient age input, and the light-vs-dark anisocoria differential rule.</w:t>
      </w:r>
    </w:p>
    <w:p>
      <w:pPr>
        <w:pStyle w:val="Normal"/>
      </w:pPr>
      <w:r>
        <w:t xml:space="preserve">The full handoff documentation set has been reissued at v0.2.5: Engineering Handoff Specification, Clinical Standards Reference, Clinical Evaluation Brief. Seven new open clinical questions have been added to the engineering kickoff agenda — see §H of the Pupillometry clinical spec.</w:t>
      </w:r>
    </w:p>
    <w:p>
      <w:pPr>
        <w:pStyle w:val="Heading2"/>
      </w:pPr>
      <w:r>
        <w:t xml:space="preserve">What changed</w:t>
      </w:r>
    </w:p>
    <w:p>
      <w:pPr>
        <w:pStyle w:val="Heading3"/>
      </w:pPr>
      <w:r>
        <w:t xml:space="preserve">PupillometryTest.jsx — rebuilt onto ExamShell with clinical fidelity</w:t>
      </w:r>
    </w:p>
    <w:p>
      <w:pPr>
        <w:pStyle w:val="Normal"/>
      </w:pPr>
      <w:r>
        <w:t xml:space="preserve">Architecture-level changes:</w:t>
      </w:r>
    </w:p>
    <w:p>
      <w:pPr>
        <w:pStyle w:val="ListBullet"/>
      </w:pPr>
      <w:r>
        <w:rPr>
          <w:b/>
        </w:rPr>
        <w:t xml:space="preserve">ExamShell wrapper.</w:t>
      </w:r>
      <w:r>
        <w:t xml:space="preserve"> Three-phase flow (ready = eye-mode + sub-test config + patient age input · testing = sub-step state machine · report). Internal cancel modal removed — ExamShell owns canonical Cancel UX (back arrow hidden during testing, labeled red "Cancel test" button takes over with confirm modal).</w:t>
      </w:r>
    </w:p>
    <w:p>
      <w:pPr>
        <w:pStyle w:val="ListBullet"/>
      </w:pPr>
      <w:r>
        <w:rPr>
          <w:b/>
        </w:rPr>
        <w:t xml:space="preserve">Sub-test state machine inside testing.</w:t>
      </w:r>
      <w:r>
        <w:t xml:space="preserve"> Three sub-steps (static → dynamic → swinging). Static and dynamic each iterate the OD-first bilateral eye sequence with a full-screen PUP_TransitionPrompt between eyes (patient-repositioning copy + eye-sequence breadcrumb). Swinging runs as a single screen with alternating-stimulus animation and per-eye RAPD graders.</w:t>
      </w:r>
    </w:p>
    <w:p>
      <w:pPr>
        <w:pStyle w:val="ListBullet"/>
      </w:pPr>
      <w:r>
        <w:rPr>
          <w:b/>
        </w:rPr>
        <w:t xml:space="preserve">OD-first bilateral sequence</w:t>
      </w:r>
      <w:r>
        <w:t xml:space="preserve"> with PUP_InlineEyePicker / PUP_EyeBreadcrumb / PUP_TransitionPrompt — pattern adapted from WFA v0.1.9, VF v0.1.8, EOM v0.2.1.</w:t>
      </w:r>
    </w:p>
    <w:p>
      <w:pPr>
        <w:pStyle w:val="ListBullet"/>
      </w:pPr>
      <w:r>
        <w:rPr>
          <w:b/>
        </w:rPr>
        <w:t xml:space="preserve">All top-level identifiers prefixed PUP_</w:t>
      </w:r>
      <w:r>
        <w:t xml:space="preserve"> per the cross-file naming-collision rule.</w:t>
      </w:r>
    </w:p>
    <w:p>
      <w:pPr>
        <w:pStyle w:val="ListBullet"/>
      </w:pPr>
      <w:r>
        <w:rPr>
          <w:b/>
        </w:rPr>
        <w:t xml:space="preserve">Light-theme chrome</w:t>
      </w:r>
      <w:r>
        <w:t xml:space="preserve"> matching the other clinical-fidelity tests; the iris viewer itself stays dark (clinically appropriate for the dim headset interior).</w:t>
      </w:r>
    </w:p>
    <w:p>
      <w:pPr>
        <w:pStyle w:val="Heading3"/>
      </w:pPr>
      <w:r>
        <w:t xml:space="preserve">Clinical-accuracy additions (5 major)</w:t>
      </w:r>
    </w:p>
    <w:p>
      <w:pPr>
        <w:pStyle w:val="ListNumber"/>
      </w:pPr>
      <w:r>
        <w:rPr>
          <w:b/>
        </w:rPr>
        <w:t xml:space="preserve">Age-banded reference range.</w:t>
      </w:r>
      <w:r>
        <w:t xml:space="preserve"> Patient age input on the setup screen drives a Winn et al. 1994 lookup table — six age bands (20s through 70+) × three light conditions (scotopic / mesopic / photopic), mean ± 1 SD. Captured values flag (↯ icon, red text) when outside the age-band range, both in the testing sub-bar tiles and in the report's Static measurements table. Full Winn table surfaces in the report's Age-banded reference values card with the patient's band highlighted.</w:t>
      </w:r>
    </w:p>
    <w:p>
      <w:pPr>
        <w:pStyle w:val="ListNumber"/>
      </w:pPr>
      <w:r>
        <w:rPr>
          <w:b/>
        </w:rPr>
        <w:t xml:space="preserve">Anisocoria interpretation upgraded.</w:t>
      </w:r>
      <w:r>
        <w:t xml:space="preserve"> Legacy code used &gt;1mm = significant at a single light condition — missed the most important clinical signal (whether the anisocoria changes with light). v0.2.5 adds:</w:t>
      </w:r>
    </w:p>
    <w:p>
      <w:pPr>
        <w:pStyle w:val="Normal"/>
      </w:pPr>
      <w:r>
        <w:t xml:space="preserve">   - Anisocoria computed at each of the three light conditions (color-coded per severity band)</w:t>
      </w:r>
    </w:p>
    <w:p>
      <w:pPr>
        <w:pStyle w:val="Normal"/>
      </w:pPr>
      <w:r>
        <w:t xml:space="preserve">   - Dedicated light-vs-dark differential row in the Static measurements table — |aniso(dark) − aniso(light)|, flagged red at ≥ 0.3 mm with "≥ 0.3 mm = pathological pattern" annotation</w:t>
      </w:r>
    </w:p>
    <w:p>
      <w:pPr>
        <w:pStyle w:val="Normal"/>
      </w:pPr>
      <w:r>
        <w:t xml:space="preserve">   - PUP_getAnisocoriaSeverity + PUP_getClinicalFlag use the differential to distinguish sympathetic (Horner's, worse-in-dark) from parasympathetic (CN III, Adie's, pharmacologic, worse-in-light) patterns</w:t>
      </w:r>
    </w:p>
    <w:p>
      <w:pPr>
        <w:pStyle w:val="ListNumber"/>
      </w:pPr>
      <w:r>
        <w:rPr>
          <w:b/>
        </w:rPr>
        <w:t xml:space="preserve">Dynamic pupillary light reflex sub-test added.</w:t>
      </w:r>
      <w:r>
        <w:t xml:space="preserve"> Net-new clinical content. PUP_LightReflexChart renders an SVG line graph of pupil size vs. time over a 3-second window with stimulus marker, baseline reference line, peak-constriction annotation. Six summary metric tiles (baseline / min / constriction % / latency / constriction velocity / T75 redilation). Production firmware will emit the real time-series; the prototype computes a piecewise-modelled curve from PUP_simulateDynamics.</w:t>
      </w:r>
    </w:p>
    <w:p>
      <w:pPr>
        <w:pStyle w:val="ListNumber"/>
      </w:pPr>
      <w:r>
        <w:rPr>
          <w:b/>
        </w:rPr>
        <w:t xml:space="preserve">NPi (Neurological Pupil index) composite.</w:t>
      </w:r>
      <w:r>
        <w:t xml:space="preserve"> Net-new clinical metric. PUP_computeNPi produces a 0–5 score from the dynamic measurement; PUP_npiSeverity thresholds per NeurOptics NPi-200 reference (≥ 3.0 normal / 2.5–3.0 borderline / &lt; 2.5 abnormal). Surfaced per eye in the dynamic sub-test as a prominent severity-tinted tile and again in the report's Dynamic measurements card.</w:t>
      </w:r>
    </w:p>
    <w:p>
      <w:pPr>
        <w:pStyle w:val="ListNumber"/>
      </w:pPr>
      <w:r>
        <w:rPr>
          <w:b/>
        </w:rPr>
        <w:t xml:space="preserve">Swinging flashlight (RAPD) sub-test added.</w:t>
      </w:r>
      <w:r>
        <w:t xml:space="preserve"> Net-new clinical content. PUP_SwingingScreen runs an alternating-stimulus animation across two iris viewers (3-second dwell, configurable via Start/Pause stimulus button). Each eye gets its own six-option grade selector — None / Trace / 1+ / 2+ / 3+ / 4+ — with descriptive copy at the bottom and per-eye severity bands.</w:t>
      </w:r>
    </w:p>
    <w:p>
      <w:pPr>
        <w:pStyle w:val="Heading3"/>
      </w:pPr>
      <w:r>
        <w:t xml:space="preserve">Report-level additions</w:t>
      </w:r>
    </w:p>
    <w:p>
      <w:pPr>
        <w:pStyle w:val="ListBullet"/>
      </w:pPr>
      <w:r>
        <w:rPr>
          <w:b/>
        </w:rPr>
        <w:t xml:space="preserve">Patient Classification banner</w:t>
      </w:r>
      <w:r>
        <w:t xml:space="preserve"> with worst-finding-drives-bottom-line severity (normal / mild / significant) + per-finding summary pills (anisocoria · NPi per eye · RAPD).</w:t>
      </w:r>
    </w:p>
    <w:p>
      <w:pPr>
        <w:pStyle w:val="ListBullet"/>
      </w:pPr>
      <w:r>
        <w:rPr>
          <w:b/>
        </w:rPr>
        <w:t xml:space="preserve">Four-pattern clinical flag system</w:t>
      </w:r>
      <w:r>
        <w:t xml:space="preserve"> in the report — each pattern emits its own labeled red-surface flag with specific differential and referral copy:</w:t>
      </w:r>
    </w:p>
    <w:p>
      <w:pPr>
        <w:pStyle w:val="Normal"/>
      </w:pPr>
      <w:r>
        <w:t xml:space="preserve">  - Sympathetic Horner's pattern (anisocoria greater in dark)</w:t>
      </w:r>
    </w:p>
    <w:p>
      <w:pPr>
        <w:pStyle w:val="Normal"/>
      </w:pPr>
      <w:r>
        <w:t xml:space="preserve">  - Parasympathetic CN III / Adie's pattern (anisocoria greater in light)</w:t>
      </w:r>
    </w:p>
    <w:p>
      <w:pPr>
        <w:pStyle w:val="Normal"/>
      </w:pPr>
      <w:r>
        <w:t xml:space="preserve">  - Optic nerve RAPD pattern (RAPD ≥ 1+ on either eye)</w:t>
      </w:r>
    </w:p>
    <w:p>
      <w:pPr>
        <w:pStyle w:val="Normal"/>
      </w:pPr>
      <w:r>
        <w:t xml:space="preserve">  - Neurological NPi pattern (NPi &lt; 2.5 on either eye)</w:t>
      </w:r>
    </w:p>
    <w:p>
      <w:pPr>
        <w:pStyle w:val="ListBullet"/>
      </w:pPr>
      <w:r>
        <w:rPr>
          <w:b/>
        </w:rPr>
        <w:t xml:space="preserve">Clinical Interpretation card</w:t>
      </w:r>
      <w:r>
        <w:t xml:space="preserve"> with severity tint + finding-by-finding bullet list (each age-banded deviation, each pathological anisocoria pattern, each NPi finding, each RAPD finding enumerated).</w:t>
      </w:r>
    </w:p>
    <w:p>
      <w:pPr>
        <w:pStyle w:val="ListBullet"/>
      </w:pPr>
      <w:r>
        <w:rPr>
          <w:b/>
        </w:rPr>
        <w:t xml:space="preserve">Age-banded reference values card</w:t>
      </w:r>
      <w:r>
        <w:t xml:space="preserve"> with the full Winn table and the patient's age band highlighted — so the printed report stands alone.</w:t>
      </w:r>
    </w:p>
    <w:p>
      <w:pPr>
        <w:pStyle w:val="Heading3"/>
      </w:pPr>
      <w:r>
        <w:t xml:space="preserve">Visual sweep</w:t>
      </w:r>
    </w:p>
    <w:p>
      <w:pPr>
        <w:pStyle w:val="ListBullet"/>
      </w:pPr>
      <w:r>
        <w:t xml:space="preserve">Legacy linear-gradient(135deg,accent,#155bcc) Begin Test button replaced with solid accent (matches the no-gradient convention established in v0.1.8+).</w:t>
      </w:r>
    </w:p>
    <w:p>
      <w:pPr>
        <w:pStyle w:val="ListBullet"/>
      </w:pPr>
      <w:r>
        <w:t xml:space="preserve">Vivid purple / blue / amber light-level pills replaced with brand-palette segmented control. Severity coding doesn't apply to light conditions (scotopic isn't "purple severity"), so the old palette was clinically misleading.</w:t>
      </w:r>
    </w:p>
    <w:p>
      <w:pPr>
        <w:pStyle w:val="ListBullet"/>
      </w:pPr>
      <w:r>
        <w:t xml:space="preserve">Emoji-style ⚠ Significant / ✓ Normal indicators replaced with SVG icons throughout.</w:t>
      </w:r>
    </w:p>
    <w:p>
      <w:pPr>
        <w:pStyle w:val="ListBullet"/>
      </w:pPr>
      <w:r>
        <w:t xml:space="preserve">"Save Results" / "Print Report" action buttons replaced with the canonical "Export report" / "Compare" / "Certify &amp; close" trio.</w:t>
      </w:r>
    </w:p>
    <w:p>
      <w:pPr>
        <w:pStyle w:val="ListBullet"/>
      </w:pPr>
      <w:r>
        <w:rPr>
          <w:b/>
        </w:rPr>
        <w:t xml:space="preserve">Doctor sign-off</w:t>
      </w:r>
      <w:r>
        <w:t xml:space="preserve"> label above Certify &amp; close, matching the v0.1.9 pattern established for clinical-fidelity tests.</w:t>
      </w:r>
    </w:p>
    <w:p>
      <w:pPr>
        <w:pStyle w:val="ListBullet"/>
      </w:pPr>
      <w:r>
        <w:t xml:space="preserve">Sentence-case sweep across all buttons and labels.</w:t>
      </w:r>
    </w:p>
    <w:p>
      <w:pPr>
        <w:pStyle w:val="Heading2"/>
      </w:pPr>
      <w:r>
        <w:t xml:space="preserve">Beta scope status</w:t>
      </w:r>
    </w:p>
    <w:p>
      <w:pPr>
        <w:pStyle w:val="Normal"/>
      </w:pPr>
      <w:r>
        <w:rPr>
          <w:b/>
        </w:rPr>
        <w:t xml:space="preserve">The originally-defined beta scope is now CLOSED.</w:t>
      </w:r>
      <w:r>
        <w:t xml:space="preserve"> All six tests have been brought to clinical fidelity:</w:t>
      </w:r>
    </w:p>
    <w:p>
      <w:pPr>
        <w:pStyle w:val="Normal"/>
      </w:pPr>
      <w:r>
        <w:t xml:space="preserve">#  ·  Test  ·  Clinical-fidelity version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1  ·  Visual Acuity  ·  v0.2.3</w:t>
      </w:r>
    </w:p>
    <w:p>
      <w:pPr>
        <w:pStyle w:val="Normal"/>
      </w:pPr>
      <w:r>
        <w:t xml:space="preserve">2  ·  Color Vision (Ishihara + D-15 Farnsworth)  ·  v0.1.7</w:t>
      </w:r>
    </w:p>
    <w:p>
      <w:pPr>
        <w:pStyle w:val="Normal"/>
      </w:pPr>
      <w:r>
        <w:t xml:space="preserve">3  ·  Visual Fields  ·  v0.1.8</w:t>
      </w:r>
    </w:p>
    <w:p>
      <w:pPr>
        <w:pStyle w:val="Normal"/>
      </w:pPr>
      <w:r>
        <w:t xml:space="preserve">4  ·  Wavefront Aberrometry  ·  v0.1.9</w:t>
      </w:r>
    </w:p>
    <w:p>
      <w:pPr>
        <w:pStyle w:val="Normal"/>
      </w:pPr>
      <w:r>
        <w:t xml:space="preserve">5  ·  Extraocular Motility  ·  v0.2.1</w:t>
      </w:r>
    </w:p>
    <w:p>
      <w:pPr>
        <w:pStyle w:val="Normal"/>
      </w:pPr>
      <w:r>
        <w:t xml:space="preserve">6  ·  Pupillometry  ·  v0.2.5</w:t>
      </w:r>
    </w:p>
    <w:p>
      <w:pPr>
        <w:pStyle w:val="Normal"/>
      </w:pPr>
      <w:r>
        <w:t xml:space="preserve">The remaining 13 tests in the catalog are visual-fidelity placeholders awaiting their own clinical rebuilds in post-beta releases. The clinical evaluation panel's input on which of the 13 to prioritise next is welcomed.</w:t>
      </w:r>
    </w:p>
    <w:p>
      <w:pPr>
        <w:pStyle w:val="Heading2"/>
      </w:pPr>
      <w:r>
        <w:t xml:space="preserve">New open clinical questions (from Pupillometry §H)</w:t>
      </w:r>
    </w:p>
    <w:p>
      <w:pPr>
        <w:pStyle w:val="Normal"/>
      </w:pPr>
      <w:r>
        <w:t xml:space="preserve">These are added to the engineering kickoff agenda:</w:t>
      </w:r>
    </w:p>
    <w:p>
      <w:pPr>
        <w:pStyle w:val="ListNumber"/>
      </w:pPr>
      <w:r>
        <w:rPr>
          <w:b/>
        </w:rPr>
        <w:t xml:space="preserve">Dynamic data shape from firmware.</w:t>
      </w:r>
      <w:r>
        <w:t xml:space="preserve"> Time-series at ~30 Hz, or only summary metrics?</w:t>
      </w:r>
    </w:p>
    <w:p>
      <w:pPr>
        <w:pStyle w:val="ListNumber"/>
      </w:pPr>
      <w:r>
        <w:rPr>
          <w:b/>
        </w:rPr>
        <w:t xml:space="preserve">NPi computation location.</w:t>
      </w:r>
      <w:r>
        <w:t xml:space="preserve"> Firmware-side (NeurOptics-style) or UI/cloud-side from the time-series?</w:t>
      </w:r>
    </w:p>
    <w:p>
      <w:pPr>
        <w:pStyle w:val="ListNumber"/>
      </w:pPr>
      <w:r>
        <w:rPr>
          <w:b/>
        </w:rPr>
        <w:t xml:space="preserve">Swinging flashlight automation.</w:t>
      </w:r>
      <w:r>
        <w:t xml:space="preserve"> Headset-driven alternation, or technician-driven?</w:t>
      </w:r>
    </w:p>
    <w:p>
      <w:pPr>
        <w:pStyle w:val="ListNumber"/>
      </w:pPr>
      <w:r>
        <w:rPr>
          <w:b/>
        </w:rPr>
        <w:t xml:space="preserve">Pupil response clicker.</w:t>
      </w:r>
      <w:r>
        <w:t xml:space="preserve"> Pupillometry is passive — confirm clicker is not used.</w:t>
      </w:r>
    </w:p>
    <w:p>
      <w:pPr>
        <w:pStyle w:val="ListNumber"/>
      </w:pPr>
      <w:r>
        <w:rPr>
          <w:b/>
        </w:rPr>
        <w:t xml:space="preserve">Pharmacologic pupillometry workflow.</w:t>
      </w:r>
      <w:r>
        <w:t xml:space="preserve"> Cocaine / apraclonidine / pilocarpine protocols — Xenon's roadmap?</w:t>
      </w:r>
    </w:p>
    <w:p>
      <w:pPr>
        <w:pStyle w:val="ListNumber"/>
      </w:pPr>
      <w:r>
        <w:rPr>
          <w:b/>
        </w:rPr>
        <w:t xml:space="preserve">Ambient light measurement.</w:t>
      </w:r>
      <w:r>
        <w:t xml:space="preserve"> Real headset-interior lux readback, or assume calibrated dark?</w:t>
      </w:r>
    </w:p>
    <w:p>
      <w:pPr>
        <w:pStyle w:val="ListNumber"/>
      </w:pPr>
      <w:r>
        <w:rPr>
          <w:b/>
        </w:rPr>
        <w:t xml:space="preserve">Adaptation time enforcement.</w:t>
      </w:r>
      <w:r>
        <w:t xml:space="preserve"> Firmware-enforced ≥ 5 min dark adaptation, or UI countdown timer needed?</w:t>
      </w:r>
    </w:p>
    <w:p>
      <w:pPr>
        <w:pStyle w:val="Heading2"/>
      </w:pPr>
      <w:r>
        <w:t xml:space="preserve">Document set issued at v0.2.5</w:t>
      </w:r>
    </w:p>
    <w:p>
      <w:pPr>
        <w:pStyle w:val="Normal"/>
      </w:pPr>
      <w:r>
        <w:t xml:space="preserve">Document  ·  Status</w:t>
      </w:r>
    </w:p>
    <w:p>
      <w:pPr>
        <w:pStyle w:val="Normal"/>
      </w:pPr>
      <w:r>
        <w:t xml:space="preserve">|---|---|</w:t>
      </w:r>
    </w:p>
    <w:p>
      <w:pPr>
        <w:pStyle w:val="Normal"/>
      </w:pPr>
      <w:r>
        <w:t xml:space="preserve">xoExam UI-UX Engineering Handoff Specification v0.2.5.docx  ·  New — supersedes v0.2.1</w:t>
      </w:r>
    </w:p>
    <w:p>
      <w:pPr>
        <w:pStyle w:val="Normal"/>
      </w:pPr>
      <w:r>
        <w:t xml:space="preserve">xoExam Development Brief 05-22-2026 v0.2.5.docx  ·  New release-specific brief</w:t>
      </w:r>
    </w:p>
    <w:p>
      <w:pPr>
        <w:pStyle w:val="Normal"/>
      </w:pPr>
      <w:r>
        <w:t xml:space="preserve">xoExam Development Brief.docx (cumulative)  ·  Updated with v0.2.5 entry</w:t>
      </w:r>
    </w:p>
    <w:p>
      <w:pPr>
        <w:pStyle w:val="Normal"/>
      </w:pPr>
      <w:r>
        <w:t xml:space="preserve">xoExam Clinical Standards Reference.md / .docx  ·  Updated to v0.2.5 — added Pupillometry §6, updated scope-of-fidelity table</w:t>
      </w:r>
    </w:p>
    <w:p>
      <w:pPr>
        <w:pStyle w:val="Normal"/>
      </w:pPr>
      <w:r>
        <w:t xml:space="preserve">xoExam Clinical Evaluation Brief.md / .docx  ·  Updated — added Pupillometry §6, removed from "not yet at clinical fidelity" list</w:t>
      </w:r>
    </w:p>
    <w:p>
      <w:pPr>
        <w:pStyle w:val="Normal"/>
      </w:pPr>
      <w:r>
        <w:t xml:space="preserve">briefs/Pupillometry_Clinical_Spec_v2.md  ·  Authoritative clinical spec (already in repo since pre-rebuild scoping)</w:t>
      </w:r>
    </w:p>
    <w:p>
      <w:pPr>
        <w:pStyle w:val="Normal"/>
      </w:pPr>
      <w:r>
        <w:t xml:space="preserve">CLAUDE.md  ·  v0.2.5 entry appended to version log; test stream status table updated; beta scope marked CLOSED</w:t>
      </w:r>
    </w:p>
    <w:p>
      <w:pPr>
        <w:pStyle w:val="Normal"/>
      </w:pPr>
      <w:r>
        <w:t xml:space="preserve">README.md  ·  Status bumped to v0.2.5</w:t>
      </w:r>
    </w:p>
    <w:p>
      <w:pPr>
        <w:pStyle w:val="Heading2"/>
      </w:pPr>
      <w:r>
        <w:t xml:space="preserve">Deployment</w:t>
      </w:r>
    </w:p>
    <w:p>
      <w:pPr>
        <w:pStyle w:val="ListBullet"/>
      </w:pPr>
      <w:r>
        <w:rPr>
          <w:b/>
        </w:rPr>
        <w:t xml:space="preserve">Code:</w:t>
      </w:r>
      <w:r>
        <w:t xml:space="preserve"> components/PupillometryTest.jsx (replaced)</w:t>
      </w:r>
    </w:p>
    <w:p>
      <w:pPr>
        <w:pStyle w:val="ListBullet"/>
      </w:pPr>
      <w:r>
        <w:rPr>
          <w:b/>
        </w:rPr>
        <w:t xml:space="preserve">Title bumped:</w:t>
      </w:r>
      <w:r>
        <w:t xml:space="preserve"> index.html → v0.2.5</w:t>
      </w:r>
    </w:p>
    <w:p>
      <w:pPr>
        <w:pStyle w:val="ListBullet"/>
      </w:pPr>
      <w:r>
        <w:rPr>
          <w:b/>
        </w:rPr>
        <w:t xml:space="preserve">Deploy harness:</w:t>
      </w:r>
      <w:r>
        <w:t xml:space="preserve"> deploy.html → v0.2.5</w:t>
      </w:r>
    </w:p>
    <w:p>
      <w:pPr>
        <w:pStyle w:val="ListBullet"/>
      </w:pPr>
      <w:r>
        <w:rPr>
          <w:b/>
        </w:rPr>
        <w:t xml:space="preserve">Distribution package:</w:t>
      </w:r>
      <w:r>
        <w:t xml:space="preserve"> _dist_v0.2.5/</w:t>
      </w:r>
    </w:p>
    <w:p>
      <w:pPr>
        <w:pStyle w:val="ListBullet"/>
      </w:pPr>
      <w:r>
        <w:rPr>
          <w:b/>
        </w:rPr>
        <w:t xml:space="preserve">Live:</w:t>
      </w:r>
      <w:r>
        <w:t xml:space="preserve"> [xoexam-uiux.netlify.app](https://xoexam-uiux.netlify.app)</w:t>
      </w:r>
    </w:p>
    <w:p>
      <w:pPr>
        <w:pStyle w:val="Normal"/>
      </w:pPr>
      <w:r>
        <w:t xml:space="preserve">Method Marketing Agency · xoExam UI/UX Development Brief · v0.2.5 · May 22, 2026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next w:val="Normal"/>
    <w:pPr>
      <w:spacing w:before="360" w:after="180"/>
    </w:pPr>
    <w:rPr>
      <w:b/>
      <w:color w:val="0E2F5E"/>
      <w:sz w:val="40"/>
    </w:rPr>
  </w:style>
  <w:style w:type="paragraph" w:styleId="Heading2">
    <w:name w:val="heading 2"/>
    <w:basedOn w:val="Normal"/>
    <w:next w:val="Normal"/>
    <w:pPr>
      <w:spacing w:before="300" w:after="120"/>
    </w:pPr>
    <w:rPr>
      <w:b/>
      <w:color w:val="0E2F5E"/>
      <w:sz w:val="32"/>
    </w:rPr>
  </w:style>
  <w:style w:type="paragraph" w:styleId="Heading3">
    <w:name w:val="heading 3"/>
    <w:basedOn w:val="Normal"/>
    <w:next w:val="Normal"/>
    <w:pPr>
      <w:spacing w:before="240" w:after="100"/>
    </w:pPr>
    <w:rPr>
      <w:b/>
      <w:color w:val="1F8EFF"/>
      <w:sz w:val="26"/>
    </w:rPr>
  </w:style>
  <w:style w:type="paragraph" w:styleId="Heading4">
    <w:name w:val="heading 4"/>
    <w:basedOn w:val="Normal"/>
    <w:next w:val="Normal"/>
    <w:pPr>
      <w:spacing w:before="180" w:after="60"/>
    </w:pPr>
    <w:rPr>
      <w:b/>
      <w:sz w:val="22"/>
    </w:rPr>
  </w:style>
  <w:style w:type="paragraph" w:styleId="Quote">
    <w:name w:val="Quote"/>
    <w:basedOn w:val="Normal"/>
    <w:pPr>
      <w:ind w:left="360"/>
    </w:pPr>
    <w:rPr>
      <w:i/>
      <w:color w:val="6B7280"/>
    </w:rPr>
  </w:style>
  <w:style w:type="paragraph" w:styleId="ListBullet">
    <w:name w:val="List Bullet"/>
    <w:basedOn w:val="Normal"/>
    <w:pPr>
      <w:ind w:left="360" w:hanging="180"/>
    </w:pPr>
  </w:style>
  <w:style w:type="paragraph" w:styleId="ListNumber">
    <w:name w:val="List Number"/>
    <w:basedOn w:val="Normal"/>
    <w:pPr>
      <w:ind w:left="360" w:hanging="1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