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Clinical Standards Reference</w:t>
      </w:r>
    </w:p>
    <w:p>
      <w:pPr/>
      <w:r>
        <w:rPr>
          <w:i/>
          <w:color w:val="6B7280"/>
        </w:rPr>
        <w:t xml:space="preserve">A guide for the clinical team evaluating the prototype</w:t>
      </w:r>
    </w:p>
    <w:p>
      <w:pPr/>
      <w:r>
        <w:rPr>
          <w:i/>
          <w:color w:val="6B7280"/>
        </w:rPr>
        <w:t xml:space="preserve">Method Marketing Agency · May 22, 2026 · Version 0.2.2</w:t>
      </w:r>
    </w:p>
    <w:p>
      <w:pPr/>
      <w:r>
        <w:t xml:space="preserve"/>
      </w:r>
    </w:p>
    <w:p>
      <w:pPr/>
      <w:r>
        <w:rPr>
          <w:i/>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w:t>
      </w:r>
    </w:p>
    <w:p>
      <w:pPr/>
      <w:r>
        <w:rPr>
          <w:i/>
        </w:rPr>
        <w:t xml:space="preserve">This is not a regulatory submission, a clinical validation report, or a substitute for instrument calibration. It is a transparency document — a list of what the design adheres to so a clinician can quickly verify "does this match what I do in practice?"</w:t>
      </w:r>
    </w:p>
    <w:p>
      <w:pPr>
        <w:pStyle w:val="Heading2"/>
      </w:pPr>
      <w:r>
        <w:t xml:space="preserve">How to use this document</w:t>
      </w:r>
    </w:p>
    <w:p>
      <w:pPr/>
      <w:r>
        <w:t xml:space="preserve">For each test, three things are documented:</w:t>
      </w:r>
    </w:p>
    <w:p>
      <w:pPr>
        <w:numPr>
          <w:ilvl w:val="0"/>
          <w:numId w:val="1"/>
        </w:numPr>
      </w:pPr>
      <w:r>
        <w:t xml:space="preserve">Reference standard — the published clinical reference the test was designed against.</w:t>
      </w:r>
    </w:p>
    <w:p>
      <w:pPr>
        <w:numPr>
          <w:ilvl w:val="0"/>
          <w:numId w:val="1"/>
        </w:numPr>
      </w:pPr>
      <w:r>
        <w:t xml:space="preserve">What's implemented — the specific clinical conventions visible in the user interface.</w:t>
      </w:r>
    </w:p>
    <w:p>
      <w:pPr>
        <w:numPr>
          <w:ilvl w:val="0"/>
          <w:numId w:val="1"/>
        </w:numPr>
      </w:pPr>
      <w:r>
        <w:t xml:space="preserve">Open clinical questions — items still pending engineering or clinical decision; included so the evaluation team knows what is not yet final.</w:t>
      </w:r>
    </w:p>
    <w:p>
      <w:pPr/>
      <w:r>
        <w:rPr>
          <w:i/>
        </w:rPr>
        <w:t xml:space="preserve">Tests not listed in this guide are at visual placeholder fidelity: the UI looks correct and the screens flow correctly, but the clinical layer (scoring, scales, interpretation logic) has not yet been reviewed or rebuilt. These are flagged at the end of the guide.</w:t>
      </w:r>
    </w:p>
    <w:p>
      <w:pPr>
        <w:pStyle w:val="Heading2"/>
      </w:pPr>
      <w:r>
        <w:t xml:space="preserve">Scope of clinical fidelity in v0.2.2</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Test</w:t>
            </w:r>
          </w:p>
        </w:tc>
        <w:tc>
          <w:tcPr>
            <w:tcW w:w="0" w:type="auto"/>
            <w:shd w:val="clear" w:color="auto" w:fill="0E2F5E"/>
          </w:tcPr>
          <w:p>
            <w:pPr/>
            <w:r>
              <w:rPr>
                <w:b/>
                <w:sz w:val="18"/>
                <w:color w:val="FFFFFF"/>
              </w:rPr>
              <w:t xml:space="preserve">Reference standard</w:t>
            </w:r>
          </w:p>
        </w:tc>
        <w:tc>
          <w:tcPr>
            <w:tcW w:w="0" w:type="auto"/>
            <w:shd w:val="clear" w:color="auto" w:fill="0E2F5E"/>
          </w:tcPr>
          <w:p>
            <w:pPr/>
            <w:r>
              <w:rPr>
                <w:b/>
                <w:sz w:val="18"/>
                <w:color w:val="FFFFFF"/>
              </w:rPr>
              <w:t xml:space="preserve">Version</w:t>
            </w:r>
          </w:p>
        </w:tc>
      </w:tr>
      <w:tr>
        <w:tc>
          <w:tcPr>
            <w:tcW w:w="0" w:type="auto"/>
          </w:tcPr>
          <w:p>
            <w:pPr/>
            <w:r>
              <w:rPr>
                <w:sz w:val="18"/>
              </w:rPr>
              <w:t xml:space="preserve">Visual Acuity</w:t>
            </w:r>
          </w:p>
        </w:tc>
        <w:tc>
          <w:tcPr>
            <w:tcW w:w="0" w:type="auto"/>
          </w:tcPr>
          <w:p>
            <w:pPr/>
            <w:r>
              <w:rPr>
                <w:sz w:val="18"/>
              </w:rPr>
              <w:t xml:space="preserve">Snellen / Tumbling E / Numbers chart</w:t>
            </w:r>
          </w:p>
        </w:tc>
        <w:tc>
          <w:tcPr>
            <w:tcW w:w="0" w:type="auto"/>
          </w:tcPr>
          <w:p>
            <w:pPr/>
            <w:r>
              <w:rPr>
                <w:sz w:val="18"/>
              </w:rPr>
              <w:t xml:space="preserve">v0.1.4 — pending v2 spec backfill</w:t>
            </w:r>
          </w:p>
        </w:tc>
      </w:tr>
      <w:tr>
        <w:tc>
          <w:tcPr>
            <w:tcW w:w="0" w:type="auto"/>
          </w:tcPr>
          <w:p>
            <w:pPr/>
            <w:r>
              <w:rPr>
                <w:sz w:val="18"/>
              </w:rPr>
              <w:t xml:space="preserve">Color Vision</w:t>
            </w:r>
          </w:p>
        </w:tc>
        <w:tc>
          <w:tcPr>
            <w:tcW w:w="0" w:type="auto"/>
          </w:tcPr>
          <w:p>
            <w:pPr/>
            <w:r>
              <w:rPr>
                <w:sz w:val="18"/>
              </w:rPr>
              <w:t xml:space="preserve">Ishihara plates + D-15 Farnsworth</w:t>
            </w:r>
          </w:p>
        </w:tc>
        <w:tc>
          <w:tcPr>
            <w:tcW w:w="0" w:type="auto"/>
          </w:tcPr>
          <w:p>
            <w:pPr/>
            <w:r>
              <w:rPr>
                <w:sz w:val="18"/>
              </w:rPr>
              <w:t xml:space="preserve">v0.1.7</w:t>
            </w:r>
          </w:p>
        </w:tc>
      </w:tr>
      <w:tr>
        <w:tc>
          <w:tcPr>
            <w:tcW w:w="0" w:type="auto"/>
          </w:tcPr>
          <w:p>
            <w:pPr/>
            <w:r>
              <w:rPr>
                <w:sz w:val="18"/>
              </w:rPr>
              <w:t xml:space="preserve">Visual Fields</w:t>
            </w:r>
          </w:p>
        </w:tc>
        <w:tc>
          <w:tcPr>
            <w:tcW w:w="0" w:type="auto"/>
          </w:tcPr>
          <w:p>
            <w:pPr/>
            <w:r>
              <w:rPr>
                <w:sz w:val="18"/>
              </w:rPr>
              <w:t xml:space="preserve">Humphrey Field Analyzer / Goldmann</w:t>
            </w:r>
          </w:p>
        </w:tc>
        <w:tc>
          <w:tcPr>
            <w:tcW w:w="0" w:type="auto"/>
          </w:tcPr>
          <w:p>
            <w:pPr/>
            <w:r>
              <w:rPr>
                <w:sz w:val="18"/>
              </w:rPr>
              <w:t xml:space="preserve">v0.1.8</w:t>
            </w:r>
          </w:p>
        </w:tc>
      </w:tr>
      <w:tr>
        <w:tc>
          <w:tcPr>
            <w:tcW w:w="0" w:type="auto"/>
          </w:tcPr>
          <w:p>
            <w:pPr/>
            <w:r>
              <w:rPr>
                <w:sz w:val="18"/>
              </w:rPr>
              <w:t xml:space="preserve">Wavefront Aberrometry</w:t>
            </w:r>
          </w:p>
        </w:tc>
        <w:tc>
          <w:tcPr>
            <w:tcW w:w="0" w:type="auto"/>
          </w:tcPr>
          <w:p>
            <w:pPr/>
            <w:r>
              <w:rPr>
                <w:sz w:val="18"/>
              </w:rPr>
              <w:t xml:space="preserve">Hartmann-Shack sensor / Zernike polynomial</w:t>
            </w:r>
          </w:p>
        </w:tc>
        <w:tc>
          <w:tcPr>
            <w:tcW w:w="0" w:type="auto"/>
          </w:tcPr>
          <w:p>
            <w:pPr/>
            <w:r>
              <w:rPr>
                <w:sz w:val="18"/>
              </w:rPr>
              <w:t xml:space="preserve">v0.1.9</w:t>
            </w:r>
          </w:p>
        </w:tc>
      </w:tr>
      <w:tr>
        <w:tc>
          <w:tcPr>
            <w:tcW w:w="0" w:type="auto"/>
          </w:tcPr>
          <w:p>
            <w:pPr/>
            <w:r>
              <w:rPr>
                <w:sz w:val="18"/>
              </w:rPr>
              <w:t xml:space="preserve">Extraocular Motility</w:t>
            </w:r>
          </w:p>
        </w:tc>
        <w:tc>
          <w:tcPr>
            <w:tcW w:w="0" w:type="auto"/>
          </w:tcPr>
          <w:p>
            <w:pPr/>
            <w:r>
              <w:rPr>
                <w:sz w:val="18"/>
              </w:rPr>
              <w:t xml:space="preserve">International 0 to ±4 EOM grading</w:t>
            </w:r>
          </w:p>
        </w:tc>
        <w:tc>
          <w:tcPr>
            <w:tcW w:w="0" w:type="auto"/>
          </w:tcPr>
          <w:p>
            <w:pPr/>
            <w:r>
              <w:rPr>
                <w:sz w:val="18"/>
              </w:rPr>
              <w:t xml:space="preserve">v0.2.1</w:t>
            </w:r>
          </w:p>
        </w:tc>
      </w:tr>
    </w:tbl>
    <w:p>
      <w:pPr/>
      <w:r>
        <w:rPr>
          <w:i/>
        </w:rPr>
        <w:t xml:space="preserve">Pupillometry will join this list at v0.2.5; the remaining 13 tests are visual-fidelity placeholders awaiting their own clinical rebuilds.</w:t>
      </w:r>
    </w:p>
    <w:p>
      <w:pPr>
        <w:pStyle w:val="Heading2"/>
      </w:pPr>
      <w:r>
        <w:t xml:space="preserve">1. Visual Acuity (v0.1.4 · pending v2 spec backfill)</w:t>
      </w:r>
    </w:p>
    <w:p>
      <w:pPr>
        <w:pStyle w:val="Heading3"/>
      </w:pPr>
      <w:r>
        <w:t xml:space="preserve">Reference standard</w:t>
      </w:r>
    </w:p>
    <w:p>
      <w:pPr/>
      <w:r>
        <w:t xml:space="preserve">Distance visual acuity measured using the Snellen notation system (20/x feet equivalent), the most widely recognized clinical convention in U.S. practice. Three chart types are supported in the prototype: standard Snellen letters, numbers (for non-readers), and Tumbling E (for non-Latin literacy or pediatric use).</w:t>
      </w:r>
    </w:p>
    <w:p>
      <w:pPr>
        <w:pStyle w:val="Heading3"/>
      </w:pPr>
      <w:r>
        <w:t xml:space="preserve">What's implemented</w:t>
      </w:r>
    </w:p>
    <w:p>
      <w:pPr>
        <w:numPr>
          <w:ilvl w:val="0"/>
          <w:numId w:val="1"/>
        </w:numPr>
      </w:pPr>
      <w:r>
        <w:t xml:space="preserve">Chart progression: 10 lines, 20/200 → 20/10</w:t>
      </w:r>
    </w:p>
    <w:p>
      <w:pPr>
        <w:numPr>
          <w:ilvl w:val="0"/>
          <w:numId w:val="1"/>
        </w:numPr>
      </w:pPr>
      <w:r>
        <w:t xml:space="preserve">Letter pool: Latin alphabet excluding low-discriminability letters</w:t>
      </w:r>
    </w:p>
    <w:p>
      <w:pPr>
        <w:numPr>
          <w:ilvl w:val="0"/>
          <w:numId w:val="1"/>
        </w:numPr>
      </w:pPr>
      <w:r>
        <w:t xml:space="preserve">Chart types: Snellen letters, Numbers (1–9), Tumbling E (rotated E in 4 orientations)</w:t>
      </w:r>
    </w:p>
    <w:p>
      <w:pPr>
        <w:numPr>
          <w:ilvl w:val="0"/>
          <w:numId w:val="1"/>
        </w:numPr>
      </w:pPr>
      <w:r>
        <w:t xml:space="preserve">Eye modes: OD-only, OS-only, OU (standard clinical sequence)</w:t>
      </w:r>
    </w:p>
    <w:p>
      <w:pPr>
        <w:numPr>
          <w:ilvl w:val="0"/>
          <w:numId w:val="1"/>
        </w:numPr>
      </w:pPr>
      <w:r>
        <w:t xml:space="preserve">Per-line scoring: mark each letter correct/incorrect; line-pass currently at ≥ 65% (under review)</w:t>
      </w:r>
    </w:p>
    <w:p>
      <w:pPr>
        <w:numPr>
          <w:ilvl w:val="0"/>
          <w:numId w:val="1"/>
        </w:numPr>
      </w:pPr>
      <w:r>
        <w:t xml:space="preserve">Auto-advance to next line on passing</w:t>
      </w:r>
    </w:p>
    <w:p>
      <w:pPr>
        <w:numPr>
          <w:ilvl w:val="0"/>
          <w:numId w:val="1"/>
        </w:numPr>
      </w:pPr>
      <w:r>
        <w:t xml:space="preserve">Prescription adjustment panel for failed lines (SPH/CYL/AXIS for OD &amp; OS)</w:t>
      </w:r>
    </w:p>
    <w:p>
      <w:pPr>
        <w:numPr>
          <w:ilvl w:val="0"/>
          <w:numId w:val="1"/>
        </w:numPr>
      </w:pPr>
      <w:r>
        <w:t xml:space="preserve">Detailed report with VA table per eye + prescription summary</w:t>
      </w:r>
    </w:p>
    <w:p>
      <w:pPr>
        <w:numPr>
          <w:ilvl w:val="0"/>
          <w:numId w:val="1"/>
        </w:numPr>
      </w:pPr>
      <w:r>
        <w:t xml:space="preserve">Tested at: simulated 20 ft / 6 m</w:t>
      </w:r>
    </w:p>
    <w:p>
      <w:pPr>
        <w:pStyle w:val="Heading3"/>
      </w:pPr>
      <w:r>
        <w:t xml:space="preserve">Open clinical questions (slated for the v2 spec backfill, target v0.2.3)</w:t>
      </w:r>
    </w:p>
    <w:p>
      <w:pPr>
        <w:numPr>
          <w:ilvl w:val="0"/>
          <w:numId w:val="1"/>
        </w:numPr>
      </w:pPr>
      <w:r>
        <w:t xml:space="preserve">Add LogMAR notation as a parallel display to Snellen (research / statistical use, longitudinal comparison)</w:t>
      </w:r>
    </w:p>
    <w:p>
      <w:pPr>
        <w:numPr>
          <w:ilvl w:val="0"/>
          <w:numId w:val="1"/>
        </w:numPr>
      </w:pPr>
      <w:r>
        <w:t xml:space="preserve">Add ETDRS chart support as a third selectable mode (gold standard since 1982 — equal letter difficulty per line, proportional spacing, 0.1 logMAR steps)</w:t>
      </w:r>
    </w:p>
    <w:p>
      <w:pPr>
        <w:numPr>
          <w:ilvl w:val="0"/>
          <w:numId w:val="1"/>
        </w:numPr>
      </w:pPr>
      <w:r>
        <w:t xml:space="preserve">Add pinhole occluder affordance (distinguishes refractive vs pathological causes of reduced acuity)</w:t>
      </w:r>
    </w:p>
    <w:p>
      <w:pPr>
        <w:numPr>
          <w:ilvl w:val="0"/>
          <w:numId w:val="1"/>
        </w:numPr>
      </w:pPr>
      <w:r>
        <w:t xml:space="preserve">Add near vision component (J-notation or 14"/40 cm equivalent)</w:t>
      </w:r>
    </w:p>
    <w:p>
      <w:pPr>
        <w:numPr>
          <w:ilvl w:val="0"/>
          <w:numId w:val="1"/>
        </w:numPr>
      </w:pPr>
      <w:r>
        <w:t xml:space="preserve">Convert letter pool to Sloan 10 (C, D, H, K, N, O, R, S, V, Z — the ETDRS standard set)</w:t>
      </w:r>
    </w:p>
    <w:p>
      <w:pPr>
        <w:numPr>
          <w:ilvl w:val="0"/>
          <w:numId w:val="1"/>
        </w:numPr>
      </w:pPr>
      <w:r>
        <w:t xml:space="preserve">Implement Bailey-Lovie crowding rules for letter spacing (proportional to letter size)</w:t>
      </w:r>
    </w:p>
    <w:p>
      <w:pPr>
        <w:numPr>
          <w:ilvl w:val="0"/>
          <w:numId w:val="1"/>
        </w:numPr>
      </w:pPr>
      <w:r>
        <w:t xml:space="preserve">Add pediatric symbols option (LEA symbols / HOTV) for non-readers and young children</w:t>
      </w:r>
    </w:p>
    <w:p>
      <w:pPr>
        <w:numPr>
          <w:ilvl w:val="0"/>
          <w:numId w:val="1"/>
        </w:numPr>
      </w:pPr>
      <w:r>
        <w:t xml:space="preserve">Review the 65% line-pass threshold — clinical convention is "more than half correct," typically 3/5 on a 5-letter line</w:t>
      </w:r>
    </w:p>
    <w:p>
      <w:pPr>
        <w:pStyle w:val="Heading2"/>
      </w:pPr>
      <w:r>
        <w:t xml:space="preserve">2. Color Vision (v0.1.7)</w:t>
      </w:r>
    </w:p>
    <w:p>
      <w:pPr>
        <w:pStyle w:val="Heading3"/>
      </w:pPr>
      <w:r>
        <w:t xml:space="preserve">Reference standard</w:t>
      </w:r>
    </w:p>
    <w:p>
      <w:pPr/>
      <w:r>
        <w:t xml:space="preserve">Two complementary protocols: Ishihara pseudo-isochromatic plates — the global screening standard since 1917 for red-green deficiency. D-15 Farnsworth dichotomous hue test — quantitative confusion-axis assessment for protan / deutan / tritan defects. Scoring follows Vingrys &amp; King-Smith (1988) moment-of-inertia methodology (sRGB → Lab conversion, 2×2 eigendecomposition producing Major Radius / Minor Radius / Confusion Angle / TES / S-index / C-index).</w:t>
      </w:r>
    </w:p>
    <w:p>
      <w:pPr>
        <w:pStyle w:val="Heading3"/>
      </w:pPr>
      <w:r>
        <w:t xml:space="preserve">What's implemented</w:t>
      </w:r>
    </w:p>
    <w:p>
      <w:pPr>
        <w:numPr>
          <w:ilvl w:val="0"/>
          <w:numId w:val="1"/>
        </w:numPr>
      </w:pPr>
      <w:r>
        <w:t xml:space="preserve">Protocol order: OD → OS → OU as three discrete tests (not "OU = OD then OS")</w:t>
      </w:r>
    </w:p>
    <w:p>
      <w:pPr>
        <w:numPr>
          <w:ilvl w:val="0"/>
          <w:numId w:val="1"/>
        </w:numPr>
      </w:pPr>
      <w:r>
        <w:t xml:space="preserve">Sequence affordances: in-test eye picker, eye-sequence breadcrumb, full-screen transition modal with patient-positioning copy</w:t>
      </w:r>
    </w:p>
    <w:p>
      <w:pPr>
        <w:numPr>
          <w:ilvl w:val="0"/>
          <w:numId w:val="1"/>
        </w:numPr>
      </w:pPr>
      <w:r>
        <w:t xml:space="preserve">Ishihara: 24 plates (licensed images for plates 1–4; clinically-correct simulated placeholders for plates 5–24)</w:t>
      </w:r>
    </w:p>
    <w:p>
      <w:pPr>
        <w:numPr>
          <w:ilvl w:val="0"/>
          <w:numId w:val="1"/>
        </w:numPr>
      </w:pPr>
      <w:r>
        <w:t xml:space="preserve">Ishihara response: 3×4 number pad on the tablet (no text input)</w:t>
      </w:r>
    </w:p>
    <w:p>
      <w:pPr>
        <w:numPr>
          <w:ilvl w:val="0"/>
          <w:numId w:val="1"/>
        </w:numPr>
      </w:pPr>
      <w:r>
        <w:t xml:space="preserve">D-15 Farnsworth: 16 Munsell V5/C4 sRGB-approximation caps (replaces previous vivid rainbow which made sorting trivial)</w:t>
      </w:r>
    </w:p>
    <w:p>
      <w:pPr>
        <w:numPr>
          <w:ilvl w:val="0"/>
          <w:numId w:val="1"/>
        </w:numPr>
      </w:pPr>
      <w:r>
        <w:t xml:space="preserve">D-15 caps: near-constant luminance / mid-saturation so sorting requires genuine hue discrimination</w:t>
      </w:r>
    </w:p>
    <w:p>
      <w:pPr>
        <w:numPr>
          <w:ilvl w:val="0"/>
          <w:numId w:val="1"/>
        </w:numPr>
      </w:pPr>
      <w:r>
        <w:t xml:space="preserve">D-15 puck UI: cap numbers hidden during arrangement (numbers were leaking the answer)</w:t>
      </w:r>
    </w:p>
    <w:p>
      <w:pPr>
        <w:numPr>
          <w:ilvl w:val="0"/>
          <w:numId w:val="1"/>
        </w:numPr>
      </w:pPr>
      <w:r>
        <w:t xml:space="preserve">Drag-to-reorder arrangement with reference cap fixed at position 0</w:t>
      </w:r>
    </w:p>
    <w:p>
      <w:pPr>
        <w:numPr>
          <w:ilvl w:val="0"/>
          <w:numId w:val="1"/>
        </w:numPr>
      </w:pPr>
      <w:r>
        <w:t xml:space="preserve">SVG polar plot of patient's sequence vs. ideal sequence</w:t>
      </w:r>
    </w:p>
    <w:p>
      <w:pPr>
        <w:numPr>
          <w:ilvl w:val="0"/>
          <w:numId w:val="1"/>
        </w:numPr>
      </w:pPr>
      <w:r>
        <w:t xml:space="preserve">Classification bands: AAO-style 3-band (Normal color vision / Borderline / Deficiency detected)</w:t>
      </w:r>
    </w:p>
    <w:p>
      <w:pPr>
        <w:numPr>
          <w:ilvl w:val="0"/>
          <w:numId w:val="1"/>
        </w:numPr>
      </w:pPr>
      <w:r>
        <w:t xml:space="preserve">Report: Patient Classification banner, per-eye polar diagnostic plot, Plate-by-Plate Results table, D-15 results section</w:t>
      </w:r>
    </w:p>
    <w:p>
      <w:pPr>
        <w:pStyle w:val="Heading3"/>
      </w:pPr>
      <w:r>
        <w:t xml:space="preserve">Open clinical questions</w:t>
      </w:r>
    </w:p>
    <w:p>
      <w:pPr>
        <w:numPr>
          <w:ilvl w:val="0"/>
          <w:numId w:val="1"/>
        </w:numPr>
      </w:pPr>
      <w:r>
        <w:t xml:space="preserve">Licensed Ishihara plates 5–24 still pending — current placeholders are clearly marked as non-clinical</w:t>
      </w:r>
    </w:p>
    <w:p>
      <w:pPr>
        <w:numPr>
          <w:ilvl w:val="0"/>
          <w:numId w:val="1"/>
        </w:numPr>
      </w:pPr>
      <w:r>
        <w:t xml:space="preserve">Confirmation that Munsell V5/C4 approximations meet clinical-grade color accuracy when rendered on the production headset display</w:t>
      </w:r>
    </w:p>
    <w:p>
      <w:pPr>
        <w:pStyle w:val="Heading2"/>
      </w:pPr>
      <w:r>
        <w:t xml:space="preserve">3. Visual Fields (v0.1.8)</w:t>
      </w:r>
    </w:p>
    <w:p>
      <w:pPr>
        <w:pStyle w:val="Heading3"/>
      </w:pPr>
      <w:r>
        <w:t xml:space="preserve">Reference standard</w:t>
      </w:r>
    </w:p>
    <w:p>
      <w:pPr/>
      <w:r>
        <w:t xml:space="preserve">Humphrey Field Analyzer (HFA) protocols — the global gold standard for automated perimetry. Background luminance 31.5 apostilbs (≈ 10 cd/m²). Strategies and patterns mirror the HFA II / HFA III instrument lineup.</w:t>
      </w:r>
    </w:p>
    <w:p>
      <w:pPr>
        <w:pStyle w:val="Heading3"/>
      </w:pPr>
      <w:r>
        <w:t xml:space="preserve">What's implemented</w:t>
      </w:r>
    </w:p>
    <w:p>
      <w:pPr>
        <w:numPr>
          <w:ilvl w:val="0"/>
          <w:numId w:val="1"/>
        </w:numPr>
      </w:pPr>
      <w:r>
        <w:t xml:space="preserve">Eye sequence: OD-first bilateral (default; user-tweakable to OS-first). For binocular-by-design protocols (Esterman, mEsterman, FDP, cFDP), always OU as a single run.</w:t>
      </w:r>
    </w:p>
    <w:p>
      <w:pPr>
        <w:numPr>
          <w:ilvl w:val="0"/>
          <w:numId w:val="1"/>
        </w:numPr>
      </w:pPr>
      <w:r>
        <w:t xml:space="preserve">Monocular patterns: 10-1, 10-2, 24-1, 24-2, 30-2, Screening, Goldmann</w:t>
      </w:r>
    </w:p>
    <w:p>
      <w:pPr>
        <w:numPr>
          <w:ilvl w:val="0"/>
          <w:numId w:val="1"/>
        </w:numPr>
      </w:pPr>
      <w:r>
        <w:t xml:space="preserve">Binocular patterns: Esterman, Modified Esterman (Central), FDP (Frequency Doubling), Combined FDP Mode</w:t>
      </w:r>
    </w:p>
    <w:p>
      <w:pPr>
        <w:numPr>
          <w:ilvl w:val="0"/>
          <w:numId w:val="1"/>
        </w:numPr>
      </w:pPr>
      <w:r>
        <w:t xml:space="preserve">Strategies: SITA-Standard, SITA-Fast (default), SITA-Faster, Full Threshold</w:t>
      </w:r>
    </w:p>
    <w:p>
      <w:pPr>
        <w:numPr>
          <w:ilvl w:val="0"/>
          <w:numId w:val="1"/>
        </w:numPr>
      </w:pPr>
      <w:r>
        <w:t xml:space="preserve">Stimulus sizes: Goldmann III (default, 4 mm² at 1/3 m) and Goldmann V (64 mm²)</w:t>
      </w:r>
    </w:p>
    <w:p>
      <w:pPr>
        <w:numPr>
          <w:ilvl w:val="0"/>
          <w:numId w:val="1"/>
        </w:numPr>
      </w:pPr>
      <w:r>
        <w:t xml:space="preserve">Foveal threshold calibration prior to test start (per-eye, on-grid annotation in report)</w:t>
      </w:r>
    </w:p>
    <w:p>
      <w:pPr>
        <w:numPr>
          <w:ilvl w:val="0"/>
          <w:numId w:val="1"/>
        </w:numPr>
      </w:pPr>
      <w:r>
        <w:t xml:space="preserve">GHT (Glaucoma Hemifield Test): five-category result per eye</w:t>
      </w:r>
    </w:p>
    <w:p>
      <w:pPr>
        <w:numPr>
          <w:ilvl w:val="0"/>
          <w:numId w:val="1"/>
        </w:numPr>
      </w:pPr>
      <w:r>
        <w:t xml:space="preserve">Probability plots: Total Deviation + Pattern Deviation, HFA-style symbols</w:t>
      </w:r>
    </w:p>
    <w:p>
      <w:pPr>
        <w:numPr>
          <w:ilvl w:val="0"/>
          <w:numId w:val="1"/>
        </w:numPr>
      </w:pPr>
      <w:r>
        <w:t xml:space="preserve">Reliability indices: FP / FN / FL with HFA's actual XX-flag thresholds. Standard and Strict presets selectable.</w:t>
      </w:r>
    </w:p>
    <w:p>
      <w:pPr>
        <w:numPr>
          <w:ilvl w:val="0"/>
          <w:numId w:val="1"/>
        </w:numPr>
      </w:pPr>
      <w:r>
        <w:t xml:space="preserve">Clinical override rule: GHT "Outside Normal Limits" or "General Reduction" forces the Patient Classification banner up at least one severity band</w:t>
      </w:r>
    </w:p>
    <w:p>
      <w:pPr>
        <w:numPr>
          <w:ilvl w:val="0"/>
          <w:numId w:val="1"/>
        </w:numPr>
      </w:pPr>
      <w:r>
        <w:t xml:space="preserve">Age-banded reference MD table in report (20–30: −0.3 dB → 80+: −3.6 dB)</w:t>
      </w:r>
    </w:p>
    <w:p>
      <w:pPr>
        <w:numPr>
          <w:ilvl w:val="0"/>
          <w:numId w:val="1"/>
        </w:numPr>
      </w:pPr>
      <w:r>
        <w:t xml:space="preserve">Report indices: MD, PSD, VFI per eye, color-coded by Hodapp-Anderson-Parrish bands</w:t>
      </w:r>
    </w:p>
    <w:p>
      <w:pPr>
        <w:numPr>
          <w:ilvl w:val="0"/>
          <w:numId w:val="1"/>
        </w:numPr>
      </w:pPr>
      <w:r>
        <w:t xml:space="preserve">Cumulative multi-eye report with worst-eye-drives-bottom-line classification + per-eye pill summary</w:t>
      </w:r>
    </w:p>
    <w:p>
      <w:pPr>
        <w:pStyle w:val="Heading3"/>
      </w:pPr>
      <w:r>
        <w:t xml:space="preserve">Open clinical questions (flagged for engineering)</w:t>
      </w:r>
    </w:p>
    <w:p>
      <w:pPr>
        <w:numPr>
          <w:ilvl w:val="0"/>
          <w:numId w:val="1"/>
        </w:numPr>
      </w:pPr>
      <w:r>
        <w:t xml:space="preserve">GHT compute location (firmware vs. cloud-side)</w:t>
      </w:r>
    </w:p>
    <w:p>
      <w:pPr>
        <w:numPr>
          <w:ilvl w:val="0"/>
          <w:numId w:val="1"/>
        </w:numPr>
      </w:pPr>
      <w:r>
        <w:t xml:space="preserve">Real liquid-lens correction range supported by the headset (placeholder values used currently)</w:t>
      </w:r>
    </w:p>
    <w:p>
      <w:pPr>
        <w:numPr>
          <w:ilvl w:val="0"/>
          <w:numId w:val="1"/>
        </w:numPr>
      </w:pPr>
      <w:r>
        <w:t xml:space="preserve">Point counts for any proprietary screen / gold patterns Xenon may add</w:t>
      </w:r>
    </w:p>
    <w:p>
      <w:pPr>
        <w:numPr>
          <w:ilvl w:val="0"/>
          <w:numId w:val="1"/>
        </w:numPr>
      </w:pPr>
      <w:r>
        <w:t xml:space="preserve">Foveal calibration output shape (single dB value vs. 4-step staircase)</w:t>
      </w:r>
    </w:p>
    <w:p>
      <w:pPr>
        <w:pStyle w:val="Heading2"/>
      </w:pPr>
      <w:r>
        <w:t xml:space="preserve">4. Wavefront Aberrometry (v0.1.9)</w:t>
      </w:r>
    </w:p>
    <w:p>
      <w:pPr>
        <w:pStyle w:val="Heading3"/>
      </w:pPr>
      <w:r>
        <w:t xml:space="preserve">Reference standard</w:t>
      </w:r>
    </w:p>
    <w:p>
      <w:pPr/>
      <w:r>
        <w:t xml:space="preserve">Hartmann-Shack wavefront sensor output mapped to Zernike polynomial coefficients (OSA / ANSI ordering convention). Lower-order aberrations (defocus + astigmatism) plus higher-order aberrations (HOAs) — coma, trefoil, spherical aberration. Reference range for HOAs is calibrated to a 6.0 mm analysis diameter per industry standard (NIDEK OPD-Scan, iDesign, Alcon WaveLight).</w:t>
      </w:r>
    </w:p>
    <w:p>
      <w:pPr>
        <w:pStyle w:val="Heading3"/>
      </w:pPr>
      <w:r>
        <w:t xml:space="preserve">What's implemented</w:t>
      </w:r>
    </w:p>
    <w:p>
      <w:pPr>
        <w:numPr>
          <w:ilvl w:val="0"/>
          <w:numId w:val="1"/>
        </w:numPr>
      </w:pPr>
      <w:r>
        <w:t xml:space="preserve">Eye sequence: OD-first bilateral. OU runs OD then OS as two discrete captures with full-screen transition prompt and breadcrumb.</w:t>
      </w:r>
    </w:p>
    <w:p>
      <w:pPr>
        <w:numPr>
          <w:ilvl w:val="0"/>
          <w:numId w:val="1"/>
        </w:numPr>
      </w:pPr>
      <w:r>
        <w:t xml:space="preserve">Three-phase flow: eye selection (ready) → init → calibrating → capturing → complete (testing) → report</w:t>
      </w:r>
    </w:p>
    <w:p>
      <w:pPr>
        <w:numPr>
          <w:ilvl w:val="0"/>
          <w:numId w:val="1"/>
        </w:numPr>
      </w:pPr>
      <w:r>
        <w:t xml:space="preserve">Capture mechanics: 3 measurements averaged per eye (published clinical minimum)</w:t>
      </w:r>
    </w:p>
    <w:p>
      <w:pPr>
        <w:numPr>
          <w:ilvl w:val="0"/>
          <w:numId w:val="1"/>
        </w:numPr>
      </w:pPr>
      <w:r>
        <w:t xml:space="preserve">Analysis diameter: 6.0 mm (industry-standard reference for HOA RMS normals)</w:t>
      </w:r>
    </w:p>
    <w:p>
      <w:pPr>
        <w:numPr>
          <w:ilvl w:val="0"/>
          <w:numId w:val="1"/>
        </w:numPr>
      </w:pPr>
      <w:r>
        <w:t xml:space="preserve">Axis values: unsigned 0–180° (correct convention)</w:t>
      </w:r>
    </w:p>
    <w:p>
      <w:pPr>
        <w:numPr>
          <w:ilvl w:val="0"/>
          <w:numId w:val="1"/>
        </w:numPr>
      </w:pPr>
      <w:r>
        <w:t xml:space="preserve">Spherical aberration units: micrometres (μm)</w:t>
      </w:r>
    </w:p>
    <w:p>
      <w:pPr>
        <w:numPr>
          <w:ilvl w:val="0"/>
          <w:numId w:val="1"/>
        </w:numPr>
      </w:pPr>
      <w:r>
        <w:t xml:space="preserve">Zernike notation: Z₄⁰ rendered with proper subscript / superscript per OSA / ANSI standard</w:t>
      </w:r>
    </w:p>
    <w:p>
      <w:pPr>
        <w:numPr>
          <w:ilvl w:val="0"/>
          <w:numId w:val="1"/>
        </w:numPr>
      </w:pPr>
      <w:r>
        <w:t xml:space="preserve">Primary metrics: Sphere, Cylinder, Axis, Total HOA RMS, Coma RMS</w:t>
      </w:r>
    </w:p>
    <w:p>
      <w:pPr>
        <w:numPr>
          <w:ilvl w:val="0"/>
          <w:numId w:val="1"/>
        </w:numPr>
      </w:pPr>
      <w:r>
        <w:t xml:space="preserve">Clinical interpretation thresholds (Applegate / Marsack literature for 6mm pupil): Excellent &lt;0.15 μm · Good &lt;0.30 μm · Mildly elevated &lt;0.45 μm · Significantly elevated ≥0.45 μm</w:t>
      </w:r>
    </w:p>
    <w:p>
      <w:pPr>
        <w:numPr>
          <w:ilvl w:val="0"/>
          <w:numId w:val="1"/>
        </w:numPr>
      </w:pPr>
      <w:r>
        <w:t xml:space="preserve">Elevated-HOA amber flag automatically surfaces during capture when HOA RMS &gt; 0.30 μm</w:t>
      </w:r>
    </w:p>
    <w:p>
      <w:pPr>
        <w:numPr>
          <w:ilvl w:val="0"/>
          <w:numId w:val="1"/>
        </w:numPr>
      </w:pPr>
      <w:r>
        <w:t xml:space="preserve">Four view types in report: Pupil image · Centroid image · Full wavefront · Higher orders only</w:t>
      </w:r>
    </w:p>
    <w:p>
      <w:pPr>
        <w:numPr>
          <w:ilvl w:val="0"/>
          <w:numId w:val="1"/>
        </w:numPr>
      </w:pPr>
      <w:r>
        <w:t xml:space="preserve">Color-scale legend under the wavefront map (−60 μm / 0 / +60 μm) — required clinical interpretation aid</w:t>
      </w:r>
    </w:p>
    <w:p>
      <w:pPr>
        <w:numPr>
          <w:ilvl w:val="0"/>
          <w:numId w:val="1"/>
        </w:numPr>
      </w:pPr>
      <w:r>
        <w:t xml:space="preserve">False-color wavefront convention: blue (negative deviation) → green (zero) → yellow / red / pink (positive). Standard across NIDEK / Alcon / iDesign.</w:t>
      </w:r>
    </w:p>
    <w:p>
      <w:pPr>
        <w:pStyle w:val="Heading3"/>
      </w:pPr>
      <w:r>
        <w:t xml:space="preserve">Open clinical questions (flagged for engineering)</w:t>
      </w:r>
    </w:p>
    <w:p>
      <w:pPr>
        <w:numPr>
          <w:ilvl w:val="0"/>
          <w:numId w:val="1"/>
        </w:numPr>
      </w:pPr>
      <w:r>
        <w:t xml:space="preserve">Real Hartmann-Shack analysis-diameter range supported by the headset firmware</w:t>
      </w:r>
    </w:p>
    <w:p>
      <w:pPr>
        <w:numPr>
          <w:ilvl w:val="0"/>
          <w:numId w:val="1"/>
        </w:numPr>
      </w:pPr>
      <w:r>
        <w:t xml:space="preserve">Number of frames averaged — fixed at 3 in UI, but firmware may be configurable / adaptive</w:t>
      </w:r>
    </w:p>
    <w:p>
      <w:pPr>
        <w:numPr>
          <w:ilvl w:val="0"/>
          <w:numId w:val="1"/>
        </w:numPr>
      </w:pPr>
      <w:r>
        <w:t xml:space="preserve">Full Zernike coefficient vector availability vs. summary metrics only</w:t>
      </w:r>
    </w:p>
    <w:p>
      <w:pPr>
        <w:numPr>
          <w:ilvl w:val="0"/>
          <w:numId w:val="1"/>
        </w:numPr>
      </w:pPr>
      <w:r>
        <w:t xml:space="preserve">Firmware-emitted color-scale range (UI assumes ±60 μm; engineering to confirm)</w:t>
      </w:r>
    </w:p>
    <w:p>
      <w:pPr>
        <w:pStyle w:val="Heading2"/>
      </w:pPr>
      <w:r>
        <w:t xml:space="preserve">5. Extraocular Motility (v0.2.1)</w:t>
      </w:r>
    </w:p>
    <w:p>
      <w:pPr>
        <w:pStyle w:val="Heading3"/>
      </w:pPr>
      <w:r>
        <w:t xml:space="preserve">Reference standard</w:t>
      </w:r>
    </w:p>
    <w:p>
      <w:pPr/>
      <w:r>
        <w:t xml:space="preserve">International EOM grading scale (0 to ±4) — 0 = normal, negative values = underaction, positive values = overaction. 9 cardinal positions of gaze including primary, with primary + secondary muscle / cranial nerve mapping per position so CN III, IV, and VI palsy can be correctly read from the results.</w:t>
      </w:r>
    </w:p>
    <w:p>
      <w:pPr>
        <w:pStyle w:val="Heading3"/>
      </w:pPr>
      <w:r>
        <w:t xml:space="preserve">What's implemented</w:t>
      </w:r>
    </w:p>
    <w:p>
      <w:pPr>
        <w:numPr>
          <w:ilvl w:val="0"/>
          <w:numId w:val="1"/>
        </w:numPr>
      </w:pPr>
      <w:r>
        <w:t xml:space="preserve">Three-phase flow with internal sub-test state machine: ready (setup + config) → testing (versions → smooth pursuit → saccades → conditional ductions-OD → ductions-OS) → report</w:t>
      </w:r>
    </w:p>
    <w:p>
      <w:pPr>
        <w:numPr>
          <w:ilvl w:val="0"/>
          <w:numId w:val="1"/>
        </w:numPr>
      </w:pPr>
      <w:r>
        <w:t xml:space="preserve">Grading scale: 0 to ±4 (0 = full normal range, default-selected; −1 ≈ 25% limitation; −2 ≈ 50%; −3 ≈ 75%, cannot pass midline; −4 = no movement; +1 to +3 = overaction)</w:t>
      </w:r>
    </w:p>
    <w:p>
      <w:pPr>
        <w:numPr>
          <w:ilvl w:val="0"/>
          <w:numId w:val="1"/>
        </w:numPr>
      </w:pPr>
      <w:r>
        <w:t xml:space="preserve">9 cardinal positions with primary AND secondary muscle/CN mapping</w:t>
      </w:r>
    </w:p>
    <w:p>
      <w:pPr>
        <w:numPr>
          <w:ilvl w:val="0"/>
          <w:numId w:val="1"/>
        </w:numPr>
      </w:pPr>
      <w:r>
        <w:t xml:space="preserve">H-pattern motility diagram (clinical standard) — 9 nodes connected by H-shape lines, color-coded by grade</w:t>
      </w:r>
    </w:p>
    <w:p>
      <w:pPr>
        <w:numPr>
          <w:ilvl w:val="0"/>
          <w:numId w:val="1"/>
        </w:numPr>
      </w:pPr>
      <w:r>
        <w:t xml:space="preserve">Sub-tests: Versions (binocular, all 9 positions — required) · Smooth pursuit (4-option qualitative) · Saccadic assessment (4-option) · Ductions (monocular, OD then OS — auto-enables when any version grade ≠ 0)</w:t>
      </w:r>
    </w:p>
    <w:p>
      <w:pPr>
        <w:numPr>
          <w:ilvl w:val="0"/>
          <w:numId w:val="1"/>
        </w:numPr>
      </w:pPr>
      <w:r>
        <w:t xml:space="preserve">Clinical interpretation logic distinguishes isolated single-muscle underaction (CN palsy pattern) from multiple underactions (INO / complex palsy / restrictive strabismus)</w:t>
      </w:r>
    </w:p>
    <w:p>
      <w:pPr>
        <w:numPr>
          <w:ilvl w:val="0"/>
          <w:numId w:val="1"/>
        </w:numPr>
      </w:pPr>
      <w:r>
        <w:t xml:space="preserve">CN palsy clinical flag surfaces automatically whenever any single position grade is ≤ −3 with full position / muscle / CN details and neurological referral copy</w:t>
      </w:r>
    </w:p>
    <w:p>
      <w:pPr>
        <w:numPr>
          <w:ilvl w:val="0"/>
          <w:numId w:val="1"/>
        </w:numPr>
      </w:pPr>
      <w:r>
        <w:t xml:space="preserve">Versions Results table: 7 columns — Position · Primary muscle · Primary CN · Secondary muscle · Secondary CN · Grade · Interpretation</w:t>
      </w:r>
    </w:p>
    <w:p>
      <w:pPr>
        <w:pStyle w:val="Heading3"/>
      </w:pPr>
      <w:r>
        <w:t xml:space="preserve">Key clinical detail: CN IV palsy detection</w:t>
      </w:r>
    </w:p>
    <w:p>
      <w:pPr/>
      <w:r>
        <w:t xml:space="preserve">The down-and-in gaze positions are critical for CN IV (trochlear) palsy detection. The prototype tracks both primary and secondary muscle/CN for these positions: Down &amp; right tests right inferior rectus (CN III-R) primarily AND left superior oblique (CN IV-L) secondarily. Down &amp; left tests left inferior rectus (CN III-L) primarily AND right superior oblique (CN IV-R) secondarily. A doctor reading the Versions Results table will see CN IV explicitly named in the secondary muscle column for these positions, so isolated CN IV palsy is not missed.</w:t>
      </w:r>
    </w:p>
    <w:p>
      <w:pPr>
        <w:pStyle w:val="Heading3"/>
      </w:pPr>
      <w:r>
        <w:t xml:space="preserve">Open clinical questions (flagged for engineering)</w:t>
      </w:r>
    </w:p>
    <w:p>
      <w:pPr>
        <w:numPr>
          <w:ilvl w:val="0"/>
          <w:numId w:val="1"/>
        </w:numPr>
      </w:pPr>
      <w:r>
        <w:t xml:space="preserve">Headset gaze-tracking data shape during versions — firmware emits per-eye gaze vector or pre-computed underaction estimate?</w:t>
      </w:r>
    </w:p>
    <w:p>
      <w:pPr>
        <w:numPr>
          <w:ilvl w:val="0"/>
          <w:numId w:val="1"/>
        </w:numPr>
      </w:pPr>
      <w:r>
        <w:t xml:space="preserve">Smooth pursuit metrics — firmware-computed gain / catch-up saccade count, or pure doctor observation?</w:t>
      </w:r>
    </w:p>
    <w:p>
      <w:pPr>
        <w:numPr>
          <w:ilvl w:val="0"/>
          <w:numId w:val="1"/>
        </w:numPr>
      </w:pPr>
      <w:r>
        <w:t xml:space="preserve">Saccade latency measurement — firmware-measured ms available?</w:t>
      </w:r>
    </w:p>
    <w:p>
      <w:pPr>
        <w:numPr>
          <w:ilvl w:val="0"/>
          <w:numId w:val="1"/>
        </w:numPr>
      </w:pPr>
      <w:r>
        <w:t xml:space="preserve">Confirmation that patient response clicker is NOT used in EOM (patient passively follows the target)</w:t>
      </w:r>
    </w:p>
    <w:p>
      <w:pPr>
        <w:pStyle w:val="Heading2"/>
      </w:pPr>
      <w:r>
        <w:t xml:space="preserve">Cross-cutting clinical conventions</w:t>
      </w:r>
    </w:p>
    <w:p>
      <w:pPr/>
      <w:r>
        <w:rPr>
          <w:i/>
        </w:rPr>
        <w:t xml:space="preserve">These apply consistently across every clinically-faithful test in xoExam.</w:t>
      </w:r>
    </w:p>
    <w:p>
      <w:pPr>
        <w:pStyle w:val="Heading3"/>
      </w:pPr>
      <w:r>
        <w:t xml:space="preserve">Eye-reference convention</w:t>
      </w:r>
    </w:p>
    <w:p>
      <w:pPr/>
      <w:r>
        <w:t xml:space="preserve">OD (oculus dexter, right eye) before OS (oculus sinister, left eye). Matches universal medical convention used in patient charts, refraction records, Rx forms.</w:t>
      </w:r>
    </w:p>
    <w:p>
      <w:pPr>
        <w:pStyle w:val="Heading3"/>
      </w:pPr>
      <w:r>
        <w:t xml:space="preserve">Doctor sign-off</w:t>
      </w:r>
    </w:p>
    <w:p>
      <w:pPr/>
      <w: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Currently a visual cue; role-based gating activates in the post-beta Roles &amp; Remote Operation design pass.</w:t>
      </w:r>
    </w:p>
    <w:p>
      <w:pPr>
        <w:pStyle w:val="Heading3"/>
      </w:pPr>
      <w:r>
        <w:t xml:space="preserve">Test cancellation</w:t>
      </w:r>
    </w:p>
    <w:p>
      <w:pPr/>
      <w: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pStyle w:val="Heading3"/>
      </w:pPr>
      <w:r>
        <w:t xml:space="preserve">Test naming</w:t>
      </w:r>
    </w:p>
    <w:p>
      <w:pPr/>
      <w:r>
        <w:t xml:space="preserve">UI labels use bare nouns ("Visual Field," "Extraocular Motility," "Wavefront Aberrometry") rather than appending "Test" or "Exam." Formal report headers retain "Report" or "Examination" for documentation gravity.</w:t>
      </w:r>
    </w:p>
    <w:p>
      <w:pPr>
        <w:pStyle w:val="Heading3"/>
      </w:pPr>
      <w:r>
        <w:t xml:space="preserve">Reliability and severity color coding</w:t>
      </w:r>
    </w:p>
    <w:p>
      <w:pPr/>
      <w:r>
        <w:t xml:space="preserve">RAG palette (Red / Amber / Green) is reserved for clinical alerts, severity bands, and status indicators only. General UI styling does not use RAG.</w:t>
      </w:r>
    </w:p>
    <w:p>
      <w:pPr>
        <w:pStyle w:val="Heading3"/>
      </w:pPr>
      <w:r>
        <w:t xml:space="preserve">Session notes</w:t>
      </w:r>
    </w:p>
    <w:p>
      <w:pPr/>
      <w:r>
        <w:t xml:space="preserve">Every clinical-fidelity test includes a Session notes textarea (sidebar during testing, dedicated card in the report). Intended for the clinician's free-text observations alongside the structured data.</w:t>
      </w:r>
    </w:p>
    <w:p>
      <w:pPr>
        <w:pStyle w:val="Heading3"/>
      </w:pPr>
      <w:r>
        <w:t xml:space="preserve">Patient identity</w:t>
      </w:r>
    </w:p>
    <w:p>
      <w:pPr/>
      <w: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pStyle w:val="Heading2"/>
      </w:pPr>
      <w:r>
        <w:t xml:space="preserve">Visual-placeholder tests (clinical layer pending)</w:t>
      </w:r>
    </w:p>
    <w:p>
      <w:pPr/>
      <w:r>
        <w:rPr>
          <w:i/>
        </w:rPr>
        <w:t xml:space="preserve">The following tests are clickable, walk through their basic UI, and integrate with the test catalog and patient profile — but their clinical scoring, scales, and interpretation have not yet been reviewed or rebuilt against published clinical standards. Treat their on-screen data as illustrative only.</w:t>
      </w:r>
    </w:p>
    <w:p>
      <w:pPr>
        <w:numPr>
          <w:ilvl w:val="0"/>
          <w:numId w:val="1"/>
        </w:numPr>
      </w:pPr>
      <w:r>
        <w:t xml:space="preserve">Refraction</w:t>
      </w:r>
    </w:p>
    <w:p>
      <w:pPr>
        <w:numPr>
          <w:ilvl w:val="0"/>
          <w:numId w:val="1"/>
        </w:numPr>
      </w:pPr>
      <w:r>
        <w:t xml:space="preserve">Accommodation</w:t>
      </w:r>
    </w:p>
    <w:p>
      <w:pPr>
        <w:numPr>
          <w:ilvl w:val="0"/>
          <w:numId w:val="1"/>
        </w:numPr>
      </w:pPr>
      <w:r>
        <w:t xml:space="preserve">Keratometry</w:t>
      </w:r>
    </w:p>
    <w:p>
      <w:pPr>
        <w:numPr>
          <w:ilvl w:val="0"/>
          <w:numId w:val="1"/>
        </w:numPr>
      </w:pPr>
      <w:r>
        <w:t xml:space="preserve">Confrontation</w:t>
      </w:r>
    </w:p>
    <w:p>
      <w:pPr>
        <w:numPr>
          <w:ilvl w:val="0"/>
          <w:numId w:val="1"/>
        </w:numPr>
      </w:pPr>
      <w:r>
        <w:t xml:space="preserve">Esterman Binocular (routes to Visual Field with Esterman protocol pre-selected — clinical fidelity inherited from VF v0.1.8)</w:t>
      </w:r>
    </w:p>
    <w:p>
      <w:pPr>
        <w:numPr>
          <w:ilvl w:val="0"/>
          <w:numId w:val="1"/>
        </w:numPr>
      </w:pPr>
      <w:r>
        <w:t xml:space="preserve">Binocular Vision</w:t>
      </w:r>
    </w:p>
    <w:p>
      <w:pPr>
        <w:numPr>
          <w:ilvl w:val="0"/>
          <w:numId w:val="1"/>
        </w:numPr>
      </w:pPr>
      <w:r>
        <w:t xml:space="preserve">Convergence</w:t>
      </w:r>
    </w:p>
    <w:p>
      <w:pPr>
        <w:numPr>
          <w:ilvl w:val="0"/>
          <w:numId w:val="1"/>
        </w:numPr>
      </w:pPr>
      <w:r>
        <w:t xml:space="preserve">Contrast Sensitivity (Pelli-Robson visual fidelity only; clinical scoring not yet implemented)</w:t>
      </w:r>
    </w:p>
    <w:p>
      <w:pPr>
        <w:numPr>
          <w:ilvl w:val="0"/>
          <w:numId w:val="1"/>
        </w:numPr>
      </w:pPr>
      <w:r>
        <w:t xml:space="preserve">Pupillometry (slated for v0.2.5 clinical rebuild)</w:t>
      </w:r>
    </w:p>
    <w:p>
      <w:pPr>
        <w:numPr>
          <w:ilvl w:val="0"/>
          <w:numId w:val="1"/>
        </w:numPr>
      </w:pPr>
      <w:r>
        <w:t xml:space="preserve">Visual Reaction Time</w:t>
      </w:r>
    </w:p>
    <w:p>
      <w:pPr>
        <w:numPr>
          <w:ilvl w:val="0"/>
          <w:numId w:val="1"/>
        </w:numPr>
      </w:pPr>
      <w:r>
        <w:t xml:space="preserve">Eye Tracking Accuracy</w:t>
      </w:r>
    </w:p>
    <w:p>
      <w:pPr>
        <w:numPr>
          <w:ilvl w:val="0"/>
          <w:numId w:val="1"/>
        </w:numPr>
      </w:pPr>
      <w:r>
        <w:t xml:space="preserve">Fixation Stability</w:t>
      </w:r>
    </w:p>
    <w:p>
      <w:pPr>
        <w:numPr>
          <w:ilvl w:val="0"/>
          <w:numId w:val="1"/>
        </w:numPr>
      </w:pPr>
      <w:r>
        <w:t xml:space="preserve">Tear Film</w:t>
      </w:r>
    </w:p>
    <w:p>
      <w:pPr>
        <w:numPr>
          <w:ilvl w:val="0"/>
          <w:numId w:val="1"/>
        </w:numPr>
      </w:pPr>
      <w:r>
        <w:t xml:space="preserve">AI Pattern Recognition</w:t>
      </w:r>
    </w:p>
    <w:p>
      <w:pPr/>
      <w:r>
        <w:t xml:space="preserve">These will be brought to clinical fidelity in priority order. The clinical evaluation team's input on which ones to prioritize after Pupillometry is welcomed.</w:t>
      </w:r>
    </w:p>
    <w:p>
      <w:pPr>
        <w:pStyle w:val="Heading2"/>
      </w:pPr>
      <w:r>
        <w:t xml:space="preserve">What this document does not cover</w:t>
      </w:r>
    </w:p>
    <w:p>
      <w:pPr>
        <w:numPr>
          <w:ilvl w:val="0"/>
          <w:numId w:val="1"/>
        </w:numPr>
      </w:pPr>
      <w:r>
        <w:t xml:space="preserve">Instrument calibration. This document describes the design intent of the UI. Whether the production headset actually delivers calibrated stimulus presentation, accurate color reproduction, valid threshold measurements, etc., is an engineering and regulatory question outside Method's scope.</w:t>
      </w:r>
    </w:p>
    <w:p>
      <w:pPr>
        <w:numPr>
          <w:ilvl w:val="0"/>
          <w:numId w:val="1"/>
        </w:numPr>
      </w:pPr>
      <w:r>
        <w:t xml:space="preserve">Regulatory clearance. Method's UI/UX prototype is not a medical device and has not been cleared by FDA, MDR, or any other regulatory body.</w:t>
      </w:r>
    </w:p>
    <w:p>
      <w:pPr>
        <w:numPr>
          <w:ilvl w:val="0"/>
          <w:numId w:val="1"/>
        </w:numPr>
      </w:pPr>
      <w:r>
        <w:t xml:space="preserve">Clinical validation. This is a transparency document, not a clinical validation report.</w:t>
      </w:r>
    </w:p>
    <w:p>
      <w:pPr>
        <w:numPr>
          <w:ilvl w:val="0"/>
          <w:numId w:val="1"/>
        </w:numPr>
      </w:pPr>
      <w:r>
        <w:t xml:space="preserve">Per-patient outcomes. Every example value shown in the prototype is mock data. Real patient data will populate the same fields in production.</w:t>
      </w:r>
    </w:p>
    <w:p>
      <w:pPr>
        <w:pStyle w:val="Heading2"/>
      </w:pPr>
      <w:r>
        <w:t xml:space="preserve">Questions or corrections</w:t>
      </w:r>
    </w:p>
    <w:p>
      <w:pPr/>
      <w: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r>
        <w:t xml:space="preserve"/>
      </w:r>
    </w:p>
    <w:p>
      <w:pPr/>
      <w:r>
        <w:rPr>
          <w:i/>
          <w:color w:val="6B7280"/>
        </w:rPr>
        <w:t xml:space="preserve">Method Marketing Agency · xoExam UI/UX Clinical Standards Reference · v0.2.2 · May 22,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8" w:lineRule="auto"/>
      </w:pPr>
    </w:pPrDefault>
  </w:docDefaults>
  <w:style w:type="paragraph" w:styleId="Heading1">
    <w:name w:val="heading 1"/>
    <w:pPr>
      <w:spacing w:before="360" w:after="160"/>
    </w:pPr>
    <w:rPr>
      <w:b/>
      <w:sz w:val="36"/>
      <w:color w:val="0E2F5E"/>
    </w:rPr>
  </w:style>
  <w:style w:type="paragraph" w:styleId="Heading2">
    <w:name w:val="heading 2"/>
    <w:pPr>
      <w:spacing w:before="280" w:after="100"/>
    </w:pPr>
    <w:rPr>
      <w:b/>
      <w:sz w:val="28"/>
      <w:color w:val="0E2F5E"/>
    </w:rPr>
  </w:style>
  <w:style w:type="paragraph" w:styleId="Heading3">
    <w:name w:val="heading 3"/>
    <w:pPr>
      <w:spacing w:before="220" w:after="80"/>
    </w:pPr>
    <w:rPr>
      <w:b/>
      <w:sz w:val="24"/>
      <w:color w:val="1F8E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