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xoExam UI/UX — Development Brief</w:t>
      </w:r>
    </w:p>
    <w:p>
      <w:pPr/>
      <w:r>
        <w:rPr>
          <w:i/>
          <w:color w:val="6B7280"/>
        </w:rPr>
        <w:t xml:space="preserve">Release v0.2.1 · May 22, 2026</w:t>
      </w:r>
    </w:p>
    <w:p>
      <w:pPr/>
      <w:r>
        <w:rPr>
          <w:color w:val="6B7280"/>
        </w:rPr>
        <w:t xml:space="preserve">Method Marketing Agency for Xenon Ophthalmics Inc.</w:t>
      </w:r>
    </w:p>
    <w:p>
      <w:pPr/>
      <w:r>
        <w:t xml:space="preserve"/>
      </w:r>
    </w:p>
    <w:p>
      <w:pPr>
        <w:pStyle w:val="Heading2"/>
      </w:pPr>
      <w:r>
        <w:t xml:space="preserve">Headline</w:t>
      </w:r>
    </w:p>
    <w:p>
      <w:pPr/>
      <w:r>
        <w:t xml:space="preserve">Extraocular Motility shipped at full clinical fidelity. Five of six beta-scope tests are now complete. Pupillometry (v0.2.2) closes the beta scope.</w:t>
      </w:r>
    </w:p>
    <w:p>
      <w:pPr>
        <w:pStyle w:val="Heading2"/>
      </w:pPr>
      <w:r>
        <w:t xml:space="preserve">What landed in v0.2.1</w:t>
      </w:r>
    </w:p>
    <w:p>
      <w:pPr/>
      <w:r>
        <w:rPr>
          <w:b/>
        </w:rPr>
        <w:t xml:space="preserve">Extraocular Motility test rebuild</w:t>
      </w:r>
    </w:p>
    <w:p>
      <w:pPr/>
      <w:r>
        <w:t xml:space="preserve">Extraocular Motility was extracted from MotilityAndNeuro.jsx (where it sat alongside three other neuro tests) into its own standalone component and rebuilt from the ground up to match clinical reference standards. The test now follows the same canonical pattern established by Wavefront Aberrometry (v0.1.9) and Visual Fields (v0.1.8): ExamShell wrapper, three phases (ready / testing / report), canonical Cancel UX. It adds a new pattern — a sub-test state machine inside the testing phase — because EOM is uniquely structured among xoExam tests: it's not a single uniform measurement but a sequence of clinically distinct sub-tests (versions, smooth pursuit, saccades, conditional ductions), each with its own UI.</w:t>
      </w:r>
    </w:p>
    <w:p>
      <w:pPr/>
      <w:r>
        <w:rPr>
          <w:b/>
        </w:rPr>
        <w:t xml:space="preserve">Clinical accuracy corrections made during the rebuild:</w:t>
      </w:r>
    </w:p>
    <w:p>
      <w:pPr>
        <w:numPr>
          <w:ilvl w:val="0"/>
          <w:numId w:val="1"/>
        </w:numPr>
      </w:pPr>
      <w:r>
        <w:t xml:space="preserve">Grading scale corrected from the arbitrary 1–5 the prototype previously used to the international standard 0 to ±4. 0 = normal (default-selected), negative values = underaction, positive values = overaction. A doctor looking at an EOM report that says "5/5 in all directions" would not recognise it as a valid clinical document; "0 in all directions with green colour coding" is immediately recognisable as the standard EOM recording format.</w:t>
      </w:r>
    </w:p>
    <w:p>
      <w:pPr>
        <w:numPr>
          <w:ilvl w:val="0"/>
          <w:numId w:val="1"/>
        </w:numPr>
      </w:pPr>
      <w:r>
        <w:t xml:space="preserve">9 cardinal positions of gaze including primary, replacing the previous 8 directions (which missed primary gaze, the position where tropia/phoria assessment happens).</w:t>
      </w:r>
    </w:p>
    <w:p>
      <w:pPr>
        <w:numPr>
          <w:ilvl w:val="0"/>
          <w:numId w:val="1"/>
        </w:numPr>
      </w:pPr>
      <w:r>
        <w:t xml:space="preserve">Each position carries primary AND secondary muscle/CN mapping. The clinically critical case is CN IV (trochlear) palsy, detected at down-and-in gaze — the v1 prompt's single-muscle-per-position simplification would have missed this. Down-right tests right inferior rectus (CN III) primarily, but also left superior oblique (CN IV); down-left tests left inferior rectus (CN III) but also right superior oblique (CN IV). Both surface in the testing-phase position label and in the report's Versions Results table.</w:t>
      </w:r>
    </w:p>
    <w:p>
      <w:pPr>
        <w:numPr>
          <w:ilvl w:val="0"/>
          <w:numId w:val="1"/>
        </w:numPr>
      </w:pPr>
      <w:r>
        <w:t xml:space="preserve">H-pattern motility diagram (clinical standard) replacing the radial 8-dot diagram. Color-coded per grade. Active position highlighted during testing.</w:t>
      </w:r>
    </w:p>
    <w:p>
      <w:pPr>
        <w:numPr>
          <w:ilvl w:val="0"/>
          <w:numId w:val="1"/>
        </w:numPr>
      </w:pPr>
      <w:r>
        <w:t xml:space="preserve">Smooth pursuit assessment: 4-option qualitative selector (Normal / Mildly reduced / Markedly reduced / Absent).</w:t>
      </w:r>
    </w:p>
    <w:p>
      <w:pPr>
        <w:numPr>
          <w:ilvl w:val="0"/>
          <w:numId w:val="1"/>
        </w:numPr>
      </w:pPr>
      <w:r>
        <w:t xml:space="preserve">Saccadic assessment: 4-option selector (Normal / Prolonged latency / Hypometric / Hypermetric).</w:t>
      </w:r>
    </w:p>
    <w:p>
      <w:pPr>
        <w:numPr>
          <w:ilvl w:val="0"/>
          <w:numId w:val="1"/>
        </w:numPr>
      </w:pPr>
      <w:r>
        <w:t xml:space="preserve">Ductions sub-test (monocular, per-eye with fellow eye occluded): auto-enables when any version grade is non-zero, or doctor can enable manually in setup. OD-first sequence.</w:t>
      </w:r>
    </w:p>
    <w:p>
      <w:pPr>
        <w:numPr>
          <w:ilvl w:val="0"/>
          <w:numId w:val="1"/>
        </w:numPr>
      </w:pPr>
      <w:r>
        <w:t xml:space="preserve">Patient Classification banner driven by interpretation logic that distinguishes isolated single-muscle underaction (→ CN palsy pattern) from multiple underactions (→ possible internuclear ophthalmoplegia or complex palsy).</w:t>
      </w:r>
    </w:p>
    <w:p>
      <w:pPr>
        <w:numPr>
          <w:ilvl w:val="0"/>
          <w:numId w:val="1"/>
        </w:numPr>
      </w:pPr>
      <w:r>
        <w:t xml:space="preserve">CN palsy clinical flag prominently surfaced at any single position grade of -3 or -4, with the position, muscle, and CN named explicitly and neurological referral recommendation.</w:t>
      </w:r>
    </w:p>
    <w:p>
      <w:pPr/>
      <w:r>
        <w:rPr>
          <w:b/>
        </w:rPr>
        <w:t xml:space="preserve">Reconciled to v0.2.0 design conventions</w:t>
      </w:r>
    </w:p>
    <w:p>
      <w:pPr/>
      <w:r>
        <w:t xml:space="preserve">The v1 client prompt proposed naming ("Ocular Motility &amp; Tracking" catalog, "Extraocular motility" lowercase ExamShell) that conflicted with the bare-noun rule codified in v0.2.0. Reconciled to "Extraocular Motility" throughout — bare-noun, title case, no "&amp; Tracking" suffix. Legacy `linear-gradient(135deg, accent, #155bcc)` button styling swept to solid accent backgrounds. Eye references converted from `'left'`/`'right'` to `OD`/`OS`. Emoji warning replaced with SVG icon. Doctor sign-off label added above Certify &amp; close.</w:t>
      </w:r>
    </w:p>
    <w:p>
      <w:pPr>
        <w:pStyle w:val="Heading2"/>
      </w:pPr>
      <w:r>
        <w:t xml:space="preserve">Architecture: sub-test state machine</w:t>
      </w:r>
    </w:p>
    <w:p>
      <w:pPr/>
      <w:r>
        <w:t xml:space="preserve">EOM introduces a new structural pattern for xoExam: a sub-test state machine inside ExamShell's testing phase. The doctor configures which sub-tests to include at setup, then the test advances through them in order — versions (9 positions, binocular) → smooth pursuit (single screen) → saccades (single screen) → optionally ductions (OD then OS, 9 positions each). ExamShell's green Finish &amp; Report button only enables at the final enabled sub-step's completion state. Inline "Next" buttons within each sub-step handle the in-test progression.</w:t>
      </w:r>
    </w:p>
    <w:p>
      <w:pPr/>
      <w:r>
        <w:t xml:space="preserve">This pattern will likely be reused for any future test that has natural sub-tests (e.g., a comprehensive neurological screening). Documented in §7 of the v0.2.1 handoff spec for engineering reference.</w:t>
      </w:r>
    </w:p>
    <w:p>
      <w:pPr>
        <w:pStyle w:val="Heading2"/>
      </w:pPr>
      <w:r>
        <w:t xml:space="preserve">Repository housekeeping in this release</w:t>
      </w:r>
    </w:p>
    <w:p>
      <w:pPr>
        <w:numPr>
          <w:ilvl w:val="0"/>
          <w:numId w:val="1"/>
        </w:numPr>
      </w:pPr>
      <w:r>
        <w:t xml:space="preserve">ExtraocularMotilityTest function and its helpers (EOM_DIRECTIONS, DIR_POSITIONS, EOMMeter, EOMDiagram) removed from MotilityAndNeuro.jsx — the file now holds only VisualReactionTimeTest, EyeTrackingAccuracyTest, AIPatternRecognitionTest (none in beta scope).</w:t>
      </w:r>
    </w:p>
    <w:p>
      <w:pPr>
        <w:numPr>
          <w:ilvl w:val="0"/>
          <w:numId w:val="1"/>
        </w:numPr>
      </w:pPr>
      <w:r>
        <w:t xml:space="preserve">window export at the bottom of MotilityAndNeuro.jsx updated to drop ExtraocularMotilityTest.</w:t>
      </w:r>
    </w:p>
    <w:p>
      <w:pPr>
        <w:numPr>
          <w:ilvl w:val="0"/>
          <w:numId w:val="1"/>
        </w:numPr>
      </w:pPr>
      <w:r>
        <w:t xml:space="preserve">index.html script tag added for the new standalone file. Routing case `'extraocular-motility'` re-points to the new component.</w:t>
      </w:r>
    </w:p>
    <w:p>
      <w:pPr>
        <w:numPr>
          <w:ilvl w:val="0"/>
          <w:numId w:val="1"/>
        </w:numPr>
      </w:pPr>
      <w:r>
        <w:t xml:space="preserve">CLAUDE.md version log appended with the full v0.2.1 entry.</w:t>
      </w:r>
    </w:p>
    <w:p>
      <w:pPr>
        <w:numPr>
          <w:ilvl w:val="0"/>
          <w:numId w:val="1"/>
        </w:numPr>
      </w:pPr>
      <w:r>
        <w:t xml:space="preserve">README.md status section updated to "5 of 19 at clinical fidelity."</w:t>
      </w:r>
    </w:p>
    <w:p>
      <w:pPr>
        <w:numPr>
          <w:ilvl w:val="0"/>
          <w:numId w:val="1"/>
        </w:numPr>
      </w:pPr>
      <w:r>
        <w:t xml:space="preserve">Test stream status table in CLAUDE.md updated — Pupillometry marked as next up (v0.2.2).</w:t>
      </w:r>
    </w:p>
    <w:p>
      <w:pPr>
        <w:pStyle w:val="Heading2"/>
      </w:pPr>
      <w:r>
        <w:t xml:space="preserve">Rollback path</w:t>
      </w:r>
    </w:p>
    <w:p>
      <w:pPr/>
      <w:r>
        <w:t xml:space="preserve">Per the document versioning rule codified in v0.1.9, _dist_v0.2.0/ remains in the repo as the canonical pre-v0.2.1 snapshot. If we ever need to restore the legacy 1–5 EOM behaviour, the rollback is a five-minute file-copy operation: copy _dist_v0.2.0/components/MotilityAndNeuro.jsx back over the current file, remove the new ExtraocularMotilityTest.jsx, restore the routing case. GitHub history provides a second independent rollback path.</w:t>
      </w:r>
    </w:p>
    <w:p>
      <w:pPr>
        <w:pStyle w:val="Heading2"/>
      </w:pPr>
      <w:r>
        <w:t xml:space="preserve">What's next</w:t>
      </w:r>
    </w:p>
    <w:p>
      <w:pPr>
        <w:numPr>
          <w:ilvl w:val="0"/>
          <w:numId w:val="1"/>
        </w:numPr>
      </w:pPr>
      <w:r>
        <w:t xml:space="preserve">v0.2.2 — Pupillometry: clinical assessment of the existing standalone PupillometryTest.jsx, refactor onto ExamShell, OD-first sequence, full doc reissue. Closes the beta scope.</w:t>
      </w:r>
    </w:p>
    <w:p>
      <w:pPr>
        <w:numPr>
          <w:ilvl w:val="0"/>
          <w:numId w:val="1"/>
        </w:numPr>
      </w:pPr>
      <w:r>
        <w:t xml:space="preserve">Post-beta — Roles &amp; Remote Operation design pass: formalises the Tech / Doctor / Patient role model surfaced by the Doctor sign-off label.</w:t>
      </w:r>
    </w:p>
    <w:p>
      <w:pPr>
        <w:numPr>
          <w:ilvl w:val="0"/>
          <w:numId w:val="1"/>
        </w:numPr>
      </w:pPr>
      <w:r>
        <w:t xml:space="preserve">Backfill: formal v2 spec documents for Visual Acuity and Color Vision (their clinical reasoning currently lives only in the CLAUDE.md version log).</w:t>
      </w:r>
    </w:p>
    <w:p>
      <w:pPr>
        <w:pStyle w:val="Heading2"/>
      </w:pPr>
      <w:r>
        <w:t xml:space="preserve">Files updated in this release</w:t>
      </w:r>
    </w:p>
    <w:p>
      <w:pPr>
        <w:numPr>
          <w:ilvl w:val="0"/>
          <w:numId w:val="1"/>
        </w:numPr>
      </w:pPr>
      <w:r>
        <w:t xml:space="preserve">components/ExtraocularMotilityTest.jsx (new, ~57KB, ~1140 lines)</w:t>
      </w:r>
    </w:p>
    <w:p>
      <w:pPr>
        <w:numPr>
          <w:ilvl w:val="0"/>
          <w:numId w:val="1"/>
        </w:numPr>
      </w:pPr>
      <w:r>
        <w:t xml:space="preserve">components/MotilityAndNeuro.jsx (EOM portion removed, 186 lines deleted; remaining file holds Visual Reaction Time, Eye Tracking Accuracy, AI Pattern Recognition)</w:t>
      </w:r>
    </w:p>
    <w:p>
      <w:pPr>
        <w:numPr>
          <w:ilvl w:val="0"/>
          <w:numId w:val="1"/>
        </w:numPr>
      </w:pPr>
      <w:r>
        <w:t xml:space="preserve">briefs/ExtraocularMotility_Clinical_Spec_v2.md (new, ~18KB)</w:t>
      </w:r>
    </w:p>
    <w:p>
      <w:pPr>
        <w:numPr>
          <w:ilvl w:val="0"/>
          <w:numId w:val="1"/>
        </w:numPr>
      </w:pPr>
      <w:r>
        <w:t xml:space="preserve">index.html (script tag added, title bumped to v0.2.1)</w:t>
      </w:r>
    </w:p>
    <w:p>
      <w:pPr>
        <w:numPr>
          <w:ilvl w:val="0"/>
          <w:numId w:val="1"/>
        </w:numPr>
      </w:pPr>
      <w:r>
        <w:t xml:space="preserve">deploy.html (FILES manifest updated to 60 files, version label v0.2.1)</w:t>
      </w:r>
    </w:p>
    <w:p>
      <w:pPr>
        <w:numPr>
          <w:ilvl w:val="0"/>
          <w:numId w:val="1"/>
        </w:numPr>
      </w:pPr>
      <w:r>
        <w:t xml:space="preserve">CLAUDE.md (version log appended, test stream status updated)</w:t>
      </w:r>
    </w:p>
    <w:p>
      <w:pPr>
        <w:numPr>
          <w:ilvl w:val="0"/>
          <w:numId w:val="1"/>
        </w:numPr>
      </w:pPr>
      <w:r>
        <w:t xml:space="preserve">README.md (status bumped to v0.2.1, brief refs updated)</w:t>
      </w:r>
    </w:p>
    <w:p>
      <w:pPr>
        <w:numPr>
          <w:ilvl w:val="0"/>
          <w:numId w:val="1"/>
        </w:numPr>
      </w:pPr>
      <w:r>
        <w:t xml:space="preserve">xoExam UI-UX Engineering Handoff Specification v0.2.1.docx (new, this release)</w:t>
      </w:r>
    </w:p>
    <w:p>
      <w:pPr>
        <w:numPr>
          <w:ilvl w:val="0"/>
          <w:numId w:val="1"/>
        </w:numPr>
      </w:pPr>
      <w:r>
        <w:t xml:space="preserve">xoExam Development Brief 05-22-2026 v0.2.1.docx (new, this document)</w:t>
      </w:r>
    </w:p>
    <w:p>
      <w:pPr>
        <w:numPr>
          <w:ilvl w:val="0"/>
          <w:numId w:val="1"/>
        </w:numPr>
      </w:pPr>
      <w:r>
        <w:t xml:space="preserve">xoExam Development Brief.docx (cumulative, v0.2.1 entry appended)</w:t>
      </w:r>
    </w:p>
    <w:p>
      <w:pPr>
        <w:numPr>
          <w:ilvl w:val="0"/>
          <w:numId w:val="1"/>
        </w:numPr>
      </w:pPr>
      <w:r>
        <w:t xml:space="preserve">_dist_v0.2.1/ (new deployment package)</w:t>
      </w:r>
    </w:p>
    <w:p>
      <w:pPr/>
      <w:r>
        <w:t xml:space="preserve"/>
      </w:r>
    </w:p>
    <w:p>
      <w:pPr/>
      <w:r>
        <w:rPr>
          <w:i/>
          <w:color w:val="6B7280"/>
        </w:rPr>
        <w:t xml:space="preserve">Method Marketing Agency · xoExam UI/UX Development Brief · v0.2.1 · May 22, 2026</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88" w:lineRule="auto"/>
      </w:pPr>
    </w:pPrDefault>
  </w:docDefaults>
  <w:style w:type="paragraph" w:styleId="Heading1">
    <w:name w:val="heading 1"/>
    <w:pPr>
      <w:spacing w:before="360" w:after="160"/>
    </w:pPr>
    <w:rPr>
      <w:b/>
      <w:sz w:val="36"/>
      <w:color w:val="0E2F5E"/>
    </w:rPr>
  </w:style>
  <w:style w:type="paragraph" w:styleId="Heading2">
    <w:name w:val="heading 2"/>
    <w:pPr>
      <w:spacing w:before="280" w:after="100"/>
    </w:pPr>
    <w:rPr>
      <w:b/>
      <w:sz w:val="28"/>
      <w:color w:val="0E2F5E"/>
    </w:rPr>
  </w:style>
  <w:style w:type="paragraph" w:styleId="Heading3">
    <w:name w:val="heading 3"/>
    <w:pPr>
      <w:spacing w:before="220" w:after="80"/>
    </w:pPr>
    <w:rPr>
      <w:b/>
      <w:sz w:val="24"/>
      <w:color w:val="1F8E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