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xoExam™ UI/UX — Engineering Handoff Specification</w:t>
      </w:r>
    </w:p>
    <w:p>
      <w:pPr/>
      <w:r>
        <w:rPr>
          <w:i/>
          <w:color w:val="6B7280"/>
        </w:rPr>
        <w:t xml:space="preserve">Version 0.2.1 · May 22, 2026</w:t>
      </w:r>
    </w:p>
    <w:p>
      <w:pPr/>
      <w:r>
        <w:rPr>
          <w:color w:val="6B7280"/>
        </w:rPr>
        <w:t xml:space="preserve">Method Marketing Agency for Xenon Ophthalmics Inc.</w:t>
      </w:r>
    </w:p>
    <w:p>
      <w:pPr/>
      <w:r>
        <w:t xml:space="preserve"/>
      </w:r>
    </w:p>
    <w:p>
      <w:pPr/>
      <w:r>
        <w:rPr>
          <w:i/>
        </w:rPr>
        <w:t xml:space="preserve">This document is the authoritative engineering handoff for the xoExam™ tablet UI/UX. Intended for MPR (engineering partner) and subsequent engineering teams porting the prototype to the production React Native + Kotlin codebase. Read end-to-end before opening the prototype.</w:t>
      </w:r>
    </w:p>
    <w:p>
      <w:pPr/>
      <w:r>
        <w:rPr>
          <w:i/>
          <w:color w:val="6B7280"/>
        </w:rPr>
        <w:t xml:space="preserve">Supersedes v0.1.9 (May 21, 2026). Older versioned documents remain in the repo for reference — always read the highest-numbered version first.</w:t>
      </w:r>
    </w:p>
    <w:p>
      <w:pPr>
        <w:pStyle w:val="Heading2"/>
      </w:pPr>
      <w:r>
        <w:t xml:space="preserve">1. What changed since v0.1.9</w:t>
      </w:r>
    </w:p>
    <w:p>
      <w:pPr/>
      <w:r>
        <w:t xml:space="preserve">v0.2.1 brings Extraocular Motility to clinical fidelity. Five of nineteen tests are now at full clinical fidelity (Visual Acuity, Color Vision, Visual Fields, Wavefront Aberrometry, Extraocular Motility). The remaining beta-scope test is Pupillometry (v0.2.2), which closes the beta scope.</w:t>
      </w:r>
    </w:p>
    <w:p>
      <w:pPr/>
      <w:r>
        <w:rPr>
          <w:b/>
        </w:rPr>
        <w:t xml:space="preserve">New in v0.2.1:</w:t>
      </w:r>
    </w:p>
    <w:p>
      <w:pPr>
        <w:numPr>
          <w:ilvl w:val="0"/>
          <w:numId w:val="1"/>
        </w:numPr>
      </w:pPr>
      <w:r>
        <w:t xml:space="preserve">components/ExtraocularMotilityTest.jsx — extracted from MotilityAndNeuro.jsx into a standalone file. Rebuilt against briefs/ExtraocularMotility_Clinical_Spec_v2.md.</w:t>
      </w:r>
    </w:p>
    <w:p>
      <w:pPr>
        <w:numPr>
          <w:ilvl w:val="0"/>
          <w:numId w:val="1"/>
        </w:numPr>
      </w:pPr>
      <w:r>
        <w:t xml:space="preserve">briefs/ExtraocularMotility_Clinical_Spec_v2.md — per-test clinical specification.</w:t>
      </w:r>
    </w:p>
    <w:p>
      <w:pPr>
        <w:numPr>
          <w:ilvl w:val="0"/>
          <w:numId w:val="1"/>
        </w:numPr>
      </w:pPr>
      <w:r>
        <w:t xml:space="preserve">Grading scale corrected from arbitrary 1–5 to international standard 0 to ±4.</w:t>
      </w:r>
    </w:p>
    <w:p>
      <w:pPr>
        <w:numPr>
          <w:ilvl w:val="0"/>
          <w:numId w:val="1"/>
        </w:numPr>
      </w:pPr>
      <w:r>
        <w:t xml:space="preserve">9 cardinal positions including primary gaze (was 8).</w:t>
      </w:r>
    </w:p>
    <w:p>
      <w:pPr>
        <w:numPr>
          <w:ilvl w:val="0"/>
          <w:numId w:val="1"/>
        </w:numPr>
      </w:pPr>
      <w:r>
        <w:t xml:space="preserve">Each position carries primary AND secondary muscle/CN mapping so CN IV palsy is correctly read at down-and-in gaze.</w:t>
      </w:r>
    </w:p>
    <w:p>
      <w:pPr>
        <w:numPr>
          <w:ilvl w:val="0"/>
          <w:numId w:val="1"/>
        </w:numPr>
      </w:pPr>
      <w:r>
        <w:t xml:space="preserve">H-pattern motility diagram (clinical standard) replacing the radial 8-dot diagram.</w:t>
      </w:r>
    </w:p>
    <w:p>
      <w:pPr>
        <w:numPr>
          <w:ilvl w:val="0"/>
          <w:numId w:val="1"/>
        </w:numPr>
      </w:pPr>
      <w:r>
        <w:t xml:space="preserve">Sub-test state machine inside the testing phase: versions → pursuit → saccades → [ductions-OD → ductions-OS]. Ductions auto-enable when any version grade is non-zero.</w:t>
      </w:r>
    </w:p>
    <w:p>
      <w:pPr/>
      <w:r>
        <w:rPr>
          <w:b/>
        </w:rPr>
        <w:t xml:space="preserve">Interim release between v0.1.9 and v0.2.1:</w:t>
      </w:r>
    </w:p>
    <w:p>
      <w:pPr>
        <w:numPr>
          <w:ilvl w:val="0"/>
          <w:numId w:val="1"/>
        </w:numPr>
      </w:pPr>
      <w:r>
        <w:t xml:space="preserve">v0.2.0 (May 21, 2026) — naming convention sweep and dead-entry removal. No new clinical content. Codified the bare-noun UI naming rule (Dev Rule #0 in CLAUDE.md). 19-test catalog, 2 dead entries cleaned up.</w:t>
      </w:r>
    </w:p>
    <w:p>
      <w:pPr>
        <w:pStyle w:val="Heading2"/>
      </w:pPr>
      <w:r>
        <w:t xml:space="preserve">2. Engineering quick start</w:t>
      </w:r>
    </w:p>
    <w:p>
      <w:pPr/>
      <w:r>
        <w:t xml:space="preserve">1. Open index.html in Chrome or Edge. No build step — React 18.3.1 and Babel Standalone load from CDN.</w:t>
      </w:r>
    </w:p>
    <w:p>
      <w:pPr/>
      <w:r>
        <w:t xml:space="preserve">2. Read CLAUDE.md at the project root — canonical project memory, version log, design system, component interface contract.</w:t>
      </w:r>
    </w:p>
    <w:p>
      <w:pPr/>
      <w:r>
        <w:t xml:space="preserve">3. Per-test clinical detail: briefs/&lt;Test&gt;_Clinical_Spec_v2.md (only tests at clinical fidelity have a spec).</w:t>
      </w:r>
    </w:p>
    <w:p>
      <w:pPr/>
      <w:r>
        <w:t xml:space="preserve">4. Production target is React Native + Kotlin on Android tablets. See §3 for the portability table.</w:t>
      </w:r>
    </w:p>
    <w:p>
      <w:pPr>
        <w:pStyle w:val="Heading2"/>
      </w:pPr>
      <w:r>
        <w:t xml:space="preserve">3. React Native + Kotlin portability</w:t>
      </w:r>
    </w:p>
    <w:p>
      <w:pPr/>
      <w:r>
        <w:t xml:space="preserve">Confirmed via MPR architecture conversation, May 2026: xoExam is the only XO Vision Care System module built natively. xoIris, xoFit, and (likely) xoLab are web applications. The xoExam tablet UI is built in React Native (JS layer) with Kotlin handling hardware-level operations.</w:t>
      </w:r>
    </w:p>
    <w:p>
      <w:pPr/>
      <w:r>
        <w:rPr>
          <w:b/>
        </w:rPr>
        <w:t xml:space="preserve">Web React → React Native translation table (unchanged from v0.1.9 §3):</w:t>
      </w:r>
    </w:p>
    <w:tbl>
      <w:tblPr>
        <w:tblW w:w="0" w:type="auto"/>
        <w:tblBorders>
          <w:top w:val="single" w:sz="4" w:color="D0D5DB"/>
          <w:left w:val="single" w:sz="4" w:color="D0D5DB"/>
          <w:bottom w:val="single" w:sz="4" w:color="D0D5DB"/>
          <w:right w:val="single" w:sz="4" w:color="D0D5DB"/>
          <w:insideH w:val="single" w:sz="4" w:color="D0D5DB"/>
          <w:insideV w:val="single" w:sz="4" w:color="D0D5DB"/>
        </w:tblBorders>
      </w:tblPr>
      <w:tr>
        <w:tc>
          <w:tcPr>
            <w:tcW w:w="0" w:type="auto"/>
            <w:shd w:val="clear" w:color="auto" w:fill="0E2F5E"/>
          </w:tcPr>
          <w:p>
            <w:pPr/>
            <w:r>
              <w:rPr>
                <w:b/>
                <w:sz w:val="18"/>
                <w:color w:val="FFFFFF"/>
              </w:rPr>
              <w:t xml:space="preserve">Web prototype</w:t>
            </w:r>
          </w:p>
        </w:tc>
        <w:tc>
          <w:tcPr>
            <w:tcW w:w="0" w:type="auto"/>
            <w:shd w:val="clear" w:color="auto" w:fill="0E2F5E"/>
          </w:tcPr>
          <w:p>
            <w:pPr/>
            <w:r>
              <w:rPr>
                <w:b/>
                <w:sz w:val="18"/>
                <w:color w:val="FFFFFF"/>
              </w:rPr>
              <w:t xml:space="preserve">React Native production</w:t>
            </w:r>
          </w:p>
        </w:tc>
        <w:tc>
          <w:tcPr>
            <w:tcW w:w="0" w:type="auto"/>
            <w:shd w:val="clear" w:color="auto" w:fill="0E2F5E"/>
          </w:tcPr>
          <w:p>
            <w:pPr/>
            <w:r>
              <w:rPr>
                <w:b/>
                <w:sz w:val="18"/>
                <w:color w:val="FFFFFF"/>
              </w:rPr>
              <w:t xml:space="preserve">Notes</w:t>
            </w:r>
          </w:p>
        </w:tc>
      </w:tr>
      <w:tr>
        <w:tc>
          <w:tcPr>
            <w:tcW w:w="0" w:type="auto"/>
          </w:tcPr>
          <w:p>
            <w:pPr/>
            <w:r>
              <w:rPr>
                <w:sz w:val="18"/>
              </w:rPr>
              <w:t xml:space="preserve">&lt;div&gt;, &lt;span&gt;</w:t>
            </w:r>
          </w:p>
        </w:tc>
        <w:tc>
          <w:tcPr>
            <w:tcW w:w="0" w:type="auto"/>
          </w:tcPr>
          <w:p>
            <w:pPr/>
            <w:r>
              <w:rPr>
                <w:sz w:val="18"/>
              </w:rPr>
              <w:t xml:space="preserve">&lt;View&gt;, &lt;Text&gt;</w:t>
            </w:r>
          </w:p>
        </w:tc>
        <w:tc>
          <w:tcPr>
            <w:tcW w:w="0" w:type="auto"/>
          </w:tcPr>
          <w:p>
            <w:pPr/>
            <w:r>
              <w:rPr>
                <w:sz w:val="18"/>
              </w:rPr>
              <w:t xml:space="preserve">All text must be wrapped in &lt;Text&gt;.</w:t>
            </w:r>
          </w:p>
        </w:tc>
      </w:tr>
      <w:tr>
        <w:tc>
          <w:tcPr>
            <w:tcW w:w="0" w:type="auto"/>
          </w:tcPr>
          <w:p>
            <w:pPr/>
            <w:r>
              <w:rPr>
                <w:sz w:val="18"/>
              </w:rPr>
              <w:t xml:space="preserve">&lt;button&gt;</w:t>
            </w:r>
          </w:p>
        </w:tc>
        <w:tc>
          <w:tcPr>
            <w:tcW w:w="0" w:type="auto"/>
          </w:tcPr>
          <w:p>
            <w:pPr/>
            <w:r>
              <w:rPr>
                <w:sz w:val="18"/>
              </w:rPr>
              <w:t xml:space="preserve">&lt;Pressable&gt;</w:t>
            </w:r>
          </w:p>
        </w:tc>
        <w:tc>
          <w:tcPr>
            <w:tcW w:w="0" w:type="auto"/>
          </w:tcPr>
          <w:p>
            <w:pPr/>
            <w:r>
              <w:rPr>
                <w:sz w:val="18"/>
              </w:rPr>
              <w:t xml:space="preserve">onClick → onPress.</w:t>
            </w:r>
          </w:p>
        </w:tc>
      </w:tr>
      <w:tr>
        <w:tc>
          <w:tcPr>
            <w:tcW w:w="0" w:type="auto"/>
          </w:tcPr>
          <w:p>
            <w:pPr/>
            <w:r>
              <w:rPr>
                <w:sz w:val="18"/>
              </w:rPr>
              <w:t xml:space="preserve">&lt;img&gt;</w:t>
            </w:r>
          </w:p>
        </w:tc>
        <w:tc>
          <w:tcPr>
            <w:tcW w:w="0" w:type="auto"/>
          </w:tcPr>
          <w:p>
            <w:pPr/>
            <w:r>
              <w:rPr>
                <w:sz w:val="18"/>
              </w:rPr>
              <w:t xml:space="preserve">&lt;Image&gt;</w:t>
            </w:r>
          </w:p>
        </w:tc>
        <w:tc>
          <w:tcPr>
            <w:tcW w:w="0" w:type="auto"/>
          </w:tcPr>
          <w:p>
            <w:pPr/>
            <w:r>
              <w:rPr>
                <w:sz w:val="18"/>
              </w:rPr>
              <w:t xml:space="preserve">src → source={{uri:...}}.</w:t>
            </w:r>
          </w:p>
        </w:tc>
      </w:tr>
      <w:tr>
        <w:tc>
          <w:tcPr>
            <w:tcW w:w="0" w:type="auto"/>
          </w:tcPr>
          <w:p>
            <w:pPr/>
            <w:r>
              <w:rPr>
                <w:sz w:val="18"/>
              </w:rPr>
              <w:t xml:space="preserve">CSS / inline styles</w:t>
            </w:r>
          </w:p>
        </w:tc>
        <w:tc>
          <w:tcPr>
            <w:tcW w:w="0" w:type="auto"/>
          </w:tcPr>
          <w:p>
            <w:pPr/>
            <w:r>
              <w:rPr>
                <w:sz w:val="18"/>
              </w:rPr>
              <w:t xml:space="preserve">StyleSheet API</w:t>
            </w:r>
          </w:p>
        </w:tc>
        <w:tc>
          <w:tcPr>
            <w:tcW w:w="0" w:type="auto"/>
          </w:tcPr>
          <w:p>
            <w:pPr/>
            <w:r>
              <w:rPr>
                <w:sz w:val="18"/>
              </w:rPr>
              <w:t xml:space="preserve">No cursor, no :hover, no media queries — use Dimensions.</w:t>
            </w:r>
          </w:p>
        </w:tc>
      </w:tr>
      <w:tr>
        <w:tc>
          <w:tcPr>
            <w:tcW w:w="0" w:type="auto"/>
          </w:tcPr>
          <w:p>
            <w:pPr/>
            <w:r>
              <w:rPr>
                <w:sz w:val="18"/>
              </w:rPr>
              <w:t xml:space="preserve">localStorage</w:t>
            </w:r>
          </w:p>
        </w:tc>
        <w:tc>
          <w:tcPr>
            <w:tcW w:w="0" w:type="auto"/>
          </w:tcPr>
          <w:p>
            <w:pPr/>
            <w:r>
              <w:rPr>
                <w:sz w:val="18"/>
              </w:rPr>
              <w:t xml:space="preserve">AsyncStorage</w:t>
            </w:r>
          </w:p>
        </w:tc>
        <w:tc>
          <w:tcPr>
            <w:tcW w:w="0" w:type="auto"/>
          </w:tcPr>
          <w:p>
            <w:pPr/>
            <w:r>
              <w:rPr>
                <w:sz w:val="18"/>
              </w:rPr>
              <w:t xml:space="preserve">API is async — wrap reads in await.</w:t>
            </w:r>
          </w:p>
        </w:tc>
      </w:tr>
      <w:tr>
        <w:tc>
          <w:tcPr>
            <w:tcW w:w="0" w:type="auto"/>
          </w:tcPr>
          <w:p>
            <w:pPr/>
            <w:r>
              <w:rPr>
                <w:sz w:val="18"/>
              </w:rPr>
              <w:t xml:space="preserve">CSS animations</w:t>
            </w:r>
          </w:p>
        </w:tc>
        <w:tc>
          <w:tcPr>
            <w:tcW w:w="0" w:type="auto"/>
          </w:tcPr>
          <w:p>
            <w:pPr/>
            <w:r>
              <w:rPr>
                <w:sz w:val="18"/>
              </w:rPr>
              <w:t xml:space="preserve">Animated API or Reanimated</w:t>
            </w:r>
          </w:p>
        </w:tc>
        <w:tc>
          <w:tcPr>
            <w:tcW w:w="0" w:type="auto"/>
          </w:tcPr>
          <w:p>
            <w:pPr/>
            <w:r>
              <w:rPr>
                <w:sz w:val="18"/>
              </w:rPr>
              <w:t xml:space="preserve">Transform / opacity translate cleanly.</w:t>
            </w:r>
          </w:p>
        </w:tc>
      </w:tr>
      <w:tr>
        <w:tc>
          <w:tcPr>
            <w:tcW w:w="0" w:type="auto"/>
          </w:tcPr>
          <w:p>
            <w:pPr/>
            <w:r>
              <w:rPr>
                <w:sz w:val="18"/>
              </w:rPr>
              <w:t xml:space="preserve">&lt;input&gt;</w:t>
            </w:r>
          </w:p>
        </w:tc>
        <w:tc>
          <w:tcPr>
            <w:tcW w:w="0" w:type="auto"/>
          </w:tcPr>
          <w:p>
            <w:pPr/>
            <w:r>
              <w:rPr>
                <w:sz w:val="18"/>
              </w:rPr>
              <w:t xml:space="preserve">&lt;TextInput&gt;</w:t>
            </w:r>
          </w:p>
        </w:tc>
        <w:tc>
          <w:tcPr>
            <w:tcW w:w="0" w:type="auto"/>
          </w:tcPr>
          <w:p>
            <w:pPr/>
            <w:r>
              <w:rPr>
                <w:sz w:val="18"/>
              </w:rPr>
              <w:t xml:space="preserve">value/onChangeText (not onChange).</w:t>
            </w:r>
          </w:p>
        </w:tc>
      </w:tr>
    </w:tbl>
    <w:p>
      <w:pPr>
        <w:pStyle w:val="Heading2"/>
      </w:pPr>
      <w:r>
        <w:t xml:space="preserve">4. Application architecture</w:t>
      </w:r>
    </w:p>
    <w:p>
      <w:pPr/>
      <w:r>
        <w:t xml:space="preserve">Single-file React 18.3.1 + Babel Standalone (CDN). No build toolchain. index.html is the entry point; all components load as &lt;script type="text/babel" src="components/X.jsx"&gt;.</w:t>
      </w:r>
    </w:p>
    <w:p>
      <w:pPr/>
      <w:r>
        <w:rPr>
          <w:i/>
        </w:rPr>
        <w:t xml:space="preserve">Critical Babel rule: each script tag has its own scope. Components share state by assigning to window at the end of each file. Top-level constants must be uniquely named across files via component-specific prefixes (VA_, CV_, VF_, WFA_, EOM_) — collisions overwrite silently.</w:t>
      </w:r>
    </w:p>
    <w:p>
      <w:pPr>
        <w:pStyle w:val="Heading2"/>
      </w:pPr>
      <w:r>
        <w:t xml:space="preserve">5. Component interface contract</w:t>
      </w:r>
    </w:p>
    <w:p>
      <w:pPr/>
      <w:r>
        <w:t xml:space="preserve">Every test component must conform to this contract. ExamShell handles all chrome and the canonical Cancel UX.</w:t>
      </w:r>
    </w:p>
    <w:p>
      <w:pPr/>
      <w:r>
        <w:rPr>
          <w:rFonts w:ascii="Consolas" w:hAnsi="Consolas"/>
        </w:rPr>
        <w:t xml:space="preserve">Required signature: function TestNameTest({ onBack, tweaks }) { ... }</w:t>
      </w:r>
    </w:p>
    <w:p>
      <w:pPr/>
      <w:r>
        <w:rPr>
          <w:rFonts w:ascii="Consolas" w:hAnsi="Consolas"/>
        </w:rPr>
        <w:t xml:space="preserve">Required export: Object.assign(window, { TestNameTest });</w:t>
      </w:r>
    </w:p>
    <w:p>
      <w:pPr/>
      <w:r>
        <w:rPr>
          <w:rFonts w:ascii="Consolas" w:hAnsi="Consolas"/>
        </w:rPr>
        <w:t xml:space="preserve">Required wrapper: &lt;ExamShell title="..." accent={...} onBack={...} phase={...} elapsed={...} onBegin={...} onFinish={...} onNewTest={...}&gt; ... &lt;/ExamShell&gt;</w:t>
      </w:r>
    </w:p>
    <w:p>
      <w:pPr/>
      <w:r>
        <w:t xml:space="preserve">Required phases: ready · testing · report.</w:t>
      </w:r>
    </w:p>
    <w:p>
      <w:pPr/>
      <w:r>
        <w:rPr>
          <w:b/>
        </w:rPr>
        <w:t xml:space="preserve">All top-level identifiers in a component file must be prefixed with a 2- or 3-letter component code. Non-negotiable — Babel has no module scoping.</w:t>
      </w:r>
    </w:p>
    <w:p>
      <w:pPr>
        <w:pStyle w:val="Heading2"/>
      </w:pPr>
      <w:r>
        <w:t xml:space="preserve">6. ExamShell canonical Cancel UX</w:t>
      </w:r>
    </w:p>
    <w:p>
      <w:pPr/>
      <w:r>
        <w:t xml:space="preserve">ExamShell owns the cancel-during-testing UX so that all test components behave identically. Test components must not build their own cancel buttons or modals.</w:t>
      </w:r>
    </w:p>
    <w:tbl>
      <w:tblPr>
        <w:tblW w:w="0" w:type="auto"/>
        <w:tblBorders>
          <w:top w:val="single" w:sz="4" w:color="D0D5DB"/>
          <w:left w:val="single" w:sz="4" w:color="D0D5DB"/>
          <w:bottom w:val="single" w:sz="4" w:color="D0D5DB"/>
          <w:right w:val="single" w:sz="4" w:color="D0D5DB"/>
          <w:insideH w:val="single" w:sz="4" w:color="D0D5DB"/>
          <w:insideV w:val="single" w:sz="4" w:color="D0D5DB"/>
        </w:tblBorders>
      </w:tblPr>
      <w:tr>
        <w:tc>
          <w:tcPr>
            <w:tcW w:w="0" w:type="auto"/>
            <w:shd w:val="clear" w:color="auto" w:fill="0E2F5E"/>
          </w:tcPr>
          <w:p>
            <w:pPr/>
            <w:r>
              <w:rPr>
                <w:b/>
                <w:sz w:val="18"/>
                <w:color w:val="FFFFFF"/>
              </w:rPr>
              <w:t xml:space="preserve">Phase</w:t>
            </w:r>
          </w:p>
        </w:tc>
        <w:tc>
          <w:tcPr>
            <w:tcW w:w="0" w:type="auto"/>
            <w:shd w:val="clear" w:color="auto" w:fill="0E2F5E"/>
          </w:tcPr>
          <w:p>
            <w:pPr/>
            <w:r>
              <w:rPr>
                <w:b/>
                <w:sz w:val="18"/>
                <w:color w:val="FFFFFF"/>
              </w:rPr>
              <w:t xml:space="preserve">Header chrome</w:t>
            </w:r>
          </w:p>
        </w:tc>
      </w:tr>
      <w:tr>
        <w:tc>
          <w:tcPr>
            <w:tcW w:w="0" w:type="auto"/>
          </w:tcPr>
          <w:p>
            <w:pPr/>
            <w:r>
              <w:rPr>
                <w:sz w:val="18"/>
              </w:rPr>
              <w:t xml:space="preserve">ready</w:t>
            </w:r>
          </w:p>
        </w:tc>
        <w:tc>
          <w:tcPr>
            <w:tcW w:w="0" w:type="auto"/>
          </w:tcPr>
          <w:p>
            <w:pPr/>
            <w:r>
              <w:rPr>
                <w:sz w:val="18"/>
              </w:rPr>
              <w:t xml:space="preserve">Back arrow visible. Returns immediately via onBack. No confirm.</w:t>
            </w:r>
          </w:p>
        </w:tc>
      </w:tr>
      <w:tr>
        <w:tc>
          <w:tcPr>
            <w:tcW w:w="0" w:type="auto"/>
          </w:tcPr>
          <w:p>
            <w:pPr/>
            <w:r>
              <w:rPr>
                <w:sz w:val="18"/>
              </w:rPr>
              <w:t xml:space="preserve">testing</w:t>
            </w:r>
          </w:p>
        </w:tc>
        <w:tc>
          <w:tcPr>
            <w:tcW w:w="0" w:type="auto"/>
          </w:tcPr>
          <w:p>
            <w:pPr/>
            <w:r>
              <w:rPr>
                <w:sz w:val="18"/>
              </w:rPr>
              <w:t xml:space="preserve">Back arrow HIDDEN. Labeled red "Cancel test" button on the right. Opens canonical confirm modal.</w:t>
            </w:r>
          </w:p>
        </w:tc>
      </w:tr>
      <w:tr>
        <w:tc>
          <w:tcPr>
            <w:tcW w:w="0" w:type="auto"/>
          </w:tcPr>
          <w:p>
            <w:pPr/>
            <w:r>
              <w:rPr>
                <w:sz w:val="18"/>
              </w:rPr>
              <w:t xml:space="preserve">report</w:t>
            </w:r>
          </w:p>
        </w:tc>
        <w:tc>
          <w:tcPr>
            <w:tcW w:w="0" w:type="auto"/>
          </w:tcPr>
          <w:p>
            <w:pPr/>
            <w:r>
              <w:rPr>
                <w:sz w:val="18"/>
              </w:rPr>
              <w:t xml:space="preserve">Back arrow visible. Returns immediately. No confirm.</w:t>
            </w:r>
          </w:p>
        </w:tc>
      </w:tr>
    </w:tbl>
    <w:p>
      <w:pPr>
        <w:pStyle w:val="Heading2"/>
      </w:pPr>
      <w:r>
        <w:t xml:space="preserve">7. Sub-step state machines inside the testing phase</w:t>
      </w:r>
    </w:p>
    <w:p>
      <w:pPr/>
      <w:r>
        <w:rPr>
          <w:b/>
        </w:rPr>
        <w:t xml:space="preserve">Some tests (Visual Field, Color Vision, Extraocular Motility) have internal sub-step state machines under ExamShell's testing phase. Pattern:</w:t>
      </w:r>
    </w:p>
    <w:p>
      <w:pPr>
        <w:numPr>
          <w:ilvl w:val="0"/>
          <w:numId w:val="1"/>
        </w:numPr>
      </w:pPr>
      <w:r>
        <w:t xml:space="preserve">Visual Field: vfStep = eye-selection → config → pattern → foveal → conducting. First four are sub-steps under "ready"; the fifth is the actual conducting/measurement during "testing."</w:t>
      </w:r>
    </w:p>
    <w:p>
      <w:pPr>
        <w:numPr>
          <w:ilvl w:val="0"/>
          <w:numId w:val="1"/>
        </w:numPr>
      </w:pPr>
      <w:r>
        <w:t xml:space="preserve">Color Vision: phase = selection → ishihara → d15 → results. Ishihara and D-15 are sub-protocols within testing.</w:t>
      </w:r>
    </w:p>
    <w:p>
      <w:pPr>
        <w:numPr>
          <w:ilvl w:val="0"/>
          <w:numId w:val="1"/>
        </w:numPr>
      </w:pPr>
      <w:r>
        <w:t xml:space="preserve">Extraocular Motility (v0.2.1): testStep = versions → pursuit → saccades → [ductions-OD → ductions-OS]. Each sub-step has its own UI. ExamShell's green Finish &amp; Report button enables only at the final enabled sub-step's completion state — computed by computeNextStep() + finishAvailable() helpers.</w:t>
      </w:r>
    </w:p>
    <w:p>
      <w:pPr/>
      <w:r>
        <w:rPr>
          <w:i/>
        </w:rPr>
        <w:t xml:space="preserve">Engineering note: the sub-step state machine is internal to each component. ExamShell does not know about sub-steps — it only sees the three top-level phases.</w:t>
      </w:r>
    </w:p>
    <w:p>
      <w:pPr>
        <w:pStyle w:val="Heading2"/>
      </w:pPr>
      <w:r>
        <w:t xml:space="preserve">8. Bilateral eye-sequence pattern</w:t>
      </w:r>
    </w:p>
    <w:p>
      <w:pPr/>
      <w:r>
        <w:t xml:space="preserve">For tests that test both eyes (VA, CV, VF, WFA, EOM ductions): default OD before OS (universal medical convention). InlineEyePicker, EyeBreadcrumb, TransitionPrompt are reused per test. Extraocular Motility versions is binocular by design (both eyes open) — only the ductions sub-step uses the bilateral OD-first pattern.</w:t>
      </w:r>
    </w:p>
    <w:p>
      <w:pPr>
        <w:pStyle w:val="Heading2"/>
      </w:pPr>
      <w:r>
        <w:t xml:space="preserve">9. Doctor sign-off pattern</w:t>
      </w:r>
    </w:p>
    <w:p>
      <w:pPr/>
      <w:r>
        <w:t xml:space="preserve">Standard on every clinical-fidelity test as of v0.1.9. Small 11px accent-coloured label immediately above the primary Certify &amp; close button on the report screen. Reads "Doctor sign-off."</w:t>
      </w:r>
    </w:p>
    <w:p>
      <w:pPr/>
      <w:r>
        <w:t xml:space="preserve">Future state (post-beta Roles &amp; Remote Operation pass): the label dynamically reflects user role. When a technician is signed in, it reads "Awaiting doctor sign-off" and the Certify &amp; close button is disabled. v0.2.1 ships the visual hint only — enforcement requires the auth/role contract to land.</w:t>
      </w:r>
    </w:p>
    <w:p>
      <w:pPr>
        <w:pStyle w:val="Heading2"/>
      </w:pPr>
      <w:r>
        <w:t xml:space="preserve">10. Roles &amp; remote operation model (preview)</w:t>
      </w:r>
    </w:p>
    <w:p>
      <w:pPr/>
      <w:r>
        <w:t xml:space="preserve">Confirmed via MPR conversation, May 2026: three concurrent roles (Patient · Technician · Doctor), two operator surfaces (tech tablet + doctor tablet/desktop), remote operation as a first-class requirement.</w:t>
      </w:r>
    </w:p>
    <w:p>
      <w:pPr>
        <w:numPr>
          <w:ilvl w:val="0"/>
          <w:numId w:val="1"/>
        </w:numPr>
      </w:pPr>
      <w:r>
        <w:t xml:space="preserve">Patient — wears the headset, holds a wireless response clicker paired to the headset.</w:t>
      </w:r>
    </w:p>
    <w:p>
      <w:pPr>
        <w:numPr>
          <w:ilvl w:val="0"/>
          <w:numId w:val="1"/>
        </w:numPr>
      </w:pPr>
      <w:r>
        <w:t xml:space="preserve">Technician — on-site tablet, runs the test through to completion.</w:t>
      </w:r>
    </w:p>
    <w:p>
      <w:pPr>
        <w:numPr>
          <w:ilvl w:val="0"/>
          <w:numId w:val="1"/>
        </w:numPr>
      </w:pPr>
      <w:r>
        <w:t xml:space="preserve">Doctor — remote or on-site, joins live + certifies. Certification is the doctor's exclusive responsibility.</w:t>
      </w:r>
    </w:p>
    <w:p>
      <w:pPr/>
      <w:r>
        <w:t xml:space="preserve">Roles &amp; Remote Operation design pass is queued for v0.3.x. Will cover: role indicator in chrome, permissions model, Pending certification exam status, live-join entry point, concurrent control model.</w:t>
      </w:r>
    </w:p>
    <w:p>
      <w:pPr>
        <w:pStyle w:val="Heading2"/>
      </w:pPr>
      <w:r>
        <w:t xml:space="preserve">11. Design system summary (unchanged from v0.1.9)</w:t>
      </w:r>
    </w:p>
    <w:tbl>
      <w:tblPr>
        <w:tblW w:w="0" w:type="auto"/>
        <w:tblBorders>
          <w:top w:val="single" w:sz="4" w:color="D0D5DB"/>
          <w:left w:val="single" w:sz="4" w:color="D0D5DB"/>
          <w:bottom w:val="single" w:sz="4" w:color="D0D5DB"/>
          <w:right w:val="single" w:sz="4" w:color="D0D5DB"/>
          <w:insideH w:val="single" w:sz="4" w:color="D0D5DB"/>
          <w:insideV w:val="single" w:sz="4" w:color="D0D5DB"/>
        </w:tblBorders>
      </w:tblPr>
      <w:tr>
        <w:tc>
          <w:tcPr>
            <w:tcW w:w="0" w:type="auto"/>
            <w:shd w:val="clear" w:color="auto" w:fill="0E2F5E"/>
          </w:tcPr>
          <w:p>
            <w:pPr/>
            <w:r>
              <w:rPr>
                <w:b/>
                <w:sz w:val="18"/>
                <w:color w:val="FFFFFF"/>
              </w:rPr>
              <w:t xml:space="preserve">Token</w:t>
            </w:r>
          </w:p>
        </w:tc>
        <w:tc>
          <w:tcPr>
            <w:tcW w:w="0" w:type="auto"/>
            <w:shd w:val="clear" w:color="auto" w:fill="0E2F5E"/>
          </w:tcPr>
          <w:p>
            <w:pPr/>
            <w:r>
              <w:rPr>
                <w:b/>
                <w:sz w:val="18"/>
                <w:color w:val="FFFFFF"/>
              </w:rPr>
              <w:t xml:space="preserve">Hex</w:t>
            </w:r>
          </w:p>
        </w:tc>
        <w:tc>
          <w:tcPr>
            <w:tcW w:w="0" w:type="auto"/>
            <w:shd w:val="clear" w:color="auto" w:fill="0E2F5E"/>
          </w:tcPr>
          <w:p>
            <w:pPr/>
            <w:r>
              <w:rPr>
                <w:b/>
                <w:sz w:val="18"/>
                <w:color w:val="FFFFFF"/>
              </w:rPr>
              <w:t xml:space="preserve">Usage</w:t>
            </w:r>
          </w:p>
        </w:tc>
      </w:tr>
      <w:tr>
        <w:tc>
          <w:tcPr>
            <w:tcW w:w="0" w:type="auto"/>
          </w:tcPr>
          <w:p>
            <w:pPr/>
            <w:r>
              <w:rPr>
                <w:sz w:val="18"/>
              </w:rPr>
              <w:t xml:space="preserve">Navy (primary chrome)</w:t>
            </w:r>
          </w:p>
        </w:tc>
        <w:tc>
          <w:tcPr>
            <w:tcW w:w="0" w:type="auto"/>
          </w:tcPr>
          <w:p>
            <w:pPr/>
            <w:r>
              <w:rPr>
                <w:sz w:val="18"/>
              </w:rPr>
              <w:t xml:space="preserve">#0E2F5E</w:t>
            </w:r>
          </w:p>
        </w:tc>
        <w:tc>
          <w:tcPr>
            <w:tcW w:w="0" w:type="auto"/>
          </w:tcPr>
          <w:p>
            <w:pPr/>
            <w:r>
              <w:rPr>
                <w:sz w:val="18"/>
              </w:rPr>
              <w:t xml:space="preserve">Sidebar, dark headers, table headers.</w:t>
            </w:r>
          </w:p>
        </w:tc>
      </w:tr>
      <w:tr>
        <w:tc>
          <w:tcPr>
            <w:tcW w:w="0" w:type="auto"/>
          </w:tcPr>
          <w:p>
            <w:pPr/>
            <w:r>
              <w:rPr>
                <w:sz w:val="18"/>
              </w:rPr>
              <w:t xml:space="preserve">Accent (xoExam blue)</w:t>
            </w:r>
          </w:p>
        </w:tc>
        <w:tc>
          <w:tcPr>
            <w:tcW w:w="0" w:type="auto"/>
          </w:tcPr>
          <w:p>
            <w:pPr/>
            <w:r>
              <w:rPr>
                <w:sz w:val="18"/>
              </w:rPr>
              <w:t xml:space="preserve">#1F8EFF</w:t>
            </w:r>
          </w:p>
        </w:tc>
        <w:tc>
          <w:tcPr>
            <w:tcW w:w="0" w:type="auto"/>
          </w:tcPr>
          <w:p>
            <w:pPr/>
            <w:r>
              <w:rPr>
                <w:sz w:val="18"/>
              </w:rPr>
              <w:t xml:space="preserve">Primary interactive colour.</w:t>
            </w:r>
          </w:p>
        </w:tc>
      </w:tr>
      <w:tr>
        <w:tc>
          <w:tcPr>
            <w:tcW w:w="0" w:type="auto"/>
          </w:tcPr>
          <w:p>
            <w:pPr/>
            <w:r>
              <w:rPr>
                <w:sz w:val="18"/>
              </w:rPr>
              <w:t xml:space="preserve">Royal blue (xoIris)</w:t>
            </w:r>
          </w:p>
        </w:tc>
        <w:tc>
          <w:tcPr>
            <w:tcW w:w="0" w:type="auto"/>
          </w:tcPr>
          <w:p>
            <w:pPr/>
            <w:r>
              <w:rPr>
                <w:sz w:val="18"/>
              </w:rPr>
              <w:t xml:space="preserve">#155BCC</w:t>
            </w:r>
          </w:p>
        </w:tc>
        <w:tc>
          <w:tcPr>
            <w:tcW w:w="0" w:type="auto"/>
          </w:tcPr>
          <w:p>
            <w:pPr/>
            <w:r>
              <w:rPr>
                <w:sz w:val="18"/>
              </w:rPr>
              <w:t xml:space="preserve">xoIris product colour only.</w:t>
            </w:r>
          </w:p>
        </w:tc>
      </w:tr>
      <w:tr>
        <w:tc>
          <w:tcPr>
            <w:tcW w:w="0" w:type="auto"/>
          </w:tcPr>
          <w:p>
            <w:pPr/>
            <w:r>
              <w:rPr>
                <w:sz w:val="18"/>
              </w:rPr>
              <w:t xml:space="preserve">Teal (xoFit)</w:t>
            </w:r>
          </w:p>
        </w:tc>
        <w:tc>
          <w:tcPr>
            <w:tcW w:w="0" w:type="auto"/>
          </w:tcPr>
          <w:p>
            <w:pPr/>
            <w:r>
              <w:rPr>
                <w:sz w:val="18"/>
              </w:rPr>
              <w:t xml:space="preserve">#05C1BC</w:t>
            </w:r>
          </w:p>
        </w:tc>
        <w:tc>
          <w:tcPr>
            <w:tcW w:w="0" w:type="auto"/>
          </w:tcPr>
          <w:p>
            <w:pPr/>
            <w:r>
              <w:rPr>
                <w:sz w:val="18"/>
              </w:rPr>
              <w:t xml:space="preserve">xoFit product colour only.</w:t>
            </w:r>
          </w:p>
        </w:tc>
      </w:tr>
      <w:tr>
        <w:tc>
          <w:tcPr>
            <w:tcW w:w="0" w:type="auto"/>
          </w:tcPr>
          <w:p>
            <w:pPr/>
            <w:r>
              <w:rPr>
                <w:sz w:val="18"/>
              </w:rPr>
              <w:t xml:space="preserve">Green (xoLab)</w:t>
            </w:r>
          </w:p>
        </w:tc>
        <w:tc>
          <w:tcPr>
            <w:tcW w:w="0" w:type="auto"/>
          </w:tcPr>
          <w:p>
            <w:pPr/>
            <w:r>
              <w:rPr>
                <w:sz w:val="18"/>
              </w:rPr>
              <w:t xml:space="preserve">#75D647</w:t>
            </w:r>
          </w:p>
        </w:tc>
        <w:tc>
          <w:tcPr>
            <w:tcW w:w="0" w:type="auto"/>
          </w:tcPr>
          <w:p>
            <w:pPr/>
            <w:r>
              <w:rPr>
                <w:sz w:val="18"/>
              </w:rPr>
              <w:t xml:space="preserve">xoLab product colour only.</w:t>
            </w:r>
          </w:p>
        </w:tc>
      </w:tr>
    </w:tbl>
    <w:p>
      <w:pPr/>
      <w:r>
        <w:rPr>
          <w:i/>
        </w:rPr>
        <w:t xml:space="preserve">RAG palette (Red / Amber / Green) reserved for clinical alerts and severity indicators. v0.2.1 extends this to the EOM grading scale (0 = green, underaction = amber→red gradient by severity, overaction = blue-purple) — appropriate clinical severity application.</w:t>
      </w:r>
    </w:p>
    <w:p>
      <w:pPr/>
      <w:r>
        <w:rPr>
          <w:b/>
        </w:rPr>
        <w:t xml:space="preserve">Typography: Nunito Sans only. Minimum 11px. Touch targets ≥ 44px. No gradients. Sentence-case button labels. Bare-noun UI naming (Dev Rule #0, codified v0.2.0).</w:t>
      </w:r>
    </w:p>
    <w:p>
      <w:pPr>
        <w:pStyle w:val="Heading2"/>
      </w:pPr>
      <w:r>
        <w:t xml:space="preserve">12. Open decisions — engineering kickoff agenda</w:t>
      </w:r>
    </w:p>
    <w:p>
      <w:pPr/>
      <w:r>
        <w:t xml:space="preserve">Items needing a decision (engineering + clinical + product) before subsequent work proceeds. Updated for v0.2.1.</w:t>
      </w:r>
    </w:p>
    <w:p>
      <w:pPr>
        <w:numPr>
          <w:ilvl w:val="0"/>
          <w:numId w:val="1"/>
        </w:numPr>
      </w:pPr>
      <w:r>
        <w:t xml:space="preserve">1. Hardware-to-UI event contract (HIGHEST PRIORITY) — event vocabulary, payload shapes, timing guarantees.</w:t>
      </w:r>
    </w:p>
    <w:p>
      <w:pPr>
        <w:numPr>
          <w:ilvl w:val="0"/>
          <w:numId w:val="1"/>
        </w:numPr>
      </w:pPr>
      <w:r>
        <w:t xml:space="preserve">2. Per-test data persistence schema.</w:t>
      </w:r>
    </w:p>
    <w:p>
      <w:pPr>
        <w:numPr>
          <w:ilvl w:val="0"/>
          <w:numId w:val="1"/>
        </w:numPr>
      </w:pPr>
      <w:r>
        <w:t xml:space="preserve">3. Authentication model — provider, MFA, session timeout, biometric unlock.</w:t>
      </w:r>
    </w:p>
    <w:p>
      <w:pPr>
        <w:numPr>
          <w:ilvl w:val="0"/>
          <w:numId w:val="1"/>
        </w:numPr>
      </w:pPr>
      <w:r>
        <w:t xml:space="preserve">4. Doctor sign-off role gating — depends on authentication model.</w:t>
      </w:r>
    </w:p>
    <w:p>
      <w:pPr>
        <w:numPr>
          <w:ilvl w:val="0"/>
          <w:numId w:val="1"/>
        </w:numPr>
      </w:pPr>
      <w:r>
        <w:t xml:space="preserve">5. Patient identity confirmation — pre-exam screen. Regulatory decision.</w:t>
      </w:r>
    </w:p>
    <w:p>
      <w:pPr>
        <w:numPr>
          <w:ilvl w:val="0"/>
          <w:numId w:val="1"/>
        </w:numPr>
      </w:pPr>
      <w:r>
        <w:t xml:space="preserve">6. Export mechanism — PDF generation, EHR formats (HL7, FHIR?).</w:t>
      </w:r>
    </w:p>
    <w:p>
      <w:pPr>
        <w:numPr>
          <w:ilvl w:val="0"/>
          <w:numId w:val="1"/>
        </w:numPr>
      </w:pPr>
      <w:r>
        <w:t xml:space="preserve">7. Real liquid-lens correction range (Visual Field).</w:t>
      </w:r>
    </w:p>
    <w:p>
      <w:pPr>
        <w:numPr>
          <w:ilvl w:val="0"/>
          <w:numId w:val="1"/>
        </w:numPr>
      </w:pPr>
      <w:r>
        <w:t xml:space="preserve">8. GHT compute location (firmware vs. cloud) for Visual Field.</w:t>
      </w:r>
    </w:p>
    <w:p>
      <w:pPr>
        <w:numPr>
          <w:ilvl w:val="0"/>
          <w:numId w:val="1"/>
        </w:numPr>
      </w:pPr>
      <w:r>
        <w:t xml:space="preserve">9. Point counts for proprietary screen and gold Visual Field patterns.</w:t>
      </w:r>
    </w:p>
    <w:p>
      <w:pPr>
        <w:numPr>
          <w:ilvl w:val="0"/>
          <w:numId w:val="1"/>
        </w:numPr>
      </w:pPr>
      <w:r>
        <w:t xml:space="preserve">10. Wavefront analysis-diameter range — 6.0 mm used; confirm Hartmann-Shack sensor range.</w:t>
      </w:r>
    </w:p>
    <w:p>
      <w:pPr>
        <w:numPr>
          <w:ilvl w:val="0"/>
          <w:numId w:val="1"/>
        </w:numPr>
      </w:pPr>
      <w:r>
        <w:t xml:space="preserve">11. Wavefront Zernike output format.</w:t>
      </w:r>
    </w:p>
    <w:p>
      <w:pPr>
        <w:numPr>
          <w:ilvl w:val="0"/>
          <w:numId w:val="1"/>
        </w:numPr>
      </w:pPr>
      <w:r>
        <w:t xml:space="preserve">12. Wavefront colour-scale firmware range.</w:t>
      </w:r>
    </w:p>
    <w:p>
      <w:pPr>
        <w:numPr>
          <w:ilvl w:val="0"/>
          <w:numId w:val="1"/>
        </w:numPr>
      </w:pPr>
      <w:r>
        <w:t xml:space="preserve">13. Concurrent control model for remote operation.</w:t>
      </w:r>
    </w:p>
    <w:p>
      <w:pPr>
        <w:numPr>
          <w:ilvl w:val="0"/>
          <w:numId w:val="1"/>
        </w:numPr>
      </w:pPr>
      <w:r>
        <w:t xml:space="preserve">14. NEW (v0.2.1): EOM headset gaze-tracking data shape during versions — does firmware emit a per-eye gaze vector, or a pre-computed underaction estimate per direction? Affects whether the grade selector becomes "doctor-confirmed" rather than "doctor-entered."</w:t>
      </w:r>
    </w:p>
    <w:p>
      <w:pPr>
        <w:numPr>
          <w:ilvl w:val="0"/>
          <w:numId w:val="1"/>
        </w:numPr>
      </w:pPr>
      <w:r>
        <w:t xml:space="preserve">15. NEW (v0.2.1): EOM smooth pursuit metrics — does firmware compute pursuit gain / catch-up saccade count, or is this purely doctor observation?</w:t>
      </w:r>
    </w:p>
    <w:p>
      <w:pPr>
        <w:numPr>
          <w:ilvl w:val="0"/>
          <w:numId w:val="1"/>
        </w:numPr>
      </w:pPr>
      <w:r>
        <w:t xml:space="preserve">16. NEW (v0.2.1): EOM saccade latency measurement — does firmware provide actual latency ms? If yes, the UI should surface both the number and the doctor's grade.</w:t>
      </w:r>
    </w:p>
    <w:p>
      <w:pPr>
        <w:numPr>
          <w:ilvl w:val="0"/>
          <w:numId w:val="1"/>
        </w:numPr>
      </w:pPr>
      <w:r>
        <w:t xml:space="preserve">17. NEW (v0.2.1): Confirm patient response clicker is NOT used in EOM (the patient passively follows the target).</w:t>
      </w:r>
    </w:p>
    <w:p>
      <w:pPr>
        <w:pStyle w:val="Heading2"/>
      </w:pPr>
      <w:r>
        <w:t xml:space="preserve">13. Per-test clinical specifications</w:t>
      </w:r>
    </w:p>
    <w:p>
      <w:pPr/>
      <w:r>
        <w:t xml:space="preserve">Tests at clinical fidelity have a corresponding v2 specification in briefs/. Tests not listed are at visual-only fidelity.</w:t>
      </w:r>
    </w:p>
    <w:p>
      <w:pPr>
        <w:numPr>
          <w:ilvl w:val="0"/>
          <w:numId w:val="1"/>
        </w:numPr>
      </w:pPr>
      <w:r>
        <w:t xml:space="preserve">briefs/VisualField_Clinical_Spec_v2.md (v0.1.8) — Visual Fields, HFA-aligned.</w:t>
      </w:r>
    </w:p>
    <w:p>
      <w:pPr>
        <w:numPr>
          <w:ilvl w:val="0"/>
          <w:numId w:val="1"/>
        </w:numPr>
      </w:pPr>
      <w:r>
        <w:t xml:space="preserve">briefs/WavefrontAberrometry_Clinical_Spec_v2.md (v0.1.9) — Wavefront Aberrometry, 6mm analysis standard.</w:t>
      </w:r>
    </w:p>
    <w:p>
      <w:pPr>
        <w:numPr>
          <w:ilvl w:val="0"/>
          <w:numId w:val="1"/>
        </w:numPr>
      </w:pPr>
      <w:r>
        <w:t xml:space="preserve">briefs/ExtraocularMotility_Clinical_Spec_v2.md (v0.2.1, current) — Extraocular Motility, 0 to ±4 grading scale, 9 cardinal positions with primary + secondary muscle/CN mapping.</w:t>
      </w:r>
    </w:p>
    <w:p>
      <w:pPr/>
      <w:r>
        <w:t xml:space="preserve">VA (v0.1.4) and CV (v0.1.7) reached clinical fidelity before the formal spec format was introduced; clinical reasoning lives in the CLAUDE.md version log. Backfill queued.</w:t>
      </w:r>
    </w:p>
    <w:p>
      <w:pPr>
        <w:pStyle w:val="Heading2"/>
      </w:pPr>
      <w:r>
        <w:t xml:space="preserve">14. Asset inventory (unchanged from v0.1.9)</w:t>
      </w:r>
    </w:p>
    <w:p>
      <w:pPr/>
      <w:r>
        <w:t xml:space="preserve">Project assets live in /assets. Component files (.jsx) in /components — see CLAUDE.md for full index and current status.</w:t>
      </w:r>
    </w:p>
    <w:p>
      <w:pPr>
        <w:pStyle w:val="Heading2"/>
      </w:pPr>
      <w:r>
        <w:t xml:space="preserve">15. Regulatory acknowledgment</w:t>
      </w:r>
    </w:p>
    <w:p>
      <w:pPr/>
      <w:r>
        <w:t xml:space="preserve">The Method UI/UX prototype is the design and interaction reference for the xoExam product. It is not a medical device, has not been cleared by any regulatory body, and must not be used for clinical decision-making in its current form.</w:t>
      </w:r>
    </w:p>
    <w:p>
      <w:pPr/>
      <w:r>
        <w:t xml:space="preserve">Method's scope ends at the visual and interaction layer. HIPAA-compliant data storage, GDPR compliance, audit logging, authentication, encryption, FDA 510(k) submission, MDR/IVDR compliance, ISO 13485, IEC 62304, penetration testing, disaster recovery are explicitly engineering responsibilities and outside Method's deliverable.</w:t>
      </w:r>
    </w:p>
    <w:p>
      <w:pPr>
        <w:pStyle w:val="Heading2"/>
      </w:pPr>
      <w:r>
        <w:t xml:space="preserve">16. Version history of this document</w:t>
      </w:r>
    </w:p>
    <w:tbl>
      <w:tblPr>
        <w:tblW w:w="0" w:type="auto"/>
        <w:tblBorders>
          <w:top w:val="single" w:sz="4" w:color="D0D5DB"/>
          <w:left w:val="single" w:sz="4" w:color="D0D5DB"/>
          <w:bottom w:val="single" w:sz="4" w:color="D0D5DB"/>
          <w:right w:val="single" w:sz="4" w:color="D0D5DB"/>
          <w:insideH w:val="single" w:sz="4" w:color="D0D5DB"/>
          <w:insideV w:val="single" w:sz="4" w:color="D0D5DB"/>
        </w:tblBorders>
      </w:tblPr>
      <w:tr>
        <w:tc>
          <w:tcPr>
            <w:tcW w:w="0" w:type="auto"/>
            <w:shd w:val="clear" w:color="auto" w:fill="0E2F5E"/>
          </w:tcPr>
          <w:p>
            <w:pPr/>
            <w:r>
              <w:rPr>
                <w:b/>
                <w:sz w:val="18"/>
                <w:color w:val="FFFFFF"/>
              </w:rPr>
              <w:t xml:space="preserve">Version</w:t>
            </w:r>
          </w:p>
        </w:tc>
        <w:tc>
          <w:tcPr>
            <w:tcW w:w="0" w:type="auto"/>
            <w:shd w:val="clear" w:color="auto" w:fill="0E2F5E"/>
          </w:tcPr>
          <w:p>
            <w:pPr/>
            <w:r>
              <w:rPr>
                <w:b/>
                <w:sz w:val="18"/>
                <w:color w:val="FFFFFF"/>
              </w:rPr>
              <w:t xml:space="preserve">Date</w:t>
            </w:r>
          </w:p>
        </w:tc>
        <w:tc>
          <w:tcPr>
            <w:tcW w:w="0" w:type="auto"/>
            <w:shd w:val="clear" w:color="auto" w:fill="0E2F5E"/>
          </w:tcPr>
          <w:p>
            <w:pPr/>
            <w:r>
              <w:rPr>
                <w:b/>
                <w:sz w:val="18"/>
                <w:color w:val="FFFFFF"/>
              </w:rPr>
              <w:t xml:space="preserve">Summary</w:t>
            </w:r>
          </w:p>
        </w:tc>
      </w:tr>
      <w:tr>
        <w:tc>
          <w:tcPr>
            <w:tcW w:w="0" w:type="auto"/>
          </w:tcPr>
          <w:p>
            <w:pPr/>
            <w:r>
              <w:rPr>
                <w:sz w:val="18"/>
              </w:rPr>
              <w:t xml:space="preserve">v0.1.8</w:t>
            </w:r>
          </w:p>
        </w:tc>
        <w:tc>
          <w:tcPr>
            <w:tcW w:w="0" w:type="auto"/>
          </w:tcPr>
          <w:p>
            <w:pPr/>
            <w:r>
              <w:rPr>
                <w:sz w:val="18"/>
              </w:rPr>
              <w:t xml:space="preserve">May 18, 2026</w:t>
            </w:r>
          </w:p>
        </w:tc>
        <w:tc>
          <w:tcPr>
            <w:tcW w:w="0" w:type="auto"/>
          </w:tcPr>
          <w:p>
            <w:pPr/>
            <w:r>
              <w:rPr>
                <w:sz w:val="18"/>
              </w:rPr>
              <w:t xml:space="preserve">Initial issue. 16-section structure established. Visual Fields milestone.</w:t>
            </w:r>
          </w:p>
        </w:tc>
      </w:tr>
      <w:tr>
        <w:tc>
          <w:tcPr>
            <w:tcW w:w="0" w:type="auto"/>
          </w:tcPr>
          <w:p>
            <w:pPr/>
            <w:r>
              <w:rPr>
                <w:sz w:val="18"/>
              </w:rPr>
              <w:t xml:space="preserve">v0.1.9</w:t>
            </w:r>
          </w:p>
        </w:tc>
        <w:tc>
          <w:tcPr>
            <w:tcW w:w="0" w:type="auto"/>
          </w:tcPr>
          <w:p>
            <w:pPr/>
            <w:r>
              <w:rPr>
                <w:sz w:val="18"/>
              </w:rPr>
              <w:t xml:space="preserve">May 21, 2026</w:t>
            </w:r>
          </w:p>
        </w:tc>
        <w:tc>
          <w:tcPr>
            <w:tcW w:w="0" w:type="auto"/>
          </w:tcPr>
          <w:p>
            <w:pPr/>
            <w:r>
              <w:rPr>
                <w:sz w:val="18"/>
              </w:rPr>
              <w:t xml:space="preserve">Wavefront Aberrometry milestone. Added RN portability table (§3), Doctor sign-off pattern (§9), Roles &amp; Remote Operation preview (§10), 13 open decisions.</w:t>
            </w:r>
          </w:p>
        </w:tc>
      </w:tr>
      <w:tr>
        <w:tc>
          <w:tcPr>
            <w:tcW w:w="0" w:type="auto"/>
          </w:tcPr>
          <w:p>
            <w:pPr/>
            <w:r>
              <w:rPr>
                <w:sz w:val="18"/>
              </w:rPr>
              <w:t xml:space="preserve">v0.2.1</w:t>
            </w:r>
          </w:p>
        </w:tc>
        <w:tc>
          <w:tcPr>
            <w:tcW w:w="0" w:type="auto"/>
          </w:tcPr>
          <w:p>
            <w:pPr/>
            <w:r>
              <w:rPr>
                <w:sz w:val="18"/>
              </w:rPr>
              <w:t xml:space="preserve">May 22, 2026</w:t>
            </w:r>
          </w:p>
        </w:tc>
        <w:tc>
          <w:tcPr>
            <w:tcW w:w="0" w:type="auto"/>
          </w:tcPr>
          <w:p>
            <w:pPr/>
            <w:r>
              <w:rPr>
                <w:sz w:val="18"/>
              </w:rPr>
              <w:t xml:space="preserve">Current. Extraocular Motility milestone. Added §7 sub-step state machines, EOM data-shape engineering questions (§12 items 14-17). 5 of 19 tests at clinical fidelity.</w:t>
            </w:r>
          </w:p>
        </w:tc>
      </w:tr>
    </w:tbl>
    <w:p>
      <w:pPr/>
      <w:r>
        <w:t xml:space="preserve"/>
      </w:r>
    </w:p>
    <w:p>
      <w:pPr/>
      <w:r>
        <w:rPr>
          <w:i/>
          <w:color w:val="6B7280"/>
        </w:rPr>
        <w:t xml:space="preserve">Method Marketing Agency · xoExam UI/UX Engineering Handoff Specification v0.2.1 · May 22, 2026</w:t>
      </w:r>
    </w:p>
    <w:sectPr>
      <w:pgSz w:w="12240" w:h="15840"/>
      <w:pgMar w:top="1080" w:right="1080" w:bottom="1080" w:left="108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pPrDefault>
      <w:pPr>
        <w:spacing w:after="120" w:line="288" w:lineRule="auto"/>
      </w:pPr>
    </w:pPrDefault>
  </w:docDefaults>
  <w:style w:type="paragraph" w:styleId="Heading1">
    <w:name w:val="heading 1"/>
    <w:pPr>
      <w:spacing w:before="360" w:after="160"/>
    </w:pPr>
    <w:rPr>
      <w:b/>
      <w:sz w:val="36"/>
      <w:color w:val="0E2F5E"/>
    </w:rPr>
  </w:style>
  <w:style w:type="paragraph" w:styleId="Heading2">
    <w:name w:val="heading 2"/>
    <w:pPr>
      <w:spacing w:before="280" w:after="100"/>
    </w:pPr>
    <w:rPr>
      <w:b/>
      <w:sz w:val="28"/>
      <w:color w:val="0E2F5E"/>
    </w:rPr>
  </w:style>
  <w:style w:type="paragraph" w:styleId="Heading3">
    <w:name w:val="heading 3"/>
    <w:pPr>
      <w:spacing w:before="220" w:after="80"/>
    </w:pPr>
    <w:rPr>
      <w:b/>
      <w:sz w:val="24"/>
      <w:color w:val="1F8EFF"/>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