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xoExam™ — Development Brief (Cumulative)</w:t>
      </w:r>
    </w:p>
    <w:p>
      <w:pPr>
        <w:pStyle w:val="Heading2"/>
      </w:pPr>
      <w:r>
        <w:t xml:space="preserve">v0.1.0 → v0.2.9 · Progress timeline</w:t>
      </w:r>
    </w:p>
    <w:p>
      <w:r>
        <w:rPr>
          <w:b/>
        </w:rPr>
        <w:t xml:space="preserve">Method Marketing Agency for Xenon Ophthalmics Inc.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 xml:space="preserve">Executive summary</w:t>
      </w:r>
    </w:p>
    <w:p>
      <w:r>
        <w:t xml:space="preserve">The xoExam™ UI/UX prototype has progressed through a sequence of versioned releases from initial deploy (v0.1.0, April 27 2026) to the current build (</w:t>
      </w:r>
      <w:r>
        <w:rPr>
          <w:b/>
        </w:rPr>
        <w:t xml:space="preserve">v0.2.9, June 16 2026</w:t>
      </w:r>
      <w:r>
        <w:t xml:space="preserve">). The work spans three connected efforts: (1) standing up the application shell — login, module selector, dashboard, navigation, and the administrative record pages; (2) bringing exam tests to clinical fidelity one at a time on a shared ExamShell contract; and (3) maintaining a versioned, client-facing documentation set that moves as a unit with every release.</w:t>
      </w:r>
    </w:p>
    <w:p>
      <w:r>
        <w:t xml:space="preserve">The product ships as </w:t>
      </w:r>
      <w:r>
        <w:rPr>
          <w:b/>
        </w:rPr>
        <w:t xml:space="preserve">one unified build</w:t>
      </w:r>
      <w:r>
        <w:t xml:space="preserve"> — every document and surface carries the same version number. The per-test "reached clinical fidelity in vX.Y.Z" marker is a milestone timestamp, not a separate version. </w:t>
      </w:r>
      <w:r>
        <w:rPr>
          <w:b/>
        </w:rPr>
        <w:t xml:space="preserve">Seven of nineteen</w:t>
      </w:r>
      <w:r>
        <w:t xml:space="preserve"> catalog tests are at clinical fidelity; the remaining twelve are visual-fidelity placeholders awaiting their own clinical rebuilds.</w:t>
      </w:r>
    </w:p>
    <w:p>
      <w:r>
        <w:t xml:space="preserve">This program remains </w:t>
      </w:r>
      <w:r>
        <w:rPr>
          <w:b/>
        </w:rPr>
        <w:t xml:space="preserve">pre-beta, active development</w:t>
      </w:r>
      <w:r>
        <w:t xml:space="preserve"> pending final feedback from MPR and Xenon's Chief Medical Officer + doctor panel.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 xml:space="preserve">Version timeline</w:t>
      </w:r>
    </w:p>
    <w:tbl>
      <w:tblPr>
        <w:tblStyle w:val="TableGrid"/>
        <w:tblW w:w="0" w:type="auto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r>
        <w:tc>
          <w:tcPr>
            <w:tcW w:w="0" w:type="auto"/>
            <w:shd w:val="clear" w:color="auto" w:fill="0E2F5E"/>
          </w:tcPr>
          <w:p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tcW w:w="0" w:type="auto"/>
            <w:shd w:val="clear" w:color="auto" w:fill="0E2F5E"/>
          </w:tcPr>
          <w:p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0" w:type="auto"/>
            <w:shd w:val="clear" w:color="auto" w:fill="0E2F5E"/>
          </w:tcPr>
          <w:p>
            <w:r>
              <w:rPr>
                <w:b/>
                <w:color w:val="FFFFFF"/>
              </w:rPr>
              <w:t xml:space="preserve">Theme</w:t>
            </w:r>
          </w:p>
        </w:tc>
      </w:tr>
      <w:tr>
        <w:tc>
          <w:tcPr>
            <w:tcW w:w="0" w:type="auto"/>
          </w:tcPr>
          <w:p>
            <w:r>
              <w:t xml:space="preserve">v0.1.0</w:t>
            </w:r>
          </w:p>
        </w:tc>
        <w:tc>
          <w:tcPr>
            <w:tcW w:w="0" w:type="auto"/>
          </w:tcPr>
          <w:p>
            <w:r>
              <w:t xml:space="preserve">Apr 27, 2026</w:t>
            </w:r>
          </w:p>
        </w:tc>
        <w:tc>
          <w:tcPr>
            <w:tcW w:w="0" w:type="auto"/>
          </w:tcPr>
          <w:p>
            <w:r>
              <w:t xml:space="preserve">Initial deploy — corrected 20-test catalog, category filters, Ishihara plates 1–4</w:t>
            </w:r>
          </w:p>
        </w:tc>
      </w:tr>
      <w:tr>
        <w:tc>
          <w:tcPr>
            <w:tcW w:w="0" w:type="auto"/>
          </w:tcPr>
          <w:p>
            <w:r>
              <w:t xml:space="preserve">v0.1.2</w:t>
            </w:r>
          </w:p>
        </w:tc>
        <w:tc>
          <w:tcPr>
            <w:tcW w:w="0" w:type="auto"/>
          </w:tcPr>
          <w:p>
            <w:r>
              <w:t xml:space="preserve">May 14, 2026</w:t>
            </w:r>
          </w:p>
        </w:tc>
        <w:tc>
          <w:tcPr>
            <w:tcW w:w="0" w:type="auto"/>
          </w:tcPr>
          <w:p>
            <w:r>
              <w:t xml:space="preserve">Doctor section rebuilt as full-page tabbed DoctorProfile (6 tabs)</w:t>
            </w:r>
          </w:p>
        </w:tc>
      </w:tr>
      <w:tr>
        <w:tc>
          <w:tcPr>
            <w:tcW w:w="0" w:type="auto"/>
          </w:tcPr>
          <w:p>
            <w:r>
              <w:t xml:space="preserve">v0.1.3</w:t>
            </w:r>
          </w:p>
        </w:tc>
        <w:tc>
          <w:tcPr>
            <w:tcW w:w="0" w:type="auto"/>
          </w:tcPr>
          <w:p>
            <w:r>
              <w:t xml:space="preserve">May 14, 2026</w:t>
            </w:r>
          </w:p>
        </w:tc>
        <w:tc>
          <w:tcPr>
            <w:tcW w:w="0" w:type="auto"/>
          </w:tcPr>
          <w:p>
            <w:r>
              <w:t xml:space="preserve">Module tabs refactor (xoIris / xoFit / xoLab) + marketing surfaces</w:t>
            </w:r>
          </w:p>
        </w:tc>
      </w:tr>
      <w:tr>
        <w:tc>
          <w:tcPr>
            <w:tcW w:w="0" w:type="auto"/>
          </w:tcPr>
          <w:p>
            <w:r>
              <w:t xml:space="preserve">v0.1.4</w:t>
            </w:r>
          </w:p>
        </w:tc>
        <w:tc>
          <w:tcPr>
            <w:tcW w:w="0" w:type="auto"/>
          </w:tcPr>
          <w:p>
            <w:r>
              <w:t xml:space="preserve">May 15, 2026</w:t>
            </w:r>
          </w:p>
        </w:tc>
        <w:tc>
          <w:tcPr>
            <w:tcW w:w="0" w:type="auto"/>
          </w:tcPr>
          <w:p>
            <w:r>
              <w:t xml:space="preserve">Stream architecture activated · Visual Acuity onto ExamShell · canonical Cancel UX</w:t>
            </w:r>
          </w:p>
        </w:tc>
      </w:tr>
      <w:tr>
        <w:tc>
          <w:tcPr>
            <w:tcW w:w="0" w:type="auto"/>
          </w:tcPr>
          <w:p>
            <w:r>
              <w:t xml:space="preserve">v0.1.5–0.1.7</w:t>
            </w:r>
          </w:p>
        </w:tc>
        <w:tc>
          <w:tcPr>
            <w:tcW w:w="0" w:type="auto"/>
          </w:tcPr>
          <w:p>
            <w:r>
              <w:t xml:space="preserve">May 15, 2026</w:t>
            </w:r>
          </w:p>
        </w:tc>
        <w:tc>
          <w:tcPr>
            <w:tcW w:w="0" w:type="auto"/>
          </w:tcPr>
          <w:p>
            <w:r>
              <w:t xml:space="preserve">Color Vision clinical overhaul — Ishihara + D-15 Farnsworth, OD/OS/OU sequence</w:t>
            </w:r>
          </w:p>
        </w:tc>
      </w:tr>
      <w:tr>
        <w:tc>
          <w:tcPr>
            <w:tcW w:w="0" w:type="auto"/>
          </w:tcPr>
          <w:p>
            <w:r>
              <w:t xml:space="preserve">v0.1.8</w:t>
            </w:r>
          </w:p>
        </w:tc>
        <w:tc>
          <w:tcPr>
            <w:tcW w:w="0" w:type="auto"/>
          </w:tcPr>
          <w:p>
            <w:r>
              <w:t xml:space="preserve">May 18, 2026</w:t>
            </w:r>
          </w:p>
        </w:tc>
        <w:tc>
          <w:tcPr>
            <w:tcW w:w="0" w:type="auto"/>
          </w:tcPr>
          <w:p>
            <w:r>
              <w:t xml:space="preserve">Visual Fields clinical fidelity + first formal Engineering Handoff issue</w:t>
            </w:r>
          </w:p>
        </w:tc>
      </w:tr>
      <w:tr>
        <w:tc>
          <w:tcPr>
            <w:tcW w:w="0" w:type="auto"/>
          </w:tcPr>
          <w:p>
            <w:r>
              <w:t xml:space="preserve">v0.1.9</w:t>
            </w:r>
          </w:p>
        </w:tc>
        <w:tc>
          <w:tcPr>
            <w:tcW w:w="0" w:type="auto"/>
          </w:tcPr>
          <w:p>
            <w:r>
              <w:t xml:space="preserve">May 21, 2026</w:t>
            </w:r>
          </w:p>
        </w:tc>
        <w:tc>
          <w:tcPr>
            <w:tcW w:w="0" w:type="auto"/>
          </w:tcPr>
          <w:p>
            <w:r>
              <w:t xml:space="preserve">Wavefront Aberrometry clinical fidelity + Doctor sign-off pattern introduced</w:t>
            </w:r>
          </w:p>
        </w:tc>
      </w:tr>
      <w:tr>
        <w:tc>
          <w:tcPr>
            <w:tcW w:w="0" w:type="auto"/>
          </w:tcPr>
          <w:p>
            <w:r>
              <w:t xml:space="preserve">v0.2.0</w:t>
            </w:r>
          </w:p>
        </w:tc>
        <w:tc>
          <w:tcPr>
            <w:tcW w:w="0" w:type="auto"/>
          </w:tcPr>
          <w:p>
            <w:r>
              <w:t xml:space="preserve">May 21, 2026</w:t>
            </w:r>
          </w:p>
        </w:tc>
        <w:tc>
          <w:tcPr>
            <w:tcW w:w="0" w:type="auto"/>
          </w:tcPr>
          <w:p>
            <w:r>
              <w:t xml:space="preserve">Bare-noun naming convention sweep + dead-entry cleanup</w:t>
            </w:r>
          </w:p>
        </w:tc>
      </w:tr>
      <w:tr>
        <w:tc>
          <w:tcPr>
            <w:tcW w:w="0" w:type="auto"/>
          </w:tcPr>
          <w:p>
            <w:r>
              <w:t xml:space="preserve">v0.2.1</w:t>
            </w:r>
          </w:p>
        </w:tc>
        <w:tc>
          <w:tcPr>
            <w:tcW w:w="0" w:type="auto"/>
          </w:tcPr>
          <w:p>
            <w:r>
              <w:t xml:space="preserve">May 22, 2026</w:t>
            </w:r>
          </w:p>
        </w:tc>
        <w:tc>
          <w:tcPr>
            <w:tcW w:w="0" w:type="auto"/>
          </w:tcPr>
          <w:p>
            <w:r>
              <w:t xml:space="preserve">Extraocular Motility clinical fidelity (0 to ±4 grading, 9 cardinal positions)</w:t>
            </w:r>
          </w:p>
        </w:tc>
      </w:tr>
      <w:tr>
        <w:tc>
          <w:tcPr>
            <w:tcW w:w="0" w:type="auto"/>
          </w:tcPr>
          <w:p>
            <w:r>
              <w:t xml:space="preserve">v0.2.2</w:t>
            </w:r>
          </w:p>
        </w:tc>
        <w:tc>
          <w:tcPr>
            <w:tcW w:w="0" w:type="auto"/>
          </w:tcPr>
          <w:p>
            <w:r>
              <w:t xml:space="preserve">May 22, 2026</w:t>
            </w:r>
          </w:p>
        </w:tc>
        <w:tc>
          <w:tcPr>
            <w:tcW w:w="0" w:type="auto"/>
          </w:tcPr>
          <w:p>
            <w:r>
              <w:t xml:space="preserve">Housekeeping — dev nav removed, dead-ends audit, Clinical Standards Reference created</w:t>
            </w:r>
          </w:p>
        </w:tc>
      </w:tr>
      <w:tr>
        <w:tc>
          <w:tcPr>
            <w:tcW w:w="0" w:type="auto"/>
          </w:tcPr>
          <w:p>
            <w:r>
              <w:t xml:space="preserve">v0.2.3</w:t>
            </w:r>
          </w:p>
        </w:tc>
        <w:tc>
          <w:tcPr>
            <w:tcW w:w="0" w:type="auto"/>
          </w:tcPr>
          <w:p>
            <w:r>
              <w:t xml:space="preserve">May 22, 2026</w:t>
            </w:r>
          </w:p>
        </w:tc>
        <w:tc>
          <w:tcPr>
            <w:tcW w:w="0" w:type="auto"/>
          </w:tcPr>
          <w:p>
            <w:r>
              <w:t xml:space="preserve">Visual Acuity v2 spec backfill + LogMAR / clinical-threshold corrections</w:t>
            </w:r>
          </w:p>
        </w:tc>
      </w:tr>
      <w:tr>
        <w:tc>
          <w:tcPr>
            <w:tcW w:w="0" w:type="auto"/>
          </w:tcPr>
          <w:p>
            <w:r>
              <w:t xml:space="preserve">v0.2.5</w:t>
            </w:r>
          </w:p>
        </w:tc>
        <w:tc>
          <w:tcPr>
            <w:tcW w:w="0" w:type="auto"/>
          </w:tcPr>
          <w:p>
            <w:r>
              <w:t xml:space="preserve">May 22, 2026</w:t>
            </w:r>
          </w:p>
        </w:tc>
        <w:tc>
          <w:tcPr>
            <w:tcW w:w="0" w:type="auto"/>
          </w:tcPr>
          <w:p>
            <w:r>
              <w:t xml:space="preserve">Pupillometry clinical fidelity (Winn age-banded norms, NPi, RAPD)</w:t>
            </w:r>
          </w:p>
        </w:tc>
      </w:tr>
      <w:tr>
        <w:tc>
          <w:tcPr>
            <w:tcW w:w="0" w:type="auto"/>
          </w:tcPr>
          <w:p>
            <w:r>
              <w:t xml:space="preserve">v0.2.6</w:t>
            </w:r>
          </w:p>
        </w:tc>
        <w:tc>
          <w:tcPr>
            <w:tcW w:w="0" w:type="auto"/>
          </w:tcPr>
          <w:p>
            <w:r>
              <w:t xml:space="preserve">Jun 2, 2026</w:t>
            </w:r>
          </w:p>
        </w:tc>
        <w:tc>
          <w:tcPr>
            <w:tcW w:w="0" w:type="auto"/>
          </w:tcPr>
          <w:p>
            <w:r>
              <w:t xml:space="preserve">Wavefront Refraction — new two-stage refraction test; Certify &amp; close as Rx-release event</w:t>
            </w:r>
          </w:p>
        </w:tc>
      </w:tr>
      <w:tr>
        <w:tc>
          <w:tcPr>
            <w:tcW w:w="0" w:type="auto"/>
          </w:tcPr>
          <w:p>
            <w:r>
              <w:t xml:space="preserve">v0.2.7</w:t>
            </w:r>
          </w:p>
        </w:tc>
        <w:tc>
          <w:tcPr>
            <w:tcW w:w="0" w:type="auto"/>
          </w:tcPr>
          <w:p>
            <w:r>
              <w:t xml:space="preserve">Jun 8, 2026</w:t>
            </w:r>
          </w:p>
        </w:tc>
        <w:tc>
          <w:tcPr>
            <w:tcW w:w="0" w:type="auto"/>
          </w:tcPr>
          <w:p>
            <w:r>
              <w:t xml:space="preserve">Wavefront Refraction — six competitive-parity enhancements merged; v2 fork eliminated</w:t>
            </w:r>
          </w:p>
        </w:tc>
      </w:tr>
      <w:tr>
        <w:tc>
          <w:tcPr>
            <w:tcW w:w="0" w:type="auto"/>
          </w:tcPr>
          <w:p>
            <w:r>
              <w:t xml:space="preserve">v0.2.8</w:t>
            </w:r>
          </w:p>
        </w:tc>
        <w:tc>
          <w:tcPr>
            <w:tcW w:w="0" w:type="auto"/>
          </w:tcPr>
          <w:p>
            <w:r>
              <w:t xml:space="preserve">Jun 9, 2026</w:t>
            </w:r>
          </w:p>
        </w:tc>
        <w:tc>
          <w:tcPr>
            <w:tcW w:w="0" w:type="auto"/>
          </w:tcPr>
          <w:p>
            <w:r>
              <w:t xml:space="preserve">Hardware answers confirmed (Steve, Q3/Q7/Q8); toggle-switch fix; full doc-set reissue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v0.2.9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Jun 16, 2026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Shell navigation + list/grid view pass — sidebar sub-menus removed; List/Grid toggle added to Patients, Devices, Doctors; no test or clinical change</w:t>
            </w:r>
          </w:p>
        </w:tc>
      </w:tr>
    </w:tbl>
    <w:p/>
    <w:p>
      <w:pPr>
        <w:pBdr>
          <w:bottom w:val="single" w:sz="6" w:space="1" w:color="C0C0C0"/>
        </w:pBdr>
      </w:pPr>
    </w:p>
    <w:p>
      <w:pPr>
        <w:pStyle w:val="Heading2"/>
      </w:pPr>
      <w:r>
        <w:t xml:space="preserve">Current release — v0.2.9 (shell navigation + list/grid view pass)</w:t>
      </w:r>
    </w:p>
    <w:p>
      <w:r>
        <w:t xml:space="preserve">v0.2.9 is a focused interaction-design pass on the administrative shell — no test was added and no clinical logic was touched (count at clinical fidelity unchanged, 7 of 19):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Sidebar sub-menus removed.</w:t>
      </w:r>
      <w:r>
        <w:t xml:space="preserve"> Patients and Devices previously expanded into sub-menus; both removed so every sidebar item now navigates directly to its section. The destination pages already expose + Add Patient / + Add Device in-page, so the sub-menu entries were redundant.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List / Grid view toggle</w:t>
      </w:r>
      <w:r>
        <w:t xml:space="preserve"> added to Patients, Devices, and Doctors, placed consistently in the top action row next to the + Add button. Patients defaults to List; Devices and Doctors default to Grid. Each page persists its choice independently. New views built where missing — a Patients card grid, a Devices fleet table, and a Doctors table; all card/row clicks open the same detail view as before.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 xml:space="preserve">Tests at clinical fidelity (7 of 19)</w:t>
      </w:r>
    </w:p>
    <w:tbl>
      <w:tblPr>
        <w:tblStyle w:val="TableGrid"/>
        <w:tblW w:w="0" w:type="auto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r>
        <w:tc>
          <w:tcPr>
            <w:tcW w:w="0" w:type="auto"/>
            <w:shd w:val="clear" w:color="auto" w:fill="0E2F5E"/>
          </w:tcPr>
          <w:p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0" w:type="auto"/>
            <w:shd w:val="clear" w:color="auto" w:fill="0E2F5E"/>
          </w:tcPr>
          <w:p>
            <w:r>
              <w:rPr>
                <w:b/>
                <w:color w:val="FFFFFF"/>
              </w:rPr>
              <w:t xml:space="preserve">Test</w:t>
            </w:r>
          </w:p>
        </w:tc>
        <w:tc>
          <w:tcPr>
            <w:tcW w:w="0" w:type="auto"/>
            <w:shd w:val="clear" w:color="auto" w:fill="0E2F5E"/>
          </w:tcPr>
          <w:p>
            <w:r>
              <w:rPr>
                <w:b/>
                <w:color w:val="FFFFFF"/>
              </w:rPr>
              <w:t xml:space="preserve">Reached clinical fidelity in</w:t>
            </w:r>
          </w:p>
        </w:tc>
      </w:tr>
      <w:tr>
        <w:tc>
          <w:tcPr>
            <w:tcW w:w="0" w:type="auto"/>
          </w:tcPr>
          <w:p>
            <w:r>
              <w:t xml:space="preserve">1</w:t>
            </w:r>
          </w:p>
        </w:tc>
        <w:tc>
          <w:tcPr>
            <w:tcW w:w="0" w:type="auto"/>
          </w:tcPr>
          <w:p>
            <w:r>
              <w:t xml:space="preserve">Visual Acuity</w:t>
            </w:r>
          </w:p>
        </w:tc>
        <w:tc>
          <w:tcPr>
            <w:tcW w:w="0" w:type="auto"/>
          </w:tcPr>
          <w:p>
            <w:r>
              <w:t xml:space="preserve">v0.2.3</w:t>
            </w:r>
          </w:p>
        </w:tc>
      </w:tr>
      <w:tr>
        <w:tc>
          <w:tcPr>
            <w:tcW w:w="0" w:type="auto"/>
          </w:tcPr>
          <w:p>
            <w:r>
              <w:t xml:space="preserve">2</w:t>
            </w:r>
          </w:p>
        </w:tc>
        <w:tc>
          <w:tcPr>
            <w:tcW w:w="0" w:type="auto"/>
          </w:tcPr>
          <w:p>
            <w:r>
              <w:t xml:space="preserve">Color Vision (Ishihara + D-15 Farnsworth)</w:t>
            </w:r>
          </w:p>
        </w:tc>
        <w:tc>
          <w:tcPr>
            <w:tcW w:w="0" w:type="auto"/>
          </w:tcPr>
          <w:p>
            <w:r>
              <w:t xml:space="preserve">v0.1.7</w:t>
            </w:r>
          </w:p>
        </w:tc>
      </w:tr>
      <w:tr>
        <w:tc>
          <w:tcPr>
            <w:tcW w:w="0" w:type="auto"/>
          </w:tcPr>
          <w:p>
            <w:r>
              <w:t xml:space="preserve">3</w:t>
            </w:r>
          </w:p>
        </w:tc>
        <w:tc>
          <w:tcPr>
            <w:tcW w:w="0" w:type="auto"/>
          </w:tcPr>
          <w:p>
            <w:r>
              <w:t xml:space="preserve">Visual Fields</w:t>
            </w:r>
          </w:p>
        </w:tc>
        <w:tc>
          <w:tcPr>
            <w:tcW w:w="0" w:type="auto"/>
          </w:tcPr>
          <w:p>
            <w:r>
              <w:t xml:space="preserve">v0.1.8</w:t>
            </w:r>
          </w:p>
        </w:tc>
      </w:tr>
      <w:tr>
        <w:tc>
          <w:tcPr>
            <w:tcW w:w="0" w:type="auto"/>
          </w:tcPr>
          <w:p>
            <w:r>
              <w:t xml:space="preserve">4</w:t>
            </w:r>
          </w:p>
        </w:tc>
        <w:tc>
          <w:tcPr>
            <w:tcW w:w="0" w:type="auto"/>
          </w:tcPr>
          <w:p>
            <w:r>
              <w:t xml:space="preserve">Wavefront Aberrometry</w:t>
            </w:r>
          </w:p>
        </w:tc>
        <w:tc>
          <w:tcPr>
            <w:tcW w:w="0" w:type="auto"/>
          </w:tcPr>
          <w:p>
            <w:r>
              <w:t xml:space="preserve">v0.1.9</w:t>
            </w:r>
          </w:p>
        </w:tc>
      </w:tr>
      <w:tr>
        <w:tc>
          <w:tcPr>
            <w:tcW w:w="0" w:type="auto"/>
          </w:tcPr>
          <w:p>
            <w:r>
              <w:t xml:space="preserve">5</w:t>
            </w:r>
          </w:p>
        </w:tc>
        <w:tc>
          <w:tcPr>
            <w:tcW w:w="0" w:type="auto"/>
          </w:tcPr>
          <w:p>
            <w:r>
              <w:t xml:space="preserve">Extraocular Motility</w:t>
            </w:r>
          </w:p>
        </w:tc>
        <w:tc>
          <w:tcPr>
            <w:tcW w:w="0" w:type="auto"/>
          </w:tcPr>
          <w:p>
            <w:r>
              <w:t xml:space="preserve">v0.2.1</w:t>
            </w:r>
          </w:p>
        </w:tc>
      </w:tr>
      <w:tr>
        <w:tc>
          <w:tcPr>
            <w:tcW w:w="0" w:type="auto"/>
          </w:tcPr>
          <w:p>
            <w:r>
              <w:t xml:space="preserve">6</w:t>
            </w:r>
          </w:p>
        </w:tc>
        <w:tc>
          <w:tcPr>
            <w:tcW w:w="0" w:type="auto"/>
          </w:tcPr>
          <w:p>
            <w:r>
              <w:t xml:space="preserve">Pupillometry</w:t>
            </w:r>
          </w:p>
        </w:tc>
        <w:tc>
          <w:tcPr>
            <w:tcW w:w="0" w:type="auto"/>
          </w:tcPr>
          <w:p>
            <w:r>
              <w:t xml:space="preserve">v0.2.5</w:t>
            </w:r>
          </w:p>
        </w:tc>
      </w:tr>
      <w:tr>
        <w:tc>
          <w:tcPr>
            <w:tcW w:w="0" w:type="auto"/>
          </w:tcPr>
          <w:p>
            <w:r>
              <w:t xml:space="preserve">7</w:t>
            </w:r>
          </w:p>
        </w:tc>
        <w:tc>
          <w:tcPr>
            <w:tcW w:w="0" w:type="auto"/>
          </w:tcPr>
          <w:p>
            <w:r>
              <w:t xml:space="preserve">Wavefront Refraction</w:t>
            </w:r>
          </w:p>
        </w:tc>
        <w:tc>
          <w:tcPr>
            <w:tcW w:w="0" w:type="auto"/>
          </w:tcPr>
          <w:p>
            <w:r>
              <w:t xml:space="preserve">v0.2.6 (six enhancements merged v0.2.7)</w:t>
            </w:r>
          </w:p>
        </w:tc>
      </w:tr>
    </w:tbl>
    <w:p/>
    <w:p>
      <w:pPr>
        <w:pBdr>
          <w:bottom w:val="single" w:sz="6" w:space="1" w:color="C0C0C0"/>
        </w:pBdr>
      </w:pPr>
    </w:p>
    <w:p>
      <w:pPr>
        <w:pStyle w:val="Heading2"/>
      </w:pPr>
      <w:r>
        <w:t xml:space="preserve">Currently deployed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xoExam™ v0.2.9</w:t>
      </w:r>
      <w:r>
        <w:t xml:space="preserve"> — xoexam-uiux.netlify.app</w:t>
      </w:r>
    </w:p>
    <w:p>
      <w:pPr>
        <w:pStyle w:val="ListParagraph"/>
        <w:numPr>
          <w:ilvl w:val="0"/>
          <w:numId w:val="1"/>
        </w:numPr>
      </w:pPr>
      <w:r>
        <w:t xml:space="preserve">Architecture: single-file React 18.3.1 + Babel Standalone (CDN), no build toolchain; designed for port to React Native + Kotlin for the production Android tablet.</w:t>
      </w:r>
    </w:p>
    <w:p>
      <w:pPr>
        <w:pBdr>
          <w:bottom w:val="single" w:sz="6" w:space="1" w:color="C0C0C0"/>
        </w:pBdr>
      </w:pPr>
    </w:p>
    <w:p>
      <w:r>
        <w:t xml:space="preserve">*Method Marketing Agency · xoExam UI/UX Development Brief (Cumulative) · v0.2.9 · June 16, 2026*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40" w:line="276" w:lineRule="auto"/>
    </w:pPr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0E2F5E"/>
      <w:sz w:val="40"/>
    </w:rPr>
  </w:style>
  <w:style w:type="paragraph" w:styleId="Heading2">
    <w:name w:val="heading 2"/>
    <w:basedOn w:val="Normal"/>
    <w:pPr>
      <w:spacing w:before="220" w:after="100"/>
      <w:outlineLvl w:val="1"/>
    </w:pPr>
    <w:rPr>
      <w:b/>
      <w:color w:val="0E2F5E"/>
      <w:sz w:val="30"/>
    </w:rPr>
  </w:style>
  <w:style w:type="paragraph" w:styleId="Heading3">
    <w:name w:val="heading 3"/>
    <w:basedOn w:val="Normal"/>
    <w:pPr>
      <w:spacing w:before="180" w:after="80"/>
      <w:outlineLvl w:val="2"/>
    </w:pPr>
    <w:rPr>
      <w:b/>
      <w:color w:val="1F8EFF"/>
      <w:sz w:val="25"/>
    </w:rPr>
  </w:style>
  <w:style w:type="paragraph" w:styleId="Heading4">
    <w:name w:val="heading 4"/>
    <w:basedOn w:val="Normal"/>
    <w:pPr>
      <w:spacing w:before="160" w:after="60"/>
      <w:outlineLvl w:val="3"/>
    </w:pPr>
    <w:rPr>
      <w:b/>
      <w:i/>
      <w:color w:val="374151"/>
      <w:sz w:val="22"/>
    </w:rPr>
  </w:style>
  <w:style w:type="paragraph" w:styleId="Quote">
    <w:name w:val="Quote"/>
    <w:basedOn w:val="Normal"/>
    <w:pPr>
      <w:ind w:left="360"/>
      <w:pBdr>
        <w:left w:val="single" w:sz="18" w:space="8" w:color="1F8EFF"/>
      </w:pBdr>
    </w:pPr>
    <w:rPr>
      <w:i/>
      <w:color w:val="374151"/>
    </w:rPr>
  </w:style>
  <w:style w:type="paragraph" w:styleId="ListParagraph">
    <w:name w:val="List Paragraph"/>
    <w:basedOn w:val="Normal"/>
    <w:pPr>
      <w:ind w:left="360"/>
    </w:pPr>
  </w:style>
  <w:style w:type="table" w:styleId="TableGrid">
    <w:name w:val="Table Grid"/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