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xoExam UI/UX — Cumulative Development Brief</w:t>
      </w:r>
    </w:p>
    <w:p>
      <w:pPr/>
      <w:r>
        <w:rPr>
          <w:i/>
          <w:color w:val="6B7280"/>
        </w:rPr>
        <w:t xml:space="preserve">v0.1.0 → v0.1.9 · Current as of May 21, 2026</w:t>
      </w:r>
    </w:p>
    <w:p>
      <w:pPr/>
      <w:r>
        <w:rPr>
          <w:color w:val="6B7280"/>
        </w:rPr>
        <w:t xml:space="preserve">Method Marketing Agency for Xenon Ophthalmics Inc.</w:t>
      </w:r>
    </w:p>
    <w:p>
      <w:pPr/>
      <w:r>
        <w:t xml:space="preserve"/>
      </w:r>
    </w:p>
    <w:p>
      <w:pPr/>
      <w:r>
        <w:rPr>
          <w:i/>
        </w:rPr>
        <w:t xml:space="preserve">Running narrative of every xoExam UI/UX release. New entries appended at the top.</w:t>
      </w:r>
    </w:p>
    <w:p>
      <w:pPr/>
      <w:r>
        <w:t xml:space="preserve"/>
      </w:r>
    </w:p>
    <w:p>
      <w:pPr>
        <w:pStyle w:val="Heading2"/>
      </w:pPr>
      <w:r>
        <w:t xml:space="preserve">v0.1.9 — Wavefront Aberrometry (May 21, 2026)</w:t>
      </w:r>
    </w:p>
    <w:p>
      <w:pPr/>
      <w:r>
        <w:t xml:space="preserve">Wavefront Aberrometry brought to full clinical fidelity. Extracted from the bundled RemainingTests file into a standalone component; rebuilt onto ExamShell with three-phase flow and canonical Cancel UX. Clinical corrections: axis fixed to unsigned 0–180°, analysis diameter standardised to 6.0 mm to align rmsHOA values with published 6mm-pupil norms, spherical aberration in μm (not mm), three measurements averaged minimum. Zernike Z₄⁰ rendered with proper subscript / superscript. Patient Classification banner driven by worst-eye HOA RMS. Per-eye Clinical Interpretation cards. View-type segmented control replacing the previous select dropdown. Colour-scale legend added beneath the wavefront map. Navy table header replacing the off-palette teal.</w:t>
      </w:r>
    </w:p>
    <w:p>
      <w:pPr/>
      <w:r>
        <w:t xml:space="preserve">Introduced the first Doctor sign-off label pattern — small accent-coloured label above the Certify &amp; close button on the report screen. Groundwork for the post-beta Roles &amp; Remote Operation design pass.</w:t>
      </w:r>
    </w:p>
    <w:p>
      <w:pPr>
        <w:pStyle w:val="Heading2"/>
      </w:pPr>
      <w:r>
        <w:t xml:space="preserve">v0.1.8 — Visual Fields (May 18, 2026)</w:t>
      </w:r>
    </w:p>
    <w:p>
      <w:pPr/>
      <w:r>
        <w:t xml:space="preserve">Visual Fields rebuilt against a synthesised clinical specification (briefs/VisualField_Clinical_Spec_v2.md). Six-phase pre-test flow collapsed under ExamShell's canonical ready / testing / report contract. OD-first bilateral sequence (default flipped from the previously-incorrect OS-first). Added GHT (Glaucoma Hemifield Test) with five-category pill per eye and override rule. Total Deviation and Pattern Deviation probability plots surfaced by default in per-eye detail sections. Age-banded reference MD table. Reliability rebanding using actual HFA XX-flag thresholds (FP/FN/FL) with Standard and Strict presets exposed as a tweak. Pattern-specific point counts drive the Responses gaze-bar maximum. Sentence-case sweep, gradient removal.</w:t>
      </w:r>
    </w:p>
    <w:p>
      <w:pPr>
        <w:pStyle w:val="Heading2"/>
      </w:pPr>
      <w:r>
        <w:t xml:space="preserve">v0.1.7 — Color Vision clinical accuracy (May 15, 2026)</w:t>
      </w:r>
    </w:p>
    <w:p>
      <w:pPr/>
      <w:r>
        <w:t xml:space="preserve">Color Vision overhauled. OD → OS → OU as three discrete tests with full transition modals (not "OU = OD then OS"). D-15 Farnsworth got 16 Munsell-approximation caps replacing the previous rainbow palette, full Vingrys &amp; King-Smith (1988) moment-of-inertia scoring with sRGB→Lab conversion + 2×2 eigendecomposition producing Major Radius / Minor Radius / Confusion Angle / TES / S-index / C-index, and CV_classifyD15 gating Normal classification on TES + C-index. Cumulative 3-eye report rebuilt with Patient Classification banner and per-eye clinical polar diagnostic plot. Ishihara plates 5–24 (no licensed image) render as session-stable simulated placeholders.</w:t>
      </w:r>
    </w:p>
    <w:p>
      <w:pPr>
        <w:pStyle w:val="Heading2"/>
      </w:pPr>
      <w:r>
        <w:t xml:space="preserve">v0.1.6 — Color Vision D-15 polish (May 15, 2026)</w:t>
      </w:r>
    </w:p>
    <w:p>
      <w:pPr/>
      <w:r>
        <w:t xml:space="preserve">Two client UX corrections: D-15 got the green Finish &amp; Report button from ExamShell once analysis runs (replacing the redundant inline Complete Test button); cap numbers removed from the puck UI (they were leaking the cap IDs and making the arrangement trivially solvable by sorting numbers instead of matching colours).</w:t>
      </w:r>
    </w:p>
    <w:p>
      <w:pPr>
        <w:pStyle w:val="Heading2"/>
      </w:pPr>
      <w:r>
        <w:t xml:space="preserve">v0.1.5 — Color Vision on ExamShell + D-15 folded in (May 15, 2026)</w:t>
      </w:r>
    </w:p>
    <w:p>
      <w:pPr/>
      <w:r>
        <w:t xml:space="preserve">Full surgical patch of ColorVisionTest.jsx. CV_ prefix introduced for all top-level constants. Selection screen and D-15 wrapped in ExamShell (inheriting Cancel UX). Top-level OD/OS/OU selector lifted above protocol cards. Default eye flipped OU → OD (clinical convention). Ishihara number-pad input (3×4 grid) replacing the text input. Session notes added to right sidebars. 3-band AAO-style classification (Normal / Borderline / Deficiency detected) replacing the previous 4-band scheme. Report rebuilt in Visual Acuity report structure.</w:t>
      </w:r>
    </w:p>
    <w:p>
      <w:pPr>
        <w:pStyle w:val="Heading2"/>
      </w:pPr>
      <w:r>
        <w:t xml:space="preserve">v0.1.4 — Visual Acuity + ExamShell + canonical Cancel UX (May 15, 2026)</w:t>
      </w:r>
    </w:p>
    <w:p>
      <w:pPr/>
      <w:r>
        <w:t xml:space="preserve">Stream architecture activated. Visual Acuity refactored onto canonical ExamShell wrapper. Internal Header / showCancel state / cancel modal removed entirely. Eye-mode + view-toggle relocated to a sticky sub-bar at the top of testing-phase content. ExamShell upgraded to own canonical Cancel UX across all 19 tests: back arrow hidden during testing phase (no more accidental data loss via muscle-memory back-arrow clicks), replaced by a labeled red Cancel test button. Tests must not build their own cancel dialogs.</w:t>
      </w:r>
    </w:p>
    <w:p>
      <w:pPr>
        <w:pStyle w:val="Heading2"/>
      </w:pPr>
      <w:r>
        <w:t xml:space="preserve">v0.1.3 — Module tabs refactor + marketing surfaces (May 14, 2026)</w:t>
      </w:r>
    </w:p>
    <w:p>
      <w:pPr/>
      <w:r>
        <w:t xml:space="preserve">Single Connected Modules tab collapsed into three per-product tabs (xoIris / xoFit / xoLab). xoIris tab shows connected state only with data stats grid. xoFit and xoLab tabs became full marketing surfaces with product imagery, taglines, and Contact XO Sales CTAs. Marketing images optimised from 1080×1350 PNG (~1 MB) to 720×900 JPG (~60 KB). Sidebar reorder: Doctors moved up below Devices. Self-service avatar affordance added to the logged-in doctor.</w:t>
      </w:r>
    </w:p>
    <w:p>
      <w:pPr>
        <w:pStyle w:val="Heading2"/>
      </w:pPr>
      <w:r>
        <w:t xml:space="preserve">v0.1.2 — Doctor section rebuild (May 14, 2026)</w:t>
      </w:r>
    </w:p>
    <w:p>
      <w:pPr/>
      <w:r>
        <w:t xml:space="preserve">Client Figma audit revealed our popup-modal doctor view was missing the full Doctor section. Rebuilt as full-page tabbed DoctorProfile with 6 tabs (Overview / Contact / Credentials / Schedule / Connected Modules / Reviews). Connected Modules tab made the doctor record the XO ecosystem hub — xoIris unlocked, xoFit/xoLab locked with Contact XO Sales CTA. Doctors list expanded 5 → 8 entries with full data model. Nomenclature swept: xoExam™ / xoIris™ / xoFit™ / xoLab™ (lowercase prefix + ™) consistent across messages.</w:t>
      </w:r>
    </w:p>
    <w:p>
      <w:pPr>
        <w:pStyle w:val="Heading2"/>
      </w:pPr>
      <w:r>
        <w:t xml:space="preserve">v0.1.1 — Interim deploy (May 7, 2026)</w:t>
      </w:r>
    </w:p>
    <w:p>
      <w:pPr/>
      <w:r>
        <w:t xml:space="preserve">Interim deployment between v0.1.0 and v0.1.2 doctor rebuild. Minor patches; no headline features.</w:t>
      </w:r>
    </w:p>
    <w:p>
      <w:pPr>
        <w:pStyle w:val="Heading2"/>
      </w:pPr>
      <w:r>
        <w:t xml:space="preserve">v0.1.0 — Initial release (April 27, 2026)</w:t>
      </w:r>
    </w:p>
    <w:p>
      <w:pPr/>
      <w:r>
        <w:t xml:space="preserve">First public deployment. 20 tests with corrected test list. Category filters introduced (Refraction, Visual Field, Binocular, Sensory, Neuro, Ocular Surface, AI). Ishihara plates 1–4 with licensed images + correct answers. D-15 icon. Esterman Binocular Functional Test added. Eyes Converging Exam added. Wavefront duplicate removed. Xenon Ophthalmics Inc. naming corrected throughout.</w:t>
      </w:r>
    </w:p>
    <w:p>
      <w:pPr/>
      <w:r>
        <w:t xml:space="preserve"/>
      </w:r>
    </w:p>
    <w:p>
      <w:pPr/>
      <w:r>
        <w:rPr>
          <w:i/>
          <w:color w:val="6B7280"/>
        </w:rPr>
        <w:t xml:space="preserve">Method Marketing Agency · xoExam UI/UX Cumulative Development Brief · current through v0.1.9 · May 21, 2026</w:t>
      </w:r>
    </w:p>
    <w:sectPr>
      <w:pgSz w:w="12240" w:h="15840"/>
      <w:pgMar w:top="1080" w:right="1080" w:bottom="1080" w:left="108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20" w:line="288" w:lineRule="auto"/>
      </w:pPr>
    </w:pPrDefault>
  </w:docDefaults>
  <w:style w:type="paragraph" w:styleId="Heading1">
    <w:name w:val="heading 1"/>
    <w:pPr>
      <w:spacing w:before="360" w:after="160"/>
    </w:pPr>
    <w:rPr>
      <w:b/>
      <w:sz w:val="36"/>
      <w:color w:val="0E2F5E"/>
    </w:rPr>
  </w:style>
  <w:style w:type="paragraph" w:styleId="Heading2">
    <w:name w:val="heading 2"/>
    <w:pPr>
      <w:spacing w:before="280" w:after="100"/>
    </w:pPr>
    <w:rPr>
      <w:b/>
      <w:sz w:val="28"/>
      <w:color w:val="0E2F5E"/>
    </w:rPr>
  </w:style>
  <w:style w:type="paragraph" w:styleId="Heading3">
    <w:name w:val="heading 3"/>
    <w:pPr>
      <w:spacing w:before="220" w:after="80"/>
    </w:pPr>
    <w:rPr>
      <w:b/>
      <w:sz w:val="24"/>
      <w:color w:val="1F8EFF"/>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