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xoExam™ UI/UX — Engineering Handoff Specification</w:t>
      </w:r>
    </w:p>
    <w:p>
      <w:pPr/>
      <w:r>
        <w:rPr>
          <w:i/>
          <w:color w:val="6B7280"/>
        </w:rPr>
        <w:t xml:space="preserve">Version 0.1.9 · May 21, 2026</w:t>
      </w:r>
    </w:p>
    <w:p>
      <w:pPr/>
      <w:r>
        <w:rPr>
          <w:color w:val="6B7280"/>
        </w:rPr>
        <w:t xml:space="preserve">Method Marketing Agency for Xenon Ophthalmics Inc.</w:t>
      </w:r>
    </w:p>
    <w:p>
      <w:pPr/>
      <w:r>
        <w:t xml:space="preserve"/>
      </w:r>
    </w:p>
    <w:p>
      <w:pPr/>
      <w:r>
        <w:rPr>
          <w:i/>
        </w:rPr>
        <w:t xml:space="preserve">This document is the authoritative engineering handoff for the xoExam™ tablet UI/UX. It is intended for MPR (engineering partner) and any subsequent engineering teams porting the prototype to the production React Native + Kotlin codebase. Read it end-to-end before opening the prototype.</w:t>
      </w:r>
    </w:p>
    <w:p>
      <w:pPr/>
      <w:r>
        <w:t xml:space="preserve"/>
      </w:r>
    </w:p>
    <w:p>
      <w:pPr/>
      <w:r>
        <w:rPr>
          <w:i/>
          <w:color w:val="6B7280"/>
        </w:rPr>
        <w:t xml:space="preserve">Supersedes v0.1.8 (May 18, 2026). Older versioned documents remain in the repo for reference — always read the highest-numbered version first.</w:t>
      </w:r>
    </w:p>
    <w:p>
      <w:pPr>
        <w:pStyle w:val="Heading2"/>
      </w:pPr>
      <w:r>
        <w:t xml:space="preserve">1. What changed since v0.1.8</w:t>
      </w:r>
    </w:p>
    <w:p>
      <w:pPr/>
      <w:r>
        <w:t xml:space="preserve">v0.1.9 adds Wavefront Aberrometry to the set of clinically-faithful test components. Four of nineteen tests are now at full clinical fidelity (Visual Acuity, Color Vision, Visual Fields, Wavefront Aberrometry). The remaining two beta-scope tests are Ocular Motility (v0.2.0) and Pupillometry (v0.2.1).</w:t>
      </w:r>
    </w:p>
    <w:p>
      <w:pPr/>
      <w:r>
        <w:rPr>
          <w:b/>
        </w:rPr>
        <w:t xml:space="preserve">New in v0.1.9:</w:t>
      </w:r>
    </w:p>
    <w:p>
      <w:pPr>
        <w:numPr>
          <w:ilvl w:val="0"/>
          <w:numId w:val="1"/>
        </w:numPr>
      </w:pPr>
      <w:r>
        <w:t xml:space="preserve">components/WavefrontAberrometryTest.jsx — extracted from RemainingTests.jsx into a standalone file, rebuilt onto ExamShell with full clinical accuracy per briefs/WavefrontAberrometry_Clinical_Spec_v2.md.</w:t>
      </w:r>
    </w:p>
    <w:p>
      <w:pPr>
        <w:numPr>
          <w:ilvl w:val="0"/>
          <w:numId w:val="1"/>
        </w:numPr>
      </w:pPr>
      <w:r>
        <w:t xml:space="preserve">briefs/WavefrontAberrometry_Clinical_Spec_v2.md — per-test clinical specification, synthesised from the client-supplied v1 prompt with Method's clinical-accuracy corrections.</w:t>
      </w:r>
    </w:p>
    <w:p>
      <w:pPr>
        <w:numPr>
          <w:ilvl w:val="0"/>
          <w:numId w:val="1"/>
        </w:numPr>
      </w:pPr>
      <w:r>
        <w:t xml:space="preserve">New "Doctor sign-off" label pattern — first appearance on the Wavefront report screen. Groundwork for the post-beta Roles &amp; Remote Operation design pass.</w:t>
      </w:r>
    </w:p>
    <w:p>
      <w:pPr>
        <w:numPr>
          <w:ilvl w:val="0"/>
          <w:numId w:val="1"/>
        </w:numPr>
      </w:pPr>
      <w:r>
        <w:t xml:space="preserve">React Native + Kotlin architecture confirmed via MPR conversation — see §3 for the portability table.</w:t>
      </w:r>
    </w:p>
    <w:p>
      <w:pPr>
        <w:numPr>
          <w:ilvl w:val="0"/>
          <w:numId w:val="1"/>
        </w:numPr>
      </w:pPr>
      <w:r>
        <w:t xml:space="preserve">Document versioning rule codified in CLAUDE.md.</w:t>
      </w:r>
    </w:p>
    <w:p>
      <w:pPr>
        <w:pStyle w:val="Heading2"/>
      </w:pPr>
      <w:r>
        <w:t xml:space="preserve">2. Engineering quick start</w:t>
      </w:r>
    </w:p>
    <w:p>
      <w:pPr/>
      <w:r>
        <w:t xml:space="preserve">1. Open xoExam Prototype.html in Chrome or Edge. No build step is required — the prototype loads React 18.3.1 and Babel Standalone from CDN.</w:t>
      </w:r>
    </w:p>
    <w:p>
      <w:pPr/>
      <w:r>
        <w:t xml:space="preserve">2. Inspect the file structure: a single HTML entry point loads modular .jsx components from /components. Each component is independently rendered through inline JSX, transpiled at runtime.</w:t>
      </w:r>
    </w:p>
    <w:p>
      <w:pPr/>
      <w:r>
        <w:t xml:space="preserve">3. Read CLAUDE.md at the project root — it is the canonical project memory and contains the version log, design system, and the component interface contract.</w:t>
      </w:r>
    </w:p>
    <w:p>
      <w:pPr/>
      <w:r>
        <w:t xml:space="preserve">4. For per-test clinical detail, read briefs/&lt;Test&gt;_Clinical_Spec_v2.md. Only tests at clinical fidelity have a spec; assume the others are at visual-only fidelity pending future design passes.</w:t>
      </w:r>
    </w:p>
    <w:p>
      <w:pPr/>
      <w:r>
        <w:t xml:space="preserve">5. Production target is React Native + Kotlin on Android tablets. See §3 for the portability translation table.</w:t>
      </w:r>
    </w:p>
    <w:p>
      <w:pPr>
        <w:pStyle w:val="Heading2"/>
      </w:pPr>
      <w:r>
        <w:t xml:space="preserve">3. React Native + Kotlin portability</w:t>
      </w:r>
    </w:p>
    <w:p>
      <w:pPr/>
      <w:r>
        <w:t xml:space="preserve">Confirmed via MPR architecture conversation, May 2026: xoExam is the only XO Vision Care System module built natively. xoIris, xoFit, and (likely) xoLab are web applications. The xoExam tablet UI is built in React Native (JS layer) with Kotlin handling hardware-level operations (Bluetooth/Wi-Fi pairing, camera streaming, calibration handshakes, sensor data).</w:t>
      </w:r>
    </w:p>
    <w:p>
      <w:pPr/>
      <w:r>
        <w:rPr>
          <w:b/>
        </w:rPr>
        <w:t xml:space="preserve">Web React → React Native translation table</w:t>
      </w:r>
    </w:p>
    <w:tbl>
      <w:tblPr>
        <w:tblW w:w="0" w:type="auto"/>
        <w:tblBorders>
          <w:top w:val="single" w:sz="4" w:color="D0D5DB"/>
          <w:left w:val="single" w:sz="4" w:color="D0D5DB"/>
          <w:bottom w:val="single" w:sz="4" w:color="D0D5DB"/>
          <w:right w:val="single" w:sz="4" w:color="D0D5DB"/>
          <w:insideH w:val="single" w:sz="4" w:color="D0D5DB"/>
          <w:insideV w:val="single" w:sz="4" w:color="D0D5DB"/>
        </w:tblBorders>
      </w:tblPr>
      <w:tr>
        <w:tc>
          <w:tcPr>
            <w:tcW w:w="0" w:type="auto"/>
            <w:shd w:val="clear" w:color="auto" w:fill="0E2F5E"/>
          </w:tcPr>
          <w:p>
            <w:pPr/>
            <w:r>
              <w:rPr>
                <w:b/>
                <w:sz w:val="18"/>
                <w:color w:val="FFFFFF"/>
              </w:rPr>
              <w:t xml:space="preserve">Web prototype (this codebase)</w:t>
            </w:r>
          </w:p>
        </w:tc>
        <w:tc>
          <w:tcPr>
            <w:tcW w:w="0" w:type="auto"/>
            <w:shd w:val="clear" w:color="auto" w:fill="0E2F5E"/>
          </w:tcPr>
          <w:p>
            <w:pPr/>
            <w:r>
              <w:rPr>
                <w:b/>
                <w:sz w:val="18"/>
                <w:color w:val="FFFFFF"/>
              </w:rPr>
              <w:t xml:space="preserve">React Native production</w:t>
            </w:r>
          </w:p>
        </w:tc>
        <w:tc>
          <w:tcPr>
            <w:tcW w:w="0" w:type="auto"/>
            <w:shd w:val="clear" w:color="auto" w:fill="0E2F5E"/>
          </w:tcPr>
          <w:p>
            <w:pPr/>
            <w:r>
              <w:rPr>
                <w:b/>
                <w:sz w:val="18"/>
                <w:color w:val="FFFFFF"/>
              </w:rPr>
              <w:t xml:space="preserve">Notes</w:t>
            </w:r>
          </w:p>
        </w:tc>
      </w:tr>
      <w:tr>
        <w:tc>
          <w:tcPr>
            <w:tcW w:w="0" w:type="auto"/>
          </w:tcPr>
          <w:p>
            <w:pPr/>
            <w:r>
              <w:rPr>
                <w:sz w:val="18"/>
              </w:rPr>
              <w:t xml:space="preserve">&lt;div&gt;, &lt;span&gt;</w:t>
            </w:r>
          </w:p>
        </w:tc>
        <w:tc>
          <w:tcPr>
            <w:tcW w:w="0" w:type="auto"/>
          </w:tcPr>
          <w:p>
            <w:pPr/>
            <w:r>
              <w:rPr>
                <w:sz w:val="18"/>
              </w:rPr>
              <w:t xml:space="preserve">&lt;View&gt;, &lt;Text&gt;</w:t>
            </w:r>
          </w:p>
        </w:tc>
        <w:tc>
          <w:tcPr>
            <w:tcW w:w="0" w:type="auto"/>
          </w:tcPr>
          <w:p>
            <w:pPr/>
            <w:r>
              <w:rPr>
                <w:sz w:val="18"/>
              </w:rPr>
              <w:t xml:space="preserve">Cannot mix native primitives. All text must be wrapped in &lt;Text&gt;.</w:t>
            </w:r>
          </w:p>
        </w:tc>
      </w:tr>
      <w:tr>
        <w:tc>
          <w:tcPr>
            <w:tcW w:w="0" w:type="auto"/>
          </w:tcPr>
          <w:p>
            <w:pPr/>
            <w:r>
              <w:rPr>
                <w:sz w:val="18"/>
              </w:rPr>
              <w:t xml:space="preserve">&lt;button&gt;</w:t>
            </w:r>
          </w:p>
        </w:tc>
        <w:tc>
          <w:tcPr>
            <w:tcW w:w="0" w:type="auto"/>
          </w:tcPr>
          <w:p>
            <w:pPr/>
            <w:r>
              <w:rPr>
                <w:sz w:val="18"/>
              </w:rPr>
              <w:t xml:space="preserve">&lt;Pressable&gt;</w:t>
            </w:r>
          </w:p>
        </w:tc>
        <w:tc>
          <w:tcPr>
            <w:tcW w:w="0" w:type="auto"/>
          </w:tcPr>
          <w:p>
            <w:pPr/>
            <w:r>
              <w:rPr>
                <w:sz w:val="18"/>
              </w:rPr>
              <w:t xml:space="preserve">onClick → onPress.</w:t>
            </w:r>
          </w:p>
        </w:tc>
      </w:tr>
      <w:tr>
        <w:tc>
          <w:tcPr>
            <w:tcW w:w="0" w:type="auto"/>
          </w:tcPr>
          <w:p>
            <w:pPr/>
            <w:r>
              <w:rPr>
                <w:sz w:val="18"/>
              </w:rPr>
              <w:t xml:space="preserve">&lt;img&gt;</w:t>
            </w:r>
          </w:p>
        </w:tc>
        <w:tc>
          <w:tcPr>
            <w:tcW w:w="0" w:type="auto"/>
          </w:tcPr>
          <w:p>
            <w:pPr/>
            <w:r>
              <w:rPr>
                <w:sz w:val="18"/>
              </w:rPr>
              <w:t xml:space="preserve">&lt;Image&gt;</w:t>
            </w:r>
          </w:p>
        </w:tc>
        <w:tc>
          <w:tcPr>
            <w:tcW w:w="0" w:type="auto"/>
          </w:tcPr>
          <w:p>
            <w:pPr/>
            <w:r>
              <w:rPr>
                <w:sz w:val="18"/>
              </w:rPr>
              <w:t xml:space="preserve">src → source={{uri:...}}.</w:t>
            </w:r>
          </w:p>
        </w:tc>
      </w:tr>
      <w:tr>
        <w:tc>
          <w:tcPr>
            <w:tcW w:w="0" w:type="auto"/>
          </w:tcPr>
          <w:p>
            <w:pPr/>
            <w:r>
              <w:rPr>
                <w:sz w:val="18"/>
              </w:rPr>
              <w:t xml:space="preserve">CSS / inline styles</w:t>
            </w:r>
          </w:p>
        </w:tc>
        <w:tc>
          <w:tcPr>
            <w:tcW w:w="0" w:type="auto"/>
          </w:tcPr>
          <w:p>
            <w:pPr/>
            <w:r>
              <w:rPr>
                <w:sz w:val="18"/>
              </w:rPr>
              <w:t xml:space="preserve">StyleSheet API</w:t>
            </w:r>
          </w:p>
        </w:tc>
        <w:tc>
          <w:tcPr>
            <w:tcW w:w="0" w:type="auto"/>
          </w:tcPr>
          <w:p>
            <w:pPr/>
            <w:r>
              <w:rPr>
                <w:sz w:val="18"/>
              </w:rPr>
              <w:t xml:space="preserve">No cursor, no :hover, no media queries — use Dimensions API.</w:t>
            </w:r>
          </w:p>
        </w:tc>
      </w:tr>
      <w:tr>
        <w:tc>
          <w:tcPr>
            <w:tcW w:w="0" w:type="auto"/>
          </w:tcPr>
          <w:p>
            <w:pPr/>
            <w:r>
              <w:rPr>
                <w:sz w:val="18"/>
              </w:rPr>
              <w:t xml:space="preserve">localStorage</w:t>
            </w:r>
          </w:p>
        </w:tc>
        <w:tc>
          <w:tcPr>
            <w:tcW w:w="0" w:type="auto"/>
          </w:tcPr>
          <w:p>
            <w:pPr/>
            <w:r>
              <w:rPr>
                <w:sz w:val="18"/>
              </w:rPr>
              <w:t xml:space="preserve">AsyncStorage</w:t>
            </w:r>
          </w:p>
        </w:tc>
        <w:tc>
          <w:tcPr>
            <w:tcW w:w="0" w:type="auto"/>
          </w:tcPr>
          <w:p>
            <w:pPr/>
            <w:r>
              <w:rPr>
                <w:sz w:val="18"/>
              </w:rPr>
              <w:t xml:space="preserve">API is async — wrap reads in await.</w:t>
            </w:r>
          </w:p>
        </w:tc>
      </w:tr>
      <w:tr>
        <w:tc>
          <w:tcPr>
            <w:tcW w:w="0" w:type="auto"/>
          </w:tcPr>
          <w:p>
            <w:pPr/>
            <w:r>
              <w:rPr>
                <w:sz w:val="18"/>
              </w:rPr>
              <w:t xml:space="preserve">CSS animations</w:t>
            </w:r>
          </w:p>
        </w:tc>
        <w:tc>
          <w:tcPr>
            <w:tcW w:w="0" w:type="auto"/>
          </w:tcPr>
          <w:p>
            <w:pPr/>
            <w:r>
              <w:rPr>
                <w:sz w:val="18"/>
              </w:rPr>
              <w:t xml:space="preserve">Animated API or Reanimated</w:t>
            </w:r>
          </w:p>
        </w:tc>
        <w:tc>
          <w:tcPr>
            <w:tcW w:w="0" w:type="auto"/>
          </w:tcPr>
          <w:p>
            <w:pPr/>
            <w:r>
              <w:rPr>
                <w:sz w:val="18"/>
              </w:rPr>
              <w:t xml:space="preserve">Transform / opacity translate cleanly. CSS keyframes do not.</w:t>
            </w:r>
          </w:p>
        </w:tc>
      </w:tr>
      <w:tr>
        <w:tc>
          <w:tcPr>
            <w:tcW w:w="0" w:type="auto"/>
          </w:tcPr>
          <w:p>
            <w:pPr/>
            <w:r>
              <w:rPr>
                <w:sz w:val="18"/>
              </w:rPr>
              <w:t xml:space="preserve">scrollbar styling</w:t>
            </w:r>
          </w:p>
        </w:tc>
        <w:tc>
          <w:tcPr>
            <w:tcW w:w="0" w:type="auto"/>
          </w:tcPr>
          <w:p>
            <w:pPr/>
            <w:r>
              <w:rPr>
                <w:sz w:val="18"/>
              </w:rPr>
              <w:t xml:space="preserve">ScrollView indicator props</w:t>
            </w:r>
          </w:p>
        </w:tc>
        <w:tc>
          <w:tcPr>
            <w:tcW w:w="0" w:type="auto"/>
          </w:tcPr>
          <w:p>
            <w:pPr/>
            <w:r>
              <w:rPr>
                <w:sz w:val="18"/>
              </w:rPr>
              <w:t xml:space="preserve">No CSS scrollbar control — use showsVerticalScrollIndicator.</w:t>
            </w:r>
          </w:p>
        </w:tc>
      </w:tr>
      <w:tr>
        <w:tc>
          <w:tcPr>
            <w:tcW w:w="0" w:type="auto"/>
          </w:tcPr>
          <w:p>
            <w:pPr/>
            <w:r>
              <w:rPr>
                <w:sz w:val="18"/>
              </w:rPr>
              <w:t xml:space="preserve">flex, gap, padding</w:t>
            </w:r>
          </w:p>
        </w:tc>
        <w:tc>
          <w:tcPr>
            <w:tcW w:w="0" w:type="auto"/>
          </w:tcPr>
          <w:p>
            <w:pPr/>
            <w:r>
              <w:rPr>
                <w:sz w:val="18"/>
              </w:rPr>
              <w:t xml:space="preserve">flex, gap, padding</w:t>
            </w:r>
          </w:p>
        </w:tc>
        <w:tc>
          <w:tcPr>
            <w:tcW w:w="0" w:type="auto"/>
          </w:tcPr>
          <w:p>
            <w:pPr/>
            <w:r>
              <w:rPr>
                <w:sz w:val="18"/>
              </w:rPr>
              <w:t xml:space="preserve">Direct translation. Default flexDirection is column in RN (vs row on web).</w:t>
            </w:r>
          </w:p>
        </w:tc>
      </w:tr>
      <w:tr>
        <w:tc>
          <w:tcPr>
            <w:tcW w:w="0" w:type="auto"/>
          </w:tcPr>
          <w:p>
            <w:pPr/>
            <w:r>
              <w:rPr>
                <w:sz w:val="18"/>
              </w:rPr>
              <w:t xml:space="preserve">&lt;input type="text"&gt;</w:t>
            </w:r>
          </w:p>
        </w:tc>
        <w:tc>
          <w:tcPr>
            <w:tcW w:w="0" w:type="auto"/>
          </w:tcPr>
          <w:p>
            <w:pPr/>
            <w:r>
              <w:rPr>
                <w:sz w:val="18"/>
              </w:rPr>
              <w:t xml:space="preserve">&lt;TextInput&gt;</w:t>
            </w:r>
          </w:p>
        </w:tc>
        <w:tc>
          <w:tcPr>
            <w:tcW w:w="0" w:type="auto"/>
          </w:tcPr>
          <w:p>
            <w:pPr/>
            <w:r>
              <w:rPr>
                <w:sz w:val="18"/>
              </w:rPr>
              <w:t xml:space="preserve">value/onChangeText (not onChange).</w:t>
            </w:r>
          </w:p>
        </w:tc>
      </w:tr>
    </w:tbl>
    <w:p>
      <w:pPr/>
      <w:r>
        <w:rPr>
          <w:i/>
        </w:rPr>
        <w:t xml:space="preserve">The .jsx files are written for portability — inline styles, hooks-only, no exotic dependencies. The port is mechanical, not a redesign.</w:t>
      </w:r>
    </w:p>
    <w:p>
      <w:pPr/>
      <w:r>
        <w:t xml:space="preserve"/>
      </w:r>
    </w:p>
    <w:p>
      <w:pPr/>
      <w:r>
        <w:rPr>
          <w:b/>
        </w:rPr>
        <w:t xml:space="preserve">Kotlin layer responsibilities (engineering owns, not in our scope):</w:t>
      </w:r>
    </w:p>
    <w:p>
      <w:pPr>
        <w:numPr>
          <w:ilvl w:val="0"/>
          <w:numId w:val="1"/>
        </w:numPr>
      </w:pPr>
      <w:r>
        <w:t xml:space="preserve">Bluetooth Classic / BLE pairing with the headset</w:t>
      </w:r>
    </w:p>
    <w:p>
      <w:pPr>
        <w:numPr>
          <w:ilvl w:val="0"/>
          <w:numId w:val="1"/>
        </w:numPr>
      </w:pPr>
      <w:r>
        <w:t xml:space="preserve">Wi-Fi device discovery and secure pairing</w:t>
      </w:r>
    </w:p>
    <w:p>
      <w:pPr>
        <w:numPr>
          <w:ilvl w:val="0"/>
          <w:numId w:val="1"/>
        </w:numPr>
      </w:pPr>
      <w:r>
        <w:t xml:space="preserve">Live eye-feed camera streaming from headset to tablet</w:t>
      </w:r>
    </w:p>
    <w:p>
      <w:pPr>
        <w:numPr>
          <w:ilvl w:val="0"/>
          <w:numId w:val="1"/>
        </w:numPr>
      </w:pPr>
      <w:r>
        <w:t xml:space="preserve">Real-time sensor data (gaze tracking, button presses from the patient response clicker)</w:t>
      </w:r>
    </w:p>
    <w:p>
      <w:pPr>
        <w:numPr>
          <w:ilvl w:val="0"/>
          <w:numId w:val="1"/>
        </w:numPr>
      </w:pPr>
      <w:r>
        <w:t xml:space="preserve">Calibration handshakes and firmware command issuance</w:t>
      </w:r>
    </w:p>
    <w:p>
      <w:pPr>
        <w:numPr>
          <w:ilvl w:val="0"/>
          <w:numId w:val="1"/>
        </w:numPr>
      </w:pPr>
      <w:r>
        <w:t xml:space="preserve">OS-level permission dialogs</w:t>
      </w:r>
    </w:p>
    <w:p>
      <w:pPr>
        <w:pStyle w:val="Heading2"/>
      </w:pPr>
      <w:r>
        <w:t xml:space="preserve">4. Application architecture</w:t>
      </w:r>
    </w:p>
    <w:p>
      <w:pPr/>
      <w:r>
        <w:t xml:space="preserve">Single-file React 18.3.1 + Babel Standalone (CDN). No build toolchain. xoExam Prototype.html is the entry point; all components load as &lt;script type="text/babel" src="components/X.jsx"&gt;.</w:t>
      </w:r>
    </w:p>
    <w:p>
      <w:pPr/>
      <w:r>
        <w:rPr>
          <w:i/>
        </w:rPr>
        <w:t xml:space="preserve">Critical Babel rule: each script tag has its own scope when transpiled. Components share state by assigning to window at the end of each file (Object.assign(window, { ComponentName })). Top-level constants must be uniquely named across files (e.g. WFA_EYE_DATA, CV_EYE_SEQUENCE) — collisions overwrite silently.</w:t>
      </w:r>
    </w:p>
    <w:p>
      <w:pPr/>
      <w:r>
        <w:rPr>
          <w:b/>
        </w:rPr>
        <w:t xml:space="preserve">Session persistence keys:</w:t>
      </w:r>
    </w:p>
    <w:p>
      <w:pPr>
        <w:numPr>
          <w:ilvl w:val="0"/>
          <w:numId w:val="1"/>
        </w:numPr>
      </w:pPr>
      <w:r>
        <w:t xml:space="preserve">localStorage('xoexam_screen') — current top-level screen</w:t>
      </w:r>
    </w:p>
    <w:p>
      <w:pPr>
        <w:numPr>
          <w:ilvl w:val="0"/>
          <w:numId w:val="1"/>
        </w:numPr>
      </w:pPr>
      <w:r>
        <w:t xml:space="preserve">localStorage('xoexam_section') — active sidebar section</w:t>
      </w:r>
    </w:p>
    <w:p>
      <w:pPr>
        <w:numPr>
          <w:ilvl w:val="0"/>
          <w:numId w:val="1"/>
        </w:numPr>
      </w:pPr>
      <w:r>
        <w:t xml:space="preserve">localStorage('xoexam_tweaks') — user tweak settings</w:t>
      </w:r>
    </w:p>
    <w:p>
      <w:pPr/>
      <w:r>
        <w:t xml:space="preserve">Production targets must wrap these in AsyncStorage and respect the patient-data privacy model — patient-identifying data must never enter localStorage equivalents.</w:t>
      </w:r>
    </w:p>
    <w:p>
      <w:pPr>
        <w:pStyle w:val="Heading2"/>
      </w:pPr>
      <w:r>
        <w:t xml:space="preserve">5. Component interface contract</w:t>
      </w:r>
    </w:p>
    <w:p>
      <w:pPr/>
      <w:r>
        <w:t xml:space="preserve">Every test component must conform to this contract. ExamShell handles all chrome and the canonical Cancel UX; test components handle phase logic and clinical content only.</w:t>
      </w:r>
    </w:p>
    <w:p>
      <w:pPr/>
      <w:r>
        <w:rPr>
          <w:rFonts w:ascii="Consolas" w:hAnsi="Consolas"/>
        </w:rPr>
        <w:t xml:space="preserve">Required signature: function TestNameTest({ onBack, tweaks }) { ... }</w:t>
      </w:r>
    </w:p>
    <w:p>
      <w:pPr/>
      <w:r>
        <w:rPr>
          <w:rFonts w:ascii="Consolas" w:hAnsi="Consolas"/>
        </w:rPr>
        <w:t xml:space="preserve">Required export: Object.assign(window, { TestNameTest });</w:t>
      </w:r>
    </w:p>
    <w:p>
      <w:pPr/>
      <w:r>
        <w:rPr>
          <w:rFonts w:ascii="Consolas" w:hAnsi="Consolas"/>
        </w:rPr>
        <w:t xml:space="preserve">Required wrapper: &lt;ExamShell title="..." accent={...} onBack={...} phase={...} elapsed={...} onBegin={...} onFinish={...} onNewTest={...}&gt; ... &lt;/ExamShell&gt;</w:t>
      </w:r>
    </w:p>
    <w:p>
      <w:pPr/>
      <w:r>
        <w:t xml:space="preserve">Required phases: ready · testing · report.</w:t>
      </w:r>
    </w:p>
    <w:p>
      <w:pPr/>
      <w:r>
        <w:rPr>
          <w:b/>
        </w:rPr>
        <w:t xml:space="preserve">All top-level identifiers in a component file must be prefixed with a 2- or 3-letter component code: VA_, CV_, VF_, WFA_, etc. This is non-negotiable — Babel has no module scoping and unprefixed top-level consts will collide across files.</w:t>
      </w:r>
    </w:p>
    <w:p>
      <w:pPr>
        <w:pStyle w:val="Heading2"/>
      </w:pPr>
      <w:r>
        <w:t xml:space="preserve">6. ExamShell canonical Cancel UX</w:t>
      </w:r>
    </w:p>
    <w:p>
      <w:pPr/>
      <w:r>
        <w:t xml:space="preserve">ExamShell owns the cancel-during-testing UX so that all test components behave identically. Test components must not build their own cancel buttons or modals.</w:t>
      </w:r>
    </w:p>
    <w:tbl>
      <w:tblPr>
        <w:tblW w:w="0" w:type="auto"/>
        <w:tblBorders>
          <w:top w:val="single" w:sz="4" w:color="D0D5DB"/>
          <w:left w:val="single" w:sz="4" w:color="D0D5DB"/>
          <w:bottom w:val="single" w:sz="4" w:color="D0D5DB"/>
          <w:right w:val="single" w:sz="4" w:color="D0D5DB"/>
          <w:insideH w:val="single" w:sz="4" w:color="D0D5DB"/>
          <w:insideV w:val="single" w:sz="4" w:color="D0D5DB"/>
        </w:tblBorders>
      </w:tblPr>
      <w:tr>
        <w:tc>
          <w:tcPr>
            <w:tcW w:w="0" w:type="auto"/>
            <w:shd w:val="clear" w:color="auto" w:fill="0E2F5E"/>
          </w:tcPr>
          <w:p>
            <w:pPr/>
            <w:r>
              <w:rPr>
                <w:b/>
                <w:sz w:val="18"/>
                <w:color w:val="FFFFFF"/>
              </w:rPr>
              <w:t xml:space="preserve">Phase</w:t>
            </w:r>
          </w:p>
        </w:tc>
        <w:tc>
          <w:tcPr>
            <w:tcW w:w="0" w:type="auto"/>
            <w:shd w:val="clear" w:color="auto" w:fill="0E2F5E"/>
          </w:tcPr>
          <w:p>
            <w:pPr/>
            <w:r>
              <w:rPr>
                <w:b/>
                <w:sz w:val="18"/>
                <w:color w:val="FFFFFF"/>
              </w:rPr>
              <w:t xml:space="preserve">Header chrome</w:t>
            </w:r>
          </w:p>
        </w:tc>
      </w:tr>
      <w:tr>
        <w:tc>
          <w:tcPr>
            <w:tcW w:w="0" w:type="auto"/>
          </w:tcPr>
          <w:p>
            <w:pPr/>
            <w:r>
              <w:rPr>
                <w:sz w:val="18"/>
              </w:rPr>
              <w:t xml:space="preserve">ready</w:t>
            </w:r>
          </w:p>
        </w:tc>
        <w:tc>
          <w:tcPr>
            <w:tcW w:w="0" w:type="auto"/>
          </w:tcPr>
          <w:p>
            <w:pPr/>
            <w:r>
              <w:rPr>
                <w:sz w:val="18"/>
              </w:rPr>
              <w:t xml:space="preserve">Back arrow visible. Returns immediately via onBack. No confirm.</w:t>
            </w:r>
          </w:p>
        </w:tc>
      </w:tr>
      <w:tr>
        <w:tc>
          <w:tcPr>
            <w:tcW w:w="0" w:type="auto"/>
          </w:tcPr>
          <w:p>
            <w:pPr/>
            <w:r>
              <w:rPr>
                <w:sz w:val="18"/>
              </w:rPr>
              <w:t xml:space="preserve">testing</w:t>
            </w:r>
          </w:p>
        </w:tc>
        <w:tc>
          <w:tcPr>
            <w:tcW w:w="0" w:type="auto"/>
          </w:tcPr>
          <w:p>
            <w:pPr/>
            <w:r>
              <w:rPr>
                <w:sz w:val="18"/>
              </w:rPr>
              <w:t xml:space="preserve">Back arrow HIDDEN. Labeled red "Cancel test" button on the right. Opens the canonical confirm modal: "Cancel test? All progress for this session will be lost and cannot be recovered." with Continue test (default, autoFocus) and Cancel test (destructive).</w:t>
            </w:r>
          </w:p>
        </w:tc>
      </w:tr>
      <w:tr>
        <w:tc>
          <w:tcPr>
            <w:tcW w:w="0" w:type="auto"/>
          </w:tcPr>
          <w:p>
            <w:pPr/>
            <w:r>
              <w:rPr>
                <w:sz w:val="18"/>
              </w:rPr>
              <w:t xml:space="preserve">report</w:t>
            </w:r>
          </w:p>
        </w:tc>
        <w:tc>
          <w:tcPr>
            <w:tcW w:w="0" w:type="auto"/>
          </w:tcPr>
          <w:p>
            <w:pPr/>
            <w:r>
              <w:rPr>
                <w:sz w:val="18"/>
              </w:rPr>
              <w:t xml:space="preserve">Back arrow visible. Returns immediately. No confirm.</w:t>
            </w:r>
          </w:p>
        </w:tc>
      </w:tr>
    </w:tbl>
    <w:p>
      <w:pPr/>
      <w:r>
        <w:t xml:space="preserve">Principle: back arrows mean "navigate safely." Destructive actions get labeled buttons. The two semantics never share a control.</w:t>
      </w:r>
    </w:p>
    <w:p>
      <w:pPr>
        <w:pStyle w:val="Heading2"/>
      </w:pPr>
      <w:r>
        <w:t xml:space="preserve">7. Bilateral eye-sequence pattern</w:t>
      </w:r>
    </w:p>
    <w:p>
      <w:pPr/>
      <w:r>
        <w:t xml:space="preserve">For tests that test both eyes (Visual Acuity, Color Vision, Visual Fields, Wavefront Aberrometry, and most clinical tests in scope), the canonical pattern is:</w:t>
      </w:r>
    </w:p>
    <w:p>
      <w:pPr>
        <w:numPr>
          <w:ilvl w:val="0"/>
          <w:numId w:val="1"/>
        </w:numPr>
      </w:pPr>
      <w:r>
        <w:t xml:space="preserve">Default eye order: OD (right) before OS (left). Universal medical convention.</w:t>
      </w:r>
    </w:p>
    <w:p>
      <w:pPr>
        <w:numPr>
          <w:ilvl w:val="0"/>
          <w:numId w:val="1"/>
        </w:numPr>
      </w:pPr>
      <w:r>
        <w:t xml:space="preserve">InlineEyePicker — 3-pill segmented control (OD / OS / OU). Locks once the first response is recorded in tests with patient input; locks at test start in fully-automated tests.</w:t>
      </w:r>
    </w:p>
    <w:p>
      <w:pPr>
        <w:numPr>
          <w:ilvl w:val="0"/>
          <w:numId w:val="1"/>
        </w:numPr>
      </w:pPr>
      <w:r>
        <w:t xml:space="preserve">EyeBreadcrumb — done ✓ / current accent / pending dimmed. Shown in the sub-bar or modal during multi-eye runs.</w:t>
      </w:r>
    </w:p>
    <w:p>
      <w:pPr>
        <w:numPr>
          <w:ilvl w:val="0"/>
          <w:numId w:val="1"/>
        </w:numPr>
      </w:pPr>
      <w:r>
        <w:t xml:space="preserve">TransitionPrompt — full-screen modal between OD-complete and OS-init with breadcrumb + patient-positioning copy.</w:t>
      </w:r>
    </w:p>
    <w:p>
      <w:pPr>
        <w:numPr>
          <w:ilvl w:val="0"/>
          <w:numId w:val="1"/>
        </w:numPr>
      </w:pPr>
      <w:r>
        <w:t xml:space="preserve">OU semantics depend on test type: for tests with patient input (CV), OU is a third discrete run; for automated tests (WFA), OU means run OD then OS as two captures.</w:t>
      </w:r>
    </w:p>
    <w:p>
      <w:pPr>
        <w:pStyle w:val="Heading2"/>
      </w:pPr>
      <w:r>
        <w:t xml:space="preserve">8. Doctor sign-off pattern (new in v0.1.9)</w:t>
      </w:r>
    </w:p>
    <w:p>
      <w:pPr/>
      <w:r>
        <w:t xml:space="preserve">Wavefront Aberrometry is the first test to surface the Doctor sign-off visual cue. It appears as a small 11px accent-coloured label immediately above the primary Certify &amp; close button on the report screen. The label reads "Doctor sign-off."</w:t>
      </w:r>
    </w:p>
    <w:p>
      <w:pPr/>
      <w:r>
        <w:rPr>
          <w:b/>
        </w:rPr>
        <w:t xml:space="preserve">Rationale:</w:t>
      </w:r>
    </w:p>
    <w:p>
      <w:pPr>
        <w:numPr>
          <w:ilvl w:val="0"/>
          <w:numId w:val="1"/>
        </w:numPr>
      </w:pPr>
      <w:r>
        <w:t xml:space="preserve">"Sign-off" is the standard EHR term for a clinician taking authoritative ownership of a result. Epic, Cerner, NextGen all use this term.</w:t>
      </w:r>
    </w:p>
    <w:p>
      <w:pPr>
        <w:numPr>
          <w:ilvl w:val="0"/>
          <w:numId w:val="1"/>
        </w:numPr>
      </w:pPr>
      <w:r>
        <w:t xml:space="preserve">"Doctor" correctly includes both MDs (ophthalmologists) and ODs (optometrists) — both are doctorate-licensed xoExam users. "Physician" would exclude ODs; "Provider" reads as American HMO jargon.</w:t>
      </w:r>
    </w:p>
    <w:p>
      <w:pPr>
        <w:numPr>
          <w:ilvl w:val="0"/>
          <w:numId w:val="1"/>
        </w:numPr>
      </w:pPr>
      <w:r>
        <w:t xml:space="preserve">The label names the action (sign-off), not the restriction. Respectful framing.</w:t>
      </w:r>
    </w:p>
    <w:p>
      <w:pPr/>
      <w:r>
        <w:t xml:space="preserve">Future state (post-beta Roles &amp; Remote Operation pass): the label dynamically reflects user role. When a technician is signed in, the label reads "Awaiting doctor sign-off" and the Certify &amp; close button is disabled. When a doctor is signed in, the label reads "Doctor sign-off" and the button is enabled. v0.1.9 ships only the visual hint — enforcement requires the authentication / role contract to land, which is dependent on engineering decisions tracked in §12.</w:t>
      </w:r>
    </w:p>
    <w:p>
      <w:pPr>
        <w:pStyle w:val="Heading2"/>
      </w:pPr>
      <w:r>
        <w:t xml:space="preserve">9. Roles &amp; remote operation model (preview)</w:t>
      </w:r>
    </w:p>
    <w:p>
      <w:pPr/>
      <w:r>
        <w:t xml:space="preserve">Confirmed via MPR conversation, May 2026: the xoExam clinical workflow involves three concurrent roles, two operator surfaces, and remote operation as a first-class requirement.</w:t>
      </w:r>
    </w:p>
    <w:p>
      <w:pPr>
        <w:numPr>
          <w:ilvl w:val="0"/>
          <w:numId w:val="1"/>
        </w:numPr>
      </w:pPr>
      <w:r>
        <w:t xml:space="preserve">Patient — wears the headset, holds a wireless response clicker paired to the headset (timing-critical input stays local to the device).</w:t>
      </w:r>
    </w:p>
    <w:p>
      <w:pPr>
        <w:numPr>
          <w:ilvl w:val="0"/>
          <w:numId w:val="1"/>
        </w:numPr>
      </w:pPr>
      <w:r>
        <w:t xml:space="preserve">Technician — on-site, operates the test on a tablet. Owns positioning, calibration, protocol selection, running the test through to completion.</w:t>
      </w:r>
    </w:p>
    <w:p>
      <w:pPr>
        <w:numPr>
          <w:ilvl w:val="0"/>
          <w:numId w:val="1"/>
        </w:numPr>
      </w:pPr>
      <w:r>
        <w:t xml:space="preserve">Doctor — remote or on-site, operates a tablet OR desktop. Can join an in-progress exam, observe, override, and certify results. Certification is the doctor's exclusive responsibility.</w:t>
      </w:r>
    </w:p>
    <w:p>
      <w:pPr/>
      <w:r>
        <w:t xml:space="preserve">Architecture: the headset is the network endpoint and runs test mechanics locally (millisecond-critical response timing never leaves the device). The tablet(s) act as conductors and visualizers. Cloud relay enables remote join.</w:t>
      </w:r>
    </w:p>
    <w:p>
      <w:pPr/>
      <w:r>
        <w:rPr>
          <w:b/>
        </w:rPr>
        <w:t xml:space="preserve">Roles &amp; Remote Operation design pass is queued for v0.2.x, after the remaining beta-scope tests reach clinical fidelity. It will cover:</w:t>
      </w:r>
    </w:p>
    <w:p>
      <w:pPr>
        <w:numPr>
          <w:ilvl w:val="0"/>
          <w:numId w:val="1"/>
        </w:numPr>
      </w:pPr>
      <w:r>
        <w:t xml:space="preserve">Role indicator in the application chrome.</w:t>
      </w:r>
    </w:p>
    <w:p>
      <w:pPr>
        <w:numPr>
          <w:ilvl w:val="0"/>
          <w:numId w:val="1"/>
        </w:numPr>
      </w:pPr>
      <w:r>
        <w:t xml:space="preserve">Permissions model: which actions are Technician-allowed vs. Doctor-only.</w:t>
      </w:r>
    </w:p>
    <w:p>
      <w:pPr>
        <w:numPr>
          <w:ilvl w:val="0"/>
          <w:numId w:val="1"/>
        </w:numPr>
      </w:pPr>
      <w:r>
        <w:t xml:space="preserve">Pending certification exam status across Dashboard, Patient profile, and a new Review Queue.</w:t>
      </w:r>
    </w:p>
    <w:p>
      <w:pPr>
        <w:numPr>
          <w:ilvl w:val="0"/>
          <w:numId w:val="1"/>
        </w:numPr>
      </w:pPr>
      <w:r>
        <w:t xml:space="preserve">Live-join entry point for doctors observing tablets.</w:t>
      </w:r>
    </w:p>
    <w:p>
      <w:pPr>
        <w:numPr>
          <w:ilvl w:val="0"/>
          <w:numId w:val="1"/>
        </w:numPr>
      </w:pPr>
      <w:r>
        <w:t xml:space="preserve">Concurrent control model when both tech and doctor are connected.</w:t>
      </w:r>
    </w:p>
    <w:p>
      <w:pPr>
        <w:numPr>
          <w:ilvl w:val="0"/>
          <w:numId w:val="1"/>
        </w:numPr>
      </w:pPr>
      <w:r>
        <w:t xml:space="preserve">Doctor-arrived indicator on the tech's tablet during a live exam.</w:t>
      </w:r>
    </w:p>
    <w:p>
      <w:pPr>
        <w:pStyle w:val="Heading2"/>
      </w:pPr>
      <w:r>
        <w:t xml:space="preserve">10. Design system summary</w:t>
      </w:r>
    </w:p>
    <w:p>
      <w:pPr/>
      <w:r>
        <w:rPr>
          <w:b/>
        </w:rPr>
        <w:t xml:space="preserve">Colour tokens:</w:t>
      </w:r>
    </w:p>
    <w:tbl>
      <w:tblPr>
        <w:tblW w:w="0" w:type="auto"/>
        <w:tblBorders>
          <w:top w:val="single" w:sz="4" w:color="D0D5DB"/>
          <w:left w:val="single" w:sz="4" w:color="D0D5DB"/>
          <w:bottom w:val="single" w:sz="4" w:color="D0D5DB"/>
          <w:right w:val="single" w:sz="4" w:color="D0D5DB"/>
          <w:insideH w:val="single" w:sz="4" w:color="D0D5DB"/>
          <w:insideV w:val="single" w:sz="4" w:color="D0D5DB"/>
        </w:tblBorders>
      </w:tblPr>
      <w:tr>
        <w:tc>
          <w:tcPr>
            <w:tcW w:w="0" w:type="auto"/>
            <w:shd w:val="clear" w:color="auto" w:fill="0E2F5E"/>
          </w:tcPr>
          <w:p>
            <w:pPr/>
            <w:r>
              <w:rPr>
                <w:b/>
                <w:sz w:val="18"/>
                <w:color w:val="FFFFFF"/>
              </w:rPr>
              <w:t xml:space="preserve">Token</w:t>
            </w:r>
          </w:p>
        </w:tc>
        <w:tc>
          <w:tcPr>
            <w:tcW w:w="0" w:type="auto"/>
            <w:shd w:val="clear" w:color="auto" w:fill="0E2F5E"/>
          </w:tcPr>
          <w:p>
            <w:pPr/>
            <w:r>
              <w:rPr>
                <w:b/>
                <w:sz w:val="18"/>
                <w:color w:val="FFFFFF"/>
              </w:rPr>
              <w:t xml:space="preserve">Hex</w:t>
            </w:r>
          </w:p>
        </w:tc>
        <w:tc>
          <w:tcPr>
            <w:tcW w:w="0" w:type="auto"/>
            <w:shd w:val="clear" w:color="auto" w:fill="0E2F5E"/>
          </w:tcPr>
          <w:p>
            <w:pPr/>
            <w:r>
              <w:rPr>
                <w:b/>
                <w:sz w:val="18"/>
                <w:color w:val="FFFFFF"/>
              </w:rPr>
              <w:t xml:space="preserve">Usage</w:t>
            </w:r>
          </w:p>
        </w:tc>
      </w:tr>
      <w:tr>
        <w:tc>
          <w:tcPr>
            <w:tcW w:w="0" w:type="auto"/>
          </w:tcPr>
          <w:p>
            <w:pPr/>
            <w:r>
              <w:rPr>
                <w:sz w:val="18"/>
              </w:rPr>
              <w:t xml:space="preserve">Navy (primary chrome)</w:t>
            </w:r>
          </w:p>
        </w:tc>
        <w:tc>
          <w:tcPr>
            <w:tcW w:w="0" w:type="auto"/>
          </w:tcPr>
          <w:p>
            <w:pPr/>
            <w:r>
              <w:rPr>
                <w:sz w:val="18"/>
              </w:rPr>
              <w:t xml:space="preserve">#0E2F5E</w:t>
            </w:r>
          </w:p>
        </w:tc>
        <w:tc>
          <w:tcPr>
            <w:tcW w:w="0" w:type="auto"/>
          </w:tcPr>
          <w:p>
            <w:pPr/>
            <w:r>
              <w:rPr>
                <w:sz w:val="18"/>
              </w:rPr>
              <w:t xml:space="preserve">Sidebar, login left panel, dark headers, table headers.</w:t>
            </w:r>
          </w:p>
        </w:tc>
      </w:tr>
      <w:tr>
        <w:tc>
          <w:tcPr>
            <w:tcW w:w="0" w:type="auto"/>
          </w:tcPr>
          <w:p>
            <w:pPr/>
            <w:r>
              <w:rPr>
                <w:sz w:val="18"/>
              </w:rPr>
              <w:t xml:space="preserve">Accent (xoExam blue)</w:t>
            </w:r>
          </w:p>
        </w:tc>
        <w:tc>
          <w:tcPr>
            <w:tcW w:w="0" w:type="auto"/>
          </w:tcPr>
          <w:p>
            <w:pPr/>
            <w:r>
              <w:rPr>
                <w:sz w:val="18"/>
              </w:rPr>
              <w:t xml:space="preserve">#1F8EFF</w:t>
            </w:r>
          </w:p>
        </w:tc>
        <w:tc>
          <w:tcPr>
            <w:tcW w:w="0" w:type="auto"/>
          </w:tcPr>
          <w:p>
            <w:pPr/>
            <w:r>
              <w:rPr>
                <w:sz w:val="18"/>
              </w:rPr>
              <w:t xml:space="preserve">Primary interactive colour. Buttons, focus rings, active states.</w:t>
            </w:r>
          </w:p>
        </w:tc>
      </w:tr>
      <w:tr>
        <w:tc>
          <w:tcPr>
            <w:tcW w:w="0" w:type="auto"/>
          </w:tcPr>
          <w:p>
            <w:pPr/>
            <w:r>
              <w:rPr>
                <w:sz w:val="18"/>
              </w:rPr>
              <w:t xml:space="preserve">Royal blue (xoIris)</w:t>
            </w:r>
          </w:p>
        </w:tc>
        <w:tc>
          <w:tcPr>
            <w:tcW w:w="0" w:type="auto"/>
          </w:tcPr>
          <w:p>
            <w:pPr/>
            <w:r>
              <w:rPr>
                <w:sz w:val="18"/>
              </w:rPr>
              <w:t xml:space="preserve">#155BCC</w:t>
            </w:r>
          </w:p>
        </w:tc>
        <w:tc>
          <w:tcPr>
            <w:tcW w:w="0" w:type="auto"/>
          </w:tcPr>
          <w:p>
            <w:pPr/>
            <w:r>
              <w:rPr>
                <w:sz w:val="18"/>
              </w:rPr>
              <w:t xml:space="preserve">xoIris product colour only.</w:t>
            </w:r>
          </w:p>
        </w:tc>
      </w:tr>
      <w:tr>
        <w:tc>
          <w:tcPr>
            <w:tcW w:w="0" w:type="auto"/>
          </w:tcPr>
          <w:p>
            <w:pPr/>
            <w:r>
              <w:rPr>
                <w:sz w:val="18"/>
              </w:rPr>
              <w:t xml:space="preserve">Teal (xoFit)</w:t>
            </w:r>
          </w:p>
        </w:tc>
        <w:tc>
          <w:tcPr>
            <w:tcW w:w="0" w:type="auto"/>
          </w:tcPr>
          <w:p>
            <w:pPr/>
            <w:r>
              <w:rPr>
                <w:sz w:val="18"/>
              </w:rPr>
              <w:t xml:space="preserve">#05C1BC</w:t>
            </w:r>
          </w:p>
        </w:tc>
        <w:tc>
          <w:tcPr>
            <w:tcW w:w="0" w:type="auto"/>
          </w:tcPr>
          <w:p>
            <w:pPr/>
            <w:r>
              <w:rPr>
                <w:sz w:val="18"/>
              </w:rPr>
              <w:t xml:space="preserve">xoFit product colour only.</w:t>
            </w:r>
          </w:p>
        </w:tc>
      </w:tr>
      <w:tr>
        <w:tc>
          <w:tcPr>
            <w:tcW w:w="0" w:type="auto"/>
          </w:tcPr>
          <w:p>
            <w:pPr/>
            <w:r>
              <w:rPr>
                <w:sz w:val="18"/>
              </w:rPr>
              <w:t xml:space="preserve">Green (xoLab)</w:t>
            </w:r>
          </w:p>
        </w:tc>
        <w:tc>
          <w:tcPr>
            <w:tcW w:w="0" w:type="auto"/>
          </w:tcPr>
          <w:p>
            <w:pPr/>
            <w:r>
              <w:rPr>
                <w:sz w:val="18"/>
              </w:rPr>
              <w:t xml:space="preserve">#75D647</w:t>
            </w:r>
          </w:p>
        </w:tc>
        <w:tc>
          <w:tcPr>
            <w:tcW w:w="0" w:type="auto"/>
          </w:tcPr>
          <w:p>
            <w:pPr/>
            <w:r>
              <w:rPr>
                <w:sz w:val="18"/>
              </w:rPr>
              <w:t xml:space="preserve">xoLab product colour only.</w:t>
            </w:r>
          </w:p>
        </w:tc>
      </w:tr>
      <w:tr>
        <w:tc>
          <w:tcPr>
            <w:tcW w:w="0" w:type="auto"/>
          </w:tcPr>
          <w:p>
            <w:pPr/>
            <w:r>
              <w:rPr>
                <w:sz w:val="18"/>
              </w:rPr>
              <w:t xml:space="preserve">Background</w:t>
            </w:r>
          </w:p>
        </w:tc>
        <w:tc>
          <w:tcPr>
            <w:tcW w:w="0" w:type="auto"/>
          </w:tcPr>
          <w:p>
            <w:pPr/>
            <w:r>
              <w:rPr>
                <w:sz w:val="18"/>
              </w:rPr>
              <w:t xml:space="preserve">#F9FAFB</w:t>
            </w:r>
          </w:p>
        </w:tc>
        <w:tc>
          <w:tcPr>
            <w:tcW w:w="0" w:type="auto"/>
          </w:tcPr>
          <w:p>
            <w:pPr/>
            <w:r>
              <w:rPr>
                <w:sz w:val="18"/>
              </w:rPr>
              <w:t xml:space="preserve">App background.</w:t>
            </w:r>
          </w:p>
        </w:tc>
      </w:tr>
      <w:tr>
        <w:tc>
          <w:tcPr>
            <w:tcW w:w="0" w:type="auto"/>
          </w:tcPr>
          <w:p>
            <w:pPr/>
            <w:r>
              <w:rPr>
                <w:sz w:val="18"/>
              </w:rPr>
              <w:t xml:space="preserve">Card / surface</w:t>
            </w:r>
          </w:p>
        </w:tc>
        <w:tc>
          <w:tcPr>
            <w:tcW w:w="0" w:type="auto"/>
          </w:tcPr>
          <w:p>
            <w:pPr/>
            <w:r>
              <w:rPr>
                <w:sz w:val="18"/>
              </w:rPr>
              <w:t xml:space="preserve">#FFFFFF</w:t>
            </w:r>
          </w:p>
        </w:tc>
        <w:tc>
          <w:tcPr>
            <w:tcW w:w="0" w:type="auto"/>
          </w:tcPr>
          <w:p>
            <w:pPr/>
            <w:r>
              <w:rPr>
                <w:sz w:val="18"/>
              </w:rPr>
              <w:t xml:space="preserve">Cards, panels.</w:t>
            </w:r>
          </w:p>
        </w:tc>
      </w:tr>
      <w:tr>
        <w:tc>
          <w:tcPr>
            <w:tcW w:w="0" w:type="auto"/>
          </w:tcPr>
          <w:p>
            <w:pPr/>
            <w:r>
              <w:rPr>
                <w:sz w:val="18"/>
              </w:rPr>
              <w:t xml:space="preserve">Border</w:t>
            </w:r>
          </w:p>
        </w:tc>
        <w:tc>
          <w:tcPr>
            <w:tcW w:w="0" w:type="auto"/>
          </w:tcPr>
          <w:p>
            <w:pPr/>
            <w:r>
              <w:rPr>
                <w:sz w:val="18"/>
              </w:rPr>
              <w:t xml:space="preserve">#E5E7EB</w:t>
            </w:r>
          </w:p>
        </w:tc>
        <w:tc>
          <w:tcPr>
            <w:tcW w:w="0" w:type="auto"/>
          </w:tcPr>
          <w:p>
            <w:pPr/>
            <w:r>
              <w:rPr>
                <w:sz w:val="18"/>
              </w:rPr>
              <w:t xml:space="preserve">Dividers, card borders.</w:t>
            </w:r>
          </w:p>
        </w:tc>
      </w:tr>
      <w:tr>
        <w:tc>
          <w:tcPr>
            <w:tcW w:w="0" w:type="auto"/>
          </w:tcPr>
          <w:p>
            <w:pPr/>
            <w:r>
              <w:rPr>
                <w:sz w:val="18"/>
              </w:rPr>
              <w:t xml:space="preserve">Text primary</w:t>
            </w:r>
          </w:p>
        </w:tc>
        <w:tc>
          <w:tcPr>
            <w:tcW w:w="0" w:type="auto"/>
          </w:tcPr>
          <w:p>
            <w:pPr/>
            <w:r>
              <w:rPr>
                <w:sz w:val="18"/>
              </w:rPr>
              <w:t xml:space="preserve">#111827</w:t>
            </w:r>
          </w:p>
        </w:tc>
        <w:tc>
          <w:tcPr>
            <w:tcW w:w="0" w:type="auto"/>
          </w:tcPr>
          <w:p>
            <w:pPr/>
            <w:r>
              <w:rPr>
                <w:sz w:val="18"/>
              </w:rPr>
              <w:t xml:space="preserve">Headings, primary content.</w:t>
            </w:r>
          </w:p>
        </w:tc>
      </w:tr>
      <w:tr>
        <w:tc>
          <w:tcPr>
            <w:tcW w:w="0" w:type="auto"/>
          </w:tcPr>
          <w:p>
            <w:pPr/>
            <w:r>
              <w:rPr>
                <w:sz w:val="18"/>
              </w:rPr>
              <w:t xml:space="preserve">Text muted</w:t>
            </w:r>
          </w:p>
        </w:tc>
        <w:tc>
          <w:tcPr>
            <w:tcW w:w="0" w:type="auto"/>
          </w:tcPr>
          <w:p>
            <w:pPr/>
            <w:r>
              <w:rPr>
                <w:sz w:val="18"/>
              </w:rPr>
              <w:t xml:space="preserve">#9CA3AF</w:t>
            </w:r>
          </w:p>
        </w:tc>
        <w:tc>
          <w:tcPr>
            <w:tcW w:w="0" w:type="auto"/>
          </w:tcPr>
          <w:p>
            <w:pPr/>
            <w:r>
              <w:rPr>
                <w:sz w:val="18"/>
              </w:rPr>
              <w:t xml:space="preserve">Labels, metadata.</w:t>
            </w:r>
          </w:p>
        </w:tc>
      </w:tr>
    </w:tbl>
    <w:p>
      <w:pPr/>
      <w:r>
        <w:rPr>
          <w:i/>
        </w:rPr>
        <w:t xml:space="preserve">RAG palette (Red / Amber / Green) is reserved for clinical alerts, status pills, and severity indicators only. Do not use these colours for general UI styling.</w:t>
      </w:r>
    </w:p>
    <w:p>
      <w:pPr/>
      <w:r>
        <w:rPr>
          <w:b/>
        </w:rPr>
        <w:t xml:space="preserve">Typography: Nunito Sans only. Weights 300 / 400 / 700. Minimum 11px. Touch targets ≥ 44px.</w:t>
      </w:r>
    </w:p>
    <w:p>
      <w:pPr/>
      <w:r>
        <w:rPr>
          <w:b/>
        </w:rPr>
        <w:t xml:space="preserve">No gradients. Solid accent backgrounds throughout.</w:t>
      </w:r>
    </w:p>
    <w:p>
      <w:pPr>
        <w:pStyle w:val="Heading2"/>
      </w:pPr>
      <w:r>
        <w:t xml:space="preserve">11. Integration touchpoints</w:t>
      </w:r>
    </w:p>
    <w:p>
      <w:pPr/>
      <w:r>
        <w:t xml:space="preserve">Points where engineering wiring meets the UI/UX surface. Each item must be resolved before clinical workflows can run end-to-end.</w:t>
      </w:r>
    </w:p>
    <w:p>
      <w:pPr>
        <w:numPr>
          <w:ilvl w:val="0"/>
          <w:numId w:val="1"/>
        </w:numPr>
      </w:pPr>
      <w:r>
        <w:t xml:space="preserve">1. Authentication — login flow, session timeout, user-role storage. Required before Doctor sign-off enforcement.</w:t>
      </w:r>
    </w:p>
    <w:p>
      <w:pPr>
        <w:numPr>
          <w:ilvl w:val="0"/>
          <w:numId w:val="1"/>
        </w:numPr>
      </w:pPr>
      <w:r>
        <w:t xml:space="preserve">2. Patient identity confirmation — pre-exam handshake screen. Regulatory decision pending.</w:t>
      </w:r>
    </w:p>
    <w:p>
      <w:pPr>
        <w:numPr>
          <w:ilvl w:val="0"/>
          <w:numId w:val="1"/>
        </w:numPr>
      </w:pPr>
      <w:r>
        <w:t xml:space="preserve">3. Device pairing — Bluetooth/Wi-Fi flow surfaced through DevicesPage and Manual Control.</w:t>
      </w:r>
    </w:p>
    <w:p>
      <w:pPr>
        <w:numPr>
          <w:ilvl w:val="0"/>
          <w:numId w:val="1"/>
        </w:numPr>
      </w:pPr>
      <w:r>
        <w:t xml:space="preserve">4. Hardware-to-UI event contract — highest-priority engineering decision. Defines event vocabulary the headset emits and the UI consumes.</w:t>
      </w:r>
    </w:p>
    <w:p>
      <w:pPr>
        <w:numPr>
          <w:ilvl w:val="0"/>
          <w:numId w:val="1"/>
        </w:numPr>
      </w:pPr>
      <w:r>
        <w:t xml:space="preserve">5. Live camera feed — WebRTC or native bridge surface for eye-feed view (LiveFeedPage, Manual Control, several exam screens).</w:t>
      </w:r>
    </w:p>
    <w:p>
      <w:pPr>
        <w:numPr>
          <w:ilvl w:val="0"/>
          <w:numId w:val="1"/>
        </w:numPr>
      </w:pPr>
      <w:r>
        <w:t xml:space="preserve">6. Patient clicker — wireless response button paired to the headset, emits press events with millisecond timestamps. Headset-paired, not tablet-paired.</w:t>
      </w:r>
    </w:p>
    <w:p>
      <w:pPr>
        <w:numPr>
          <w:ilvl w:val="0"/>
          <w:numId w:val="1"/>
        </w:numPr>
      </w:pPr>
      <w:r>
        <w:t xml:space="preserve">7. Cloud sync of exam results — Certify &amp; close currently invokes onBack as a placeholder; wire to EHR write.</w:t>
      </w:r>
    </w:p>
    <w:p>
      <w:pPr>
        <w:numPr>
          <w:ilvl w:val="0"/>
          <w:numId w:val="1"/>
        </w:numPr>
      </w:pPr>
      <w:r>
        <w:t xml:space="preserve">8. Export mechanism — PDF / printable / EHR export from report screen. Format and destination TBD.</w:t>
      </w:r>
    </w:p>
    <w:p>
      <w:pPr>
        <w:numPr>
          <w:ilvl w:val="0"/>
          <w:numId w:val="1"/>
        </w:numPr>
      </w:pPr>
      <w:r>
        <w:t xml:space="preserve">9. Remote join — doctor opens tablet/desktop and sees in-progress exam to join. UI screens queued for v0.2.x.</w:t>
      </w:r>
    </w:p>
    <w:p>
      <w:pPr>
        <w:numPr>
          <w:ilvl w:val="0"/>
          <w:numId w:val="1"/>
        </w:numPr>
      </w:pPr>
      <w:r>
        <w:t xml:space="preserve">10. Error and loading states — prototype assumes happy-path; engineering owns spinners, retry flows, error toasts after the event contract lands.</w:t>
      </w:r>
    </w:p>
    <w:p>
      <w:pPr>
        <w:pStyle w:val="Heading2"/>
      </w:pPr>
      <w:r>
        <w:t xml:space="preserve">12. Open decisions — engineering kickoff agenda</w:t>
      </w:r>
    </w:p>
    <w:p>
      <w:pPr/>
      <w:r>
        <w:t xml:space="preserve">Items needing a decision (engineering + clinical + product) before subsequent work can proceed. Agenda for the next MPR + Xenon working session.</w:t>
      </w:r>
    </w:p>
    <w:p>
      <w:pPr>
        <w:numPr>
          <w:ilvl w:val="0"/>
          <w:numId w:val="1"/>
        </w:numPr>
      </w:pPr>
      <w:r>
        <w:t xml:space="preserve">1. Hardware-to-UI event contract (HIGHEST PRIORITY) — event vocabulary, payload shapes, timing guarantees.</w:t>
      </w:r>
    </w:p>
    <w:p>
      <w:pPr>
        <w:numPr>
          <w:ilvl w:val="0"/>
          <w:numId w:val="1"/>
        </w:numPr>
      </w:pPr>
      <w:r>
        <w:t xml:space="preserve">2. Per-test data persistence schema — local DB vs. cloud-only vs. sync; required fields per test.</w:t>
      </w:r>
    </w:p>
    <w:p>
      <w:pPr>
        <w:numPr>
          <w:ilvl w:val="0"/>
          <w:numId w:val="1"/>
        </w:numPr>
      </w:pPr>
      <w:r>
        <w:t xml:space="preserve">3. Authentication model — provider, MFA, session timeout, biometric unlock.</w:t>
      </w:r>
    </w:p>
    <w:p>
      <w:pPr>
        <w:numPr>
          <w:ilvl w:val="0"/>
          <w:numId w:val="1"/>
        </w:numPr>
      </w:pPr>
      <w:r>
        <w:t xml:space="preserve">4. Doctor sign-off role gating — depends on authentication model.</w:t>
      </w:r>
    </w:p>
    <w:p>
      <w:pPr>
        <w:numPr>
          <w:ilvl w:val="0"/>
          <w:numId w:val="1"/>
        </w:numPr>
      </w:pPr>
      <w:r>
        <w:t xml:space="preserve">5. Patient identity confirmation — pre-exam screen requirement. Regulatory decision.</w:t>
      </w:r>
    </w:p>
    <w:p>
      <w:pPr>
        <w:numPr>
          <w:ilvl w:val="0"/>
          <w:numId w:val="1"/>
        </w:numPr>
      </w:pPr>
      <w:r>
        <w:t xml:space="preserve">6. Export mechanism — PDF generation, EHR formats (HL7, FHIR?), printable layouts.</w:t>
      </w:r>
    </w:p>
    <w:p>
      <w:pPr>
        <w:numPr>
          <w:ilvl w:val="0"/>
          <w:numId w:val="1"/>
        </w:numPr>
      </w:pPr>
      <w:r>
        <w:t xml:space="preserve">7. Real liquid-lens correction range — placeholder values used in Visual Field.</w:t>
      </w:r>
    </w:p>
    <w:p>
      <w:pPr>
        <w:numPr>
          <w:ilvl w:val="0"/>
          <w:numId w:val="1"/>
        </w:numPr>
      </w:pPr>
      <w:r>
        <w:t xml:space="preserve">8. GHT compute location — firmware vs. cloud-side compute for Visual Field Glaucoma Hemifield Test.</w:t>
      </w:r>
    </w:p>
    <w:p>
      <w:pPr>
        <w:numPr>
          <w:ilvl w:val="0"/>
          <w:numId w:val="1"/>
        </w:numPr>
      </w:pPr>
      <w:r>
        <w:t xml:space="preserve">9. Point counts for proprietary screen and gold Visual Field patterns — confirm with firmware.</w:t>
      </w:r>
    </w:p>
    <w:p>
      <w:pPr>
        <w:numPr>
          <w:ilvl w:val="0"/>
          <w:numId w:val="1"/>
        </w:numPr>
      </w:pPr>
      <w:r>
        <w:t xml:space="preserve">10. Wavefront analysis-diameter range — 6.0 mm used; confirm Hartmann-Shack sensor range.</w:t>
      </w:r>
    </w:p>
    <w:p>
      <w:pPr>
        <w:numPr>
          <w:ilvl w:val="0"/>
          <w:numId w:val="1"/>
        </w:numPr>
      </w:pPr>
      <w:r>
        <w:t xml:space="preserve">11. Wavefront Zernike output format — full coefficient vector or summary metrics only.</w:t>
      </w:r>
    </w:p>
    <w:p>
      <w:pPr>
        <w:numPr>
          <w:ilvl w:val="0"/>
          <w:numId w:val="1"/>
        </w:numPr>
      </w:pPr>
      <w:r>
        <w:t xml:space="preserve">12. Wavefront colour-scale range — prototype legend uses ±60 μm; confirm firmware-emitted range.</w:t>
      </w:r>
    </w:p>
    <w:p>
      <w:pPr>
        <w:numPr>
          <w:ilvl w:val="0"/>
          <w:numId w:val="1"/>
        </w:numPr>
      </w:pPr>
      <w:r>
        <w:t xml:space="preserve">13. Concurrent control model for remote operation — when both tech and doctor connected, who controls.</w:t>
      </w:r>
    </w:p>
    <w:p>
      <w:pPr>
        <w:pStyle w:val="Heading2"/>
      </w:pPr>
      <w:r>
        <w:t xml:space="preserve">13. Per-test clinical specifications</w:t>
      </w:r>
    </w:p>
    <w:p>
      <w:pPr/>
      <w:r>
        <w:t xml:space="preserve">Tests at clinical fidelity have a corresponding v2 specification in briefs/. Tests not listed are at visual-only fidelity and have no formal spec yet.</w:t>
      </w:r>
    </w:p>
    <w:p>
      <w:pPr>
        <w:numPr>
          <w:ilvl w:val="0"/>
          <w:numId w:val="1"/>
        </w:numPr>
      </w:pPr>
      <w:r>
        <w:t xml:space="preserve">briefs/VisualField_Clinical_Spec_v2.md (v0.1.8) — Visual Fields, HFA-aligned, includes GHT and reliability bands.</w:t>
      </w:r>
    </w:p>
    <w:p>
      <w:pPr>
        <w:numPr>
          <w:ilvl w:val="0"/>
          <w:numId w:val="1"/>
        </w:numPr>
      </w:pPr>
      <w:r>
        <w:t xml:space="preserve">briefs/WavefrontAberrometry_Clinical_Spec_v2.md (v0.1.9, current) — Wavefront Aberrometry, 6mm analysis standard, Zernike Z₄⁰ notation.</w:t>
      </w:r>
    </w:p>
    <w:p>
      <w:pPr/>
      <w:r>
        <w:t xml:space="preserve">VA (v0.1.4) and CV (v0.1.7) reached clinical fidelity before the formal spec format was introduced — their reasoning lives in the CLAUDE.md version log. Spec docs for VA and CV are queued for backfill at a future milestone.</w:t>
      </w:r>
    </w:p>
    <w:p>
      <w:pPr>
        <w:pStyle w:val="Heading2"/>
      </w:pPr>
      <w:r>
        <w:t xml:space="preserve">14. Asset inventory</w:t>
      </w:r>
    </w:p>
    <w:p>
      <w:pPr/>
      <w:r>
        <w:t xml:space="preserve">Project assets live in /assets:</w:t>
      </w:r>
    </w:p>
    <w:p>
      <w:pPr>
        <w:numPr>
          <w:ilvl w:val="0"/>
          <w:numId w:val="1"/>
        </w:numPr>
      </w:pPr>
      <w:r>
        <w:t xml:space="preserve">xo-vision-care-logo-dark.png — login screen, on navy</w:t>
      </w:r>
    </w:p>
    <w:p>
      <w:pPr>
        <w:numPr>
          <w:ilvl w:val="0"/>
          <w:numId w:val="1"/>
        </w:numPr>
      </w:pPr>
      <w:r>
        <w:t xml:space="preserve">xo-exam-logo.png — xoExam product card</w:t>
      </w:r>
    </w:p>
    <w:p>
      <w:pPr>
        <w:numPr>
          <w:ilvl w:val="0"/>
          <w:numId w:val="1"/>
        </w:numPr>
      </w:pPr>
      <w:r>
        <w:t xml:space="preserve">xo-iris-logo.png — xoIris product card</w:t>
      </w:r>
    </w:p>
    <w:p>
      <w:pPr>
        <w:numPr>
          <w:ilvl w:val="0"/>
          <w:numId w:val="1"/>
        </w:numPr>
      </w:pPr>
      <w:r>
        <w:t xml:space="preserve">xo-fit-logo.png — xoFit product card</w:t>
      </w:r>
    </w:p>
    <w:p>
      <w:pPr>
        <w:numPr>
          <w:ilvl w:val="0"/>
          <w:numId w:val="1"/>
        </w:numPr>
      </w:pPr>
      <w:r>
        <w:t xml:space="preserve">xo-lab-logo.png — xoLab product card</w:t>
      </w:r>
    </w:p>
    <w:p>
      <w:pPr>
        <w:numPr>
          <w:ilvl w:val="0"/>
          <w:numId w:val="1"/>
        </w:numPr>
      </w:pPr>
      <w:r>
        <w:t xml:space="preserve">xenon-logo.png / .svg / -dark variants — general Xenon Ophthalmics branding</w:t>
      </w:r>
    </w:p>
    <w:p>
      <w:pPr>
        <w:numPr>
          <w:ilvl w:val="0"/>
          <w:numId w:val="1"/>
        </w:numPr>
      </w:pPr>
      <w:r>
        <w:t xml:space="preserve">d15-icon-circle.png — D-15 Farnsworth test icon (Color Vision)</w:t>
      </w:r>
    </w:p>
    <w:p>
      <w:pPr>
        <w:numPr>
          <w:ilvl w:val="0"/>
          <w:numId w:val="1"/>
        </w:numPr>
      </w:pPr>
      <w:r>
        <w:t xml:space="preserve">xo-fit-marketing.jpg, xo-lab-marketing.jpg — product marketing imagery for the Doctor profile</w:t>
      </w:r>
    </w:p>
    <w:p>
      <w:pPr>
        <w:numPr>
          <w:ilvl w:val="0"/>
          <w:numId w:val="1"/>
        </w:numPr>
      </w:pPr>
      <w:r>
        <w:t xml:space="preserve">/assets/ishihara/ — Ishihara plate images 1-4 (licensed); plates 5-24 render as procedurally-generated placeholders</w:t>
      </w:r>
    </w:p>
    <w:p>
      <w:pPr>
        <w:pStyle w:val="Heading2"/>
      </w:pPr>
      <w:r>
        <w:t xml:space="preserve">15. Regulatory acknowledgment</w:t>
      </w:r>
    </w:p>
    <w:p>
      <w:pPr/>
      <w:r>
        <w:t xml:space="preserve">The Method UI/UX prototype is the design and interaction reference for the xoExam product. It is not a medical device, has not been cleared by any regulatory body (FDA, MDR, etc.), and must not be used for clinical decision-making in its current form.</w:t>
      </w:r>
    </w:p>
    <w:p>
      <w:pPr/>
      <w:r>
        <w:t xml:space="preserve">Method's scope ends at the visual and interaction layer. The following are explicitly engineering responsibilities and outside Method's deliverable:</w:t>
      </w:r>
    </w:p>
    <w:p>
      <w:pPr>
        <w:numPr>
          <w:ilvl w:val="0"/>
          <w:numId w:val="1"/>
        </w:numPr>
      </w:pPr>
      <w:r>
        <w:t xml:space="preserve">HIPAA-compliant data storage and transmission</w:t>
      </w:r>
    </w:p>
    <w:p>
      <w:pPr>
        <w:numPr>
          <w:ilvl w:val="0"/>
          <w:numId w:val="1"/>
        </w:numPr>
      </w:pPr>
      <w:r>
        <w:t xml:space="preserve">GDPR / regional data-residency compliance</w:t>
      </w:r>
    </w:p>
    <w:p>
      <w:pPr>
        <w:numPr>
          <w:ilvl w:val="0"/>
          <w:numId w:val="1"/>
        </w:numPr>
      </w:pPr>
      <w:r>
        <w:t xml:space="preserve">Audit logging of clinical actions</w:t>
      </w:r>
    </w:p>
    <w:p>
      <w:pPr>
        <w:numPr>
          <w:ilvl w:val="0"/>
          <w:numId w:val="1"/>
        </w:numPr>
      </w:pPr>
      <w:r>
        <w:t xml:space="preserve">Authentication, access control, and session security</w:t>
      </w:r>
    </w:p>
    <w:p>
      <w:pPr>
        <w:numPr>
          <w:ilvl w:val="0"/>
          <w:numId w:val="1"/>
        </w:numPr>
      </w:pPr>
      <w:r>
        <w:t xml:space="preserve">Encryption at rest and in transit</w:t>
      </w:r>
    </w:p>
    <w:p>
      <w:pPr>
        <w:numPr>
          <w:ilvl w:val="0"/>
          <w:numId w:val="1"/>
        </w:numPr>
      </w:pPr>
      <w:r>
        <w:t xml:space="preserve">FDA 510(k) submission, MDR / IVDR compliance, ISO 13485 quality management</w:t>
      </w:r>
    </w:p>
    <w:p>
      <w:pPr>
        <w:numPr>
          <w:ilvl w:val="0"/>
          <w:numId w:val="1"/>
        </w:numPr>
      </w:pPr>
      <w:r>
        <w:t xml:space="preserve">IEC 62304 software lifecycle for medical devices</w:t>
      </w:r>
    </w:p>
    <w:p>
      <w:pPr>
        <w:numPr>
          <w:ilvl w:val="0"/>
          <w:numId w:val="1"/>
        </w:numPr>
      </w:pPr>
      <w:r>
        <w:t xml:space="preserve">Penetration testing, security audits, vulnerability disclosure programmes</w:t>
      </w:r>
    </w:p>
    <w:p>
      <w:pPr>
        <w:numPr>
          <w:ilvl w:val="0"/>
          <w:numId w:val="1"/>
        </w:numPr>
      </w:pPr>
      <w:r>
        <w:t xml:space="preserve">Disaster recovery, business continuity, data export-on-demand</w:t>
      </w:r>
    </w:p>
    <w:p>
      <w:pPr>
        <w:pStyle w:val="Heading2"/>
      </w:pPr>
      <w:r>
        <w:t xml:space="preserve">16. Version history of this document</w:t>
      </w:r>
    </w:p>
    <w:tbl>
      <w:tblPr>
        <w:tblW w:w="0" w:type="auto"/>
        <w:tblBorders>
          <w:top w:val="single" w:sz="4" w:color="D0D5DB"/>
          <w:left w:val="single" w:sz="4" w:color="D0D5DB"/>
          <w:bottom w:val="single" w:sz="4" w:color="D0D5DB"/>
          <w:right w:val="single" w:sz="4" w:color="D0D5DB"/>
          <w:insideH w:val="single" w:sz="4" w:color="D0D5DB"/>
          <w:insideV w:val="single" w:sz="4" w:color="D0D5DB"/>
        </w:tblBorders>
      </w:tblPr>
      <w:tr>
        <w:tc>
          <w:tcPr>
            <w:tcW w:w="0" w:type="auto"/>
            <w:shd w:val="clear" w:color="auto" w:fill="0E2F5E"/>
          </w:tcPr>
          <w:p>
            <w:pPr/>
            <w:r>
              <w:rPr>
                <w:b/>
                <w:sz w:val="18"/>
                <w:color w:val="FFFFFF"/>
              </w:rPr>
              <w:t xml:space="preserve">Version</w:t>
            </w:r>
          </w:p>
        </w:tc>
        <w:tc>
          <w:tcPr>
            <w:tcW w:w="0" w:type="auto"/>
            <w:shd w:val="clear" w:color="auto" w:fill="0E2F5E"/>
          </w:tcPr>
          <w:p>
            <w:pPr/>
            <w:r>
              <w:rPr>
                <w:b/>
                <w:sz w:val="18"/>
                <w:color w:val="FFFFFF"/>
              </w:rPr>
              <w:t xml:space="preserve">Date</w:t>
            </w:r>
          </w:p>
        </w:tc>
        <w:tc>
          <w:tcPr>
            <w:tcW w:w="0" w:type="auto"/>
            <w:shd w:val="clear" w:color="auto" w:fill="0E2F5E"/>
          </w:tcPr>
          <w:p>
            <w:pPr/>
            <w:r>
              <w:rPr>
                <w:b/>
                <w:sz w:val="18"/>
                <w:color w:val="FFFFFF"/>
              </w:rPr>
              <w:t xml:space="preserve">Summary</w:t>
            </w:r>
          </w:p>
        </w:tc>
      </w:tr>
      <w:tr>
        <w:tc>
          <w:tcPr>
            <w:tcW w:w="0" w:type="auto"/>
          </w:tcPr>
          <w:p>
            <w:pPr/>
            <w:r>
              <w:rPr>
                <w:sz w:val="18"/>
              </w:rPr>
              <w:t xml:space="preserve">v0.1.8</w:t>
            </w:r>
          </w:p>
        </w:tc>
        <w:tc>
          <w:tcPr>
            <w:tcW w:w="0" w:type="auto"/>
          </w:tcPr>
          <w:p>
            <w:pPr/>
            <w:r>
              <w:rPr>
                <w:sz w:val="18"/>
              </w:rPr>
              <w:t xml:space="preserve">May 18, 2026</w:t>
            </w:r>
          </w:p>
        </w:tc>
        <w:tc>
          <w:tcPr>
            <w:tcW w:w="0" w:type="auto"/>
          </w:tcPr>
          <w:p>
            <w:pPr/>
            <w:r>
              <w:rPr>
                <w:sz w:val="18"/>
              </w:rPr>
              <w:t xml:space="preserve">Initial issue. 16-section structure established. Visual Fields clinical-fidelity milestone.</w:t>
            </w:r>
          </w:p>
        </w:tc>
      </w:tr>
      <w:tr>
        <w:tc>
          <w:tcPr>
            <w:tcW w:w="0" w:type="auto"/>
          </w:tcPr>
          <w:p>
            <w:pPr/>
            <w:r>
              <w:rPr>
                <w:sz w:val="18"/>
              </w:rPr>
              <w:t xml:space="preserve">v0.1.9</w:t>
            </w:r>
          </w:p>
        </w:tc>
        <w:tc>
          <w:tcPr>
            <w:tcW w:w="0" w:type="auto"/>
          </w:tcPr>
          <w:p>
            <w:pPr/>
            <w:r>
              <w:rPr>
                <w:sz w:val="18"/>
              </w:rPr>
              <w:t xml:space="preserve">May 21, 2026</w:t>
            </w:r>
          </w:p>
        </w:tc>
        <w:tc>
          <w:tcPr>
            <w:tcW w:w="0" w:type="auto"/>
          </w:tcPr>
          <w:p>
            <w:pPr/>
            <w:r>
              <w:rPr>
                <w:sz w:val="18"/>
              </w:rPr>
              <w:t xml:space="preserve">Current. Adds React Native + Kotlin portability table (§3), Doctor sign-off pattern (§8), Roles &amp; Remote Operation preview (§9), Wavefront integration touchpoints. Open-decision list grown from 11 to 13 items.</w:t>
            </w:r>
          </w:p>
        </w:tc>
      </w:tr>
    </w:tbl>
    <w:p>
      <w:pPr/>
      <w:r>
        <w:t xml:space="preserve"/>
      </w:r>
    </w:p>
    <w:p>
      <w:pPr/>
      <w:r>
        <w:rPr>
          <w:i/>
          <w:color w:val="6B7280"/>
        </w:rPr>
        <w:t xml:space="preserve">Method Marketing Agency · xoExam UI/UX Engineering Handoff Specification v0.1.9 · May 21, 2026</w:t>
      </w:r>
    </w:p>
    <w:sectPr>
      <w:pgSz w:w="12240" w:h="15840"/>
      <w:pgMar w:top="1080" w:right="1080" w:bottom="1080" w:left="108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20" w:line="288" w:lineRule="auto"/>
      </w:pPr>
    </w:pPrDefault>
  </w:docDefaults>
  <w:style w:type="paragraph" w:styleId="Heading1">
    <w:name w:val="heading 1"/>
    <w:pPr>
      <w:spacing w:before="360" w:after="160"/>
    </w:pPr>
    <w:rPr>
      <w:b/>
      <w:sz w:val="36"/>
      <w:color w:val="0E2F5E"/>
    </w:rPr>
  </w:style>
  <w:style w:type="paragraph" w:styleId="Heading2">
    <w:name w:val="heading 2"/>
    <w:pPr>
      <w:spacing w:before="280" w:after="100"/>
    </w:pPr>
    <w:rPr>
      <w:b/>
      <w:sz w:val="28"/>
      <w:color w:val="0E2F5E"/>
    </w:rPr>
  </w:style>
  <w:style w:type="paragraph" w:styleId="Heading3">
    <w:name w:val="heading 3"/>
    <w:pPr>
      <w:spacing w:before="220" w:after="80"/>
    </w:pPr>
    <w:rPr>
      <w:b/>
      <w:sz w:val="24"/>
      <w:color w:val="1F8EFF"/>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