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240" w:after="80"/>
      </w:pPr>
      <w:r>
        <w:rPr>
          <w:rFonts w:ascii="Nunito Sans" w:hAnsi="Nunito Sans"/>
          <w:b/>
          <w:sz w:val="32"/>
          <w:szCs w:val="32"/>
        </w:rPr>
        <w:t xml:space="preserve">xoExam™ UI/UX — Clinical Standards Reference</w:t>
      </w:r>
    </w:p>
    <w:p>
      <w:pPr>
        <w:spacing w:before="240" w:after="80"/>
      </w:pPr>
      <w:r>
        <w:rPr>
          <w:rFonts w:ascii="Nunito Sans" w:hAnsi="Nunito Sans"/>
          <w:b/>
          <w:sz w:val="28"/>
          <w:szCs w:val="28"/>
        </w:rPr>
        <w:t xml:space="preserve">A guide for the clinical team evaluating the prototype</w:t>
      </w:r>
    </w:p>
    <w:p>
      <w:pPr>
        <w:spacing w:before="240" w:after="80"/>
      </w:pPr>
      <w:r>
        <w:rPr>
          <w:rFonts w:ascii="Nunito Sans" w:hAnsi="Nunito Sans"/>
          <w:b/>
          <w:sz w:val="24"/>
          <w:szCs w:val="24"/>
        </w:rPr>
        <w:t xml:space="preserve">Method Marketing Agency · July 2026 · Version 0.3.0</w:t>
      </w:r>
    </w:p>
    <w:p>
      <w:pPr>
        <w:spacing w:after="0"/>
      </w:pPr>
    </w:p>
    <w:p>
      <w:pPr>
        <w:spacing w:before="60" w:after="120"/>
        <w:ind w:left="360"/>
      </w:pPr>
      <w:r>
        <w:rPr>
          <w:rFonts w:ascii="Nunito Sans" w:hAnsi="Nunito Sans"/>
          <w:b/>
          <w:i/>
          <w:sz w:val="22"/>
          <w:szCs w:val="22"/>
          <w:color w:val="444444"/>
        </w:rPr>
        <w:t xml:space="preserve">v0.3.0 note — test-catalog visibility/ordering release, no clinical change.</w:t>
      </w:r>
      <w:r>
        <w:rPr>
          <w:rFonts w:ascii="Nunito Sans" w:hAnsi="Nunito Sans"/>
          <w:i/>
          <w:sz w:val="22"/>
          <w:szCs w:val="22"/>
          <w:color w:val="444444"/>
        </w:rPr>
        <w:t xml:space="preserve"> v0.3.0 reorders the Tests selection grid to lead with a fixed clinical priority sequence (Wavefront Refraction → Visual Acuity → Wavefront Aberrometry → Color Vision → Visual Field → Extraocular Motility → Pupillometry) and hides the legacy standalone </w:t>
      </w:r>
      <w:r>
        <w:rPr>
          <w:rFonts w:ascii="Nunito Sans" w:hAnsi="Nunito Sans"/>
          <w:b/>
          <w:i/>
          <w:sz w:val="22"/>
          <w:szCs w:val="22"/>
          <w:color w:val="444444"/>
        </w:rPr>
        <w:t xml:space="preserve">Refraction</w:t>
      </w:r>
      <w:r>
        <w:rPr>
          <w:rFonts w:ascii="Nunito Sans" w:hAnsi="Nunito Sans"/>
          <w:i/>
          <w:sz w:val="22"/>
          <w:szCs w:val="22"/>
          <w:color w:val="444444"/>
        </w:rPr>
        <w:t xml:space="preserve"> placeholder from the catalog and patient launcher (the combined Wavefront Refraction supersedes it; the component and routing are retained and restorable), and also hides the Tests-page category filter, the per-card category labels, and the search box (short catalog — filtering and search not needed; restorable). No exam component, clinical algorithm, scale, scoring rule, reference standard, or report was modified. Every clinical detail in this document is unchanged from v0.2.8; the document is reissued only to keep the doc set on one unified version per the project's versioning rule.</w:t>
      </w:r>
    </w:p>
    <w:p>
      <w:pPr>
        <w:spacing w:after="0"/>
      </w:pPr>
    </w:p>
    <w:p>
      <w:pPr>
        <w:spacing w:before="60" w:after="120"/>
        <w:ind w:left="360"/>
      </w:pPr>
      <w:r>
        <w:rPr>
          <w:rFonts w:ascii="Nunito Sans" w:hAnsi="Nunito Sans"/>
          <w:i/>
          <w:sz w:val="22"/>
          <w:szCs w:val="22"/>
          <w:color w:val="444444"/>
        </w:rPr>
        <w:t xml:space="preserve">This document maps each clinically-faithful test in the xoExam™ prototype to the published clinical standards, reference protocols, and scoring conventions it has been designed against. It is intended for the clinical evaluation team (optometrists, ophthalmologists, technicians, regulatory reviewers) who will assess whether the user interface accurately reflects current clinical practice.  This is </w:t>
      </w:r>
      <w:r>
        <w:rPr>
          <w:rFonts w:ascii="Nunito Sans" w:hAnsi="Nunito Sans"/>
          <w:b/>
          <w:i/>
          <w:sz w:val="22"/>
          <w:szCs w:val="22"/>
          <w:color w:val="444444"/>
        </w:rPr>
        <w:t xml:space="preserve">not</w:t>
      </w:r>
      <w:r>
        <w:rPr>
          <w:rFonts w:ascii="Nunito Sans" w:hAnsi="Nunito Sans"/>
          <w:i/>
          <w:sz w:val="22"/>
          <w:szCs w:val="22"/>
          <w:color w:val="444444"/>
        </w:rPr>
        <w:t xml:space="preserve"> a regulatory submission, a clinical validation report, or a substitute for instrument calibration. It is a transparency document — a list of what the design adheres to so a clinician can quickly verify "does this match what I do in practice?"</w:t>
      </w:r>
    </w:p>
    <w:p>
      <w:pPr>
        <w:spacing w:after="0"/>
      </w:pPr>
    </w:p>
    <w:p>
      <w:pPr>
        <w:spacing w:before="240" w:after="80"/>
      </w:pPr>
      <w:r>
        <w:rPr>
          <w:rFonts w:ascii="Nunito Sans" w:hAnsi="Nunito Sans"/>
          <w:b/>
          <w:sz w:val="28"/>
          <w:szCs w:val="28"/>
        </w:rPr>
        <w:t xml:space="preserve">How to use this document</w:t>
      </w:r>
    </w:p>
    <w:p>
      <w:pPr>
        <w:spacing w:after="120"/>
      </w:pPr>
      <w:r>
        <w:rPr>
          <w:rFonts w:ascii="Nunito Sans" w:hAnsi="Nunito Sans"/>
          <w:sz w:val="22"/>
          <w:szCs w:val="22"/>
        </w:rPr>
        <w:t xml:space="preserve">For each test, three things are documented:</w:t>
      </w:r>
    </w:p>
    <w:p>
      <w:pPr>
        <w:spacing w:after="60"/>
        <w:ind w:left="360"/>
      </w:pPr>
      <w:r>
        <w:rPr>
          <w:rFonts w:ascii="Nunito Sans" w:hAnsi="Nunito Sans"/>
          <w:sz w:val="22"/>
          <w:szCs w:val="22"/>
        </w:rPr>
        <w:t xml:space="preserve">1. </w:t>
      </w:r>
      <w:r>
        <w:rPr>
          <w:rFonts w:ascii="Nunito Sans" w:hAnsi="Nunito Sans"/>
          <w:b/>
          <w:sz w:val="22"/>
          <w:szCs w:val="22"/>
        </w:rPr>
        <w:t xml:space="preserve">Reference standard</w:t>
      </w:r>
      <w:r>
        <w:rPr>
          <w:rFonts w:ascii="Nunito Sans" w:hAnsi="Nunito Sans"/>
          <w:sz w:val="22"/>
          <w:szCs w:val="22"/>
        </w:rPr>
        <w:t xml:space="preserve"> — the published clinical reference the test was designed against.</w:t>
      </w:r>
    </w:p>
    <w:p>
      <w:pPr>
        <w:spacing w:after="60"/>
        <w:ind w:left="360"/>
      </w:pPr>
      <w:r>
        <w:rPr>
          <w:rFonts w:ascii="Nunito Sans" w:hAnsi="Nunito Sans"/>
          <w:sz w:val="22"/>
          <w:szCs w:val="22"/>
        </w:rPr>
        <w:t xml:space="preserve">2. </w:t>
      </w:r>
      <w:r>
        <w:rPr>
          <w:rFonts w:ascii="Nunito Sans" w:hAnsi="Nunito Sans"/>
          <w:b/>
          <w:sz w:val="22"/>
          <w:szCs w:val="22"/>
        </w:rPr>
        <w:t xml:space="preserve">What's implemented</w:t>
      </w:r>
      <w:r>
        <w:rPr>
          <w:rFonts w:ascii="Nunito Sans" w:hAnsi="Nunito Sans"/>
          <w:sz w:val="22"/>
          <w:szCs w:val="22"/>
        </w:rPr>
        <w:t xml:space="preserve"> — the specific clinical conventions visible in the user interface.</w:t>
      </w:r>
    </w:p>
    <w:p>
      <w:pPr>
        <w:spacing w:after="60"/>
        <w:ind w:left="360"/>
      </w:pPr>
      <w:r>
        <w:rPr>
          <w:rFonts w:ascii="Nunito Sans" w:hAnsi="Nunito Sans"/>
          <w:sz w:val="22"/>
          <w:szCs w:val="22"/>
        </w:rPr>
        <w:t xml:space="preserve">3. </w:t>
      </w:r>
      <w:r>
        <w:rPr>
          <w:rFonts w:ascii="Nunito Sans" w:hAnsi="Nunito Sans"/>
          <w:b/>
          <w:sz w:val="22"/>
          <w:szCs w:val="22"/>
        </w:rPr>
        <w:t xml:space="preserve">Open clinical questions</w:t>
      </w:r>
      <w:r>
        <w:rPr>
          <w:rFonts w:ascii="Nunito Sans" w:hAnsi="Nunito Sans"/>
          <w:sz w:val="22"/>
          <w:szCs w:val="22"/>
        </w:rPr>
        <w:t xml:space="preserve"> — items still pending engineering or clinical decision; included so the evaluation team knows what is not yet final.</w:t>
      </w:r>
    </w:p>
    <w:p>
      <w:pPr>
        <w:spacing w:after="120"/>
      </w:pPr>
      <w:r>
        <w:rPr>
          <w:rFonts w:ascii="Nunito Sans" w:hAnsi="Nunito Sans"/>
          <w:sz w:val="22"/>
          <w:szCs w:val="22"/>
        </w:rPr>
        <w:t xml:space="preserve">Tests not listed in this guide are at </w:t>
      </w:r>
      <w:r>
        <w:rPr>
          <w:rFonts w:ascii="Nunito Sans" w:hAnsi="Nunito Sans"/>
          <w:b/>
          <w:sz w:val="22"/>
          <w:szCs w:val="22"/>
        </w:rPr>
        <w:t xml:space="preserve">visual placeholder fidelity</w:t>
      </w:r>
      <w:r>
        <w:rPr>
          <w:rFonts w:ascii="Nunito Sans" w:hAnsi="Nunito Sans"/>
          <w:sz w:val="22"/>
          <w:szCs w:val="22"/>
        </w:rPr>
        <w:t xml:space="preserve">: the UI looks correct and the screens flow correctly, but the clinical layer (scoring, scales, interpretation logic) has not yet been reviewed or rebuilt. These are flagged at the end of the guide.</w:t>
      </w:r>
    </w:p>
    <w:p>
      <w:pPr>
        <w:spacing w:after="0"/>
      </w:pPr>
    </w:p>
    <w:p>
      <w:pPr>
        <w:spacing w:before="240" w:after="80"/>
      </w:pPr>
      <w:r>
        <w:rPr>
          <w:rFonts w:ascii="Nunito Sans" w:hAnsi="Nunito Sans"/>
          <w:b/>
          <w:sz w:val="28"/>
          <w:szCs w:val="28"/>
        </w:rPr>
        <w:t xml:space="preserve">Scope of clinical fidelity in v0.3.0</w:t>
      </w:r>
    </w:p>
    <w:p>
      <w:pPr>
        <w:spacing w:before="60" w:after="120"/>
        <w:ind w:left="360"/>
      </w:pPr>
      <w:r>
        <w:rPr>
          <w:rFonts w:ascii="Nunito Sans" w:hAnsi="Nunito Sans"/>
          <w:i/>
          <w:sz w:val="22"/>
          <w:szCs w:val="22"/>
          <w:color w:val="444444"/>
        </w:rPr>
        <w:t xml:space="preserve">The xoExam UI/UX ships as one unified build. The right-hand column records </w:t>
      </w:r>
      <w:r>
        <w:rPr>
          <w:rFonts w:ascii="Nunito Sans" w:hAnsi="Nunito Sans"/>
          <w:i/>
          <w:sz w:val="22"/>
          <w:szCs w:val="22"/>
          <w:color w:val="444444"/>
        </w:rPr>
        <w:t xml:space="preserve">when each test last reached clinical fidelity</w:t>
      </w:r>
      <w:r>
        <w:rPr>
          <w:rFonts w:ascii="Nunito Sans" w:hAnsi="Nunito Sans"/>
          <w:i/>
          <w:sz w:val="22"/>
          <w:szCs w:val="22"/>
          <w:color w:val="444444"/>
        </w:rPr>
        <w:t xml:space="preserve">, not a separate version number per test.</w:t>
      </w:r>
    </w:p>
    <w:tbl>
      <w:tblPr>
        <w:tblW w:w="5000" w:type="pct"/>
        <w:tblBorders>
          <w:top w:val="single" w:sz="4" w:space="0" w:color="D9DCE1"/>
          <w:left w:val="single" w:sz="4" w:space="0" w:color="D9DCE1"/>
          <w:bottom w:val="single" w:sz="4" w:space="0" w:color="D9DCE1"/>
          <w:right w:val="single" w:sz="4" w:space="0" w:color="D9DCE1"/>
          <w:insideH w:val="single" w:sz="4" w:space="0" w:color="D9DCE1"/>
          <w:insideV w:val="single" w:sz="4" w:space="0" w:color="D9DCE1"/>
        </w:tblBorders>
        <w:tblLook w:val="04A0"/>
      </w:tblPr>
      <w:tr>
        <w:tc>
          <w:tcPr>
            <w:tcW w:w="0" w:type="auto"/>
            <w:shd w:val="clear" w:color="auto" w:fill="0E2F5E"/>
          </w:tcPr>
          <w:p>
            <w:pPr>
              <w:spacing w:before="20" w:after="20"/>
            </w:pPr>
            <w:r>
              <w:rPr>
                <w:rFonts w:ascii="Nunito Sans" w:hAnsi="Nunito Sans"/>
                <w:b/>
                <w:sz w:val="20"/>
                <w:szCs w:val="20"/>
                <w:color w:val="FFFFFF"/>
              </w:rPr>
              <w:t xml:space="preserve">Test</w:t>
            </w:r>
          </w:p>
        </w:tc>
        <w:tc>
          <w:tcPr>
            <w:tcW w:w="0" w:type="auto"/>
            <w:shd w:val="clear" w:color="auto" w:fill="0E2F5E"/>
          </w:tcPr>
          <w:p>
            <w:pPr>
              <w:spacing w:before="20" w:after="20"/>
            </w:pPr>
            <w:r>
              <w:rPr>
                <w:rFonts w:ascii="Nunito Sans" w:hAnsi="Nunito Sans"/>
                <w:b/>
                <w:sz w:val="20"/>
                <w:szCs w:val="20"/>
                <w:color w:val="FFFFFF"/>
              </w:rPr>
              <w:t xml:space="preserve">Reference standard</w:t>
            </w:r>
          </w:p>
        </w:tc>
        <w:tc>
          <w:tcPr>
            <w:tcW w:w="0" w:type="auto"/>
            <w:shd w:val="clear" w:color="auto" w:fill="0E2F5E"/>
          </w:tcPr>
          <w:p>
            <w:pPr>
              <w:spacing w:before="20" w:after="20"/>
            </w:pPr>
            <w:r>
              <w:rPr>
                <w:rFonts w:ascii="Nunito Sans" w:hAnsi="Nunito Sans"/>
                <w:b/>
                <w:sz w:val="20"/>
                <w:szCs w:val="20"/>
                <w:color w:val="FFFFFF"/>
              </w:rPr>
              <w:t xml:space="preserve">Reached clinical fidelity in</w:t>
            </w:r>
          </w:p>
        </w:tc>
      </w:tr>
      <w:tr>
        <w:tc>
          <w:tcPr>
            <w:tcW w:w="0" w:type="auto"/>
          </w:tcPr>
          <w:p>
            <w:pPr>
              <w:spacing w:before="20" w:after="20"/>
            </w:pPr>
            <w:r>
              <w:rPr>
                <w:rFonts w:ascii="Nunito Sans" w:hAnsi="Nunito Sans"/>
                <w:sz w:val="20"/>
                <w:szCs w:val="20"/>
              </w:rPr>
              <w:t xml:space="preserve">Visual Acuity</w:t>
            </w:r>
          </w:p>
        </w:tc>
        <w:tc>
          <w:tcPr>
            <w:tcW w:w="0" w:type="auto"/>
          </w:tcPr>
          <w:p>
            <w:pPr>
              <w:spacing w:before="20" w:after="20"/>
            </w:pPr>
            <w:r>
              <w:rPr>
                <w:rFonts w:ascii="Nunito Sans" w:hAnsi="Nunito Sans"/>
                <w:sz w:val="20"/>
                <w:szCs w:val="20"/>
              </w:rPr>
              <w:t xml:space="preserve">Snellen + LogMAR conversion · Sloan 10 helper</w:t>
            </w:r>
          </w:p>
        </w:tc>
        <w:tc>
          <w:tcPr>
            <w:tcW w:w="0" w:type="auto"/>
          </w:tcPr>
          <w:p>
            <w:pPr>
              <w:spacing w:before="20" w:after="20"/>
            </w:pPr>
            <w:r>
              <w:rPr>
                <w:rFonts w:ascii="Nunito Sans" w:hAnsi="Nunito Sans"/>
                <w:sz w:val="20"/>
                <w:szCs w:val="20"/>
              </w:rPr>
              <w:t xml:space="preserve">v0.2.3</w:t>
            </w:r>
          </w:p>
        </w:tc>
      </w:tr>
      <w:tr>
        <w:tc>
          <w:tcPr>
            <w:tcW w:w="0" w:type="auto"/>
          </w:tcPr>
          <w:p>
            <w:pPr>
              <w:spacing w:before="20" w:after="20"/>
            </w:pPr>
            <w:r>
              <w:rPr>
                <w:rFonts w:ascii="Nunito Sans" w:hAnsi="Nunito Sans"/>
                <w:sz w:val="20"/>
                <w:szCs w:val="20"/>
              </w:rPr>
              <w:t xml:space="preserve">Color Vision</w:t>
            </w:r>
          </w:p>
        </w:tc>
        <w:tc>
          <w:tcPr>
            <w:tcW w:w="0" w:type="auto"/>
          </w:tcPr>
          <w:p>
            <w:pPr>
              <w:spacing w:before="20" w:after="20"/>
            </w:pPr>
            <w:r>
              <w:rPr>
                <w:rFonts w:ascii="Nunito Sans" w:hAnsi="Nunito Sans"/>
                <w:sz w:val="20"/>
                <w:szCs w:val="20"/>
              </w:rPr>
              <w:t xml:space="preserve">Ishihara plates + D-15 Farnsworth</w:t>
            </w:r>
          </w:p>
        </w:tc>
        <w:tc>
          <w:tcPr>
            <w:tcW w:w="0" w:type="auto"/>
          </w:tcPr>
          <w:p>
            <w:pPr>
              <w:spacing w:before="20" w:after="20"/>
            </w:pPr>
            <w:r>
              <w:rPr>
                <w:rFonts w:ascii="Nunito Sans" w:hAnsi="Nunito Sans"/>
                <w:sz w:val="20"/>
                <w:szCs w:val="20"/>
              </w:rPr>
              <w:t xml:space="preserve">v0.1.7</w:t>
            </w:r>
          </w:p>
        </w:tc>
      </w:tr>
      <w:tr>
        <w:tc>
          <w:tcPr>
            <w:tcW w:w="0" w:type="auto"/>
          </w:tcPr>
          <w:p>
            <w:pPr>
              <w:spacing w:before="20" w:after="20"/>
            </w:pPr>
            <w:r>
              <w:rPr>
                <w:rFonts w:ascii="Nunito Sans" w:hAnsi="Nunito Sans"/>
                <w:sz w:val="20"/>
                <w:szCs w:val="20"/>
              </w:rPr>
              <w:t xml:space="preserve">Visual Fields</w:t>
            </w:r>
          </w:p>
        </w:tc>
        <w:tc>
          <w:tcPr>
            <w:tcW w:w="0" w:type="auto"/>
          </w:tcPr>
          <w:p>
            <w:pPr>
              <w:spacing w:before="20" w:after="20"/>
            </w:pPr>
            <w:r>
              <w:rPr>
                <w:rFonts w:ascii="Nunito Sans" w:hAnsi="Nunito Sans"/>
                <w:sz w:val="20"/>
                <w:szCs w:val="20"/>
              </w:rPr>
              <w:t xml:space="preserve">Humphrey Field Analyzer (HFA) / Goldmann</w:t>
            </w:r>
          </w:p>
        </w:tc>
        <w:tc>
          <w:tcPr>
            <w:tcW w:w="0" w:type="auto"/>
          </w:tcPr>
          <w:p>
            <w:pPr>
              <w:spacing w:before="20" w:after="20"/>
            </w:pPr>
            <w:r>
              <w:rPr>
                <w:rFonts w:ascii="Nunito Sans" w:hAnsi="Nunito Sans"/>
                <w:sz w:val="20"/>
                <w:szCs w:val="20"/>
              </w:rPr>
              <w:t xml:space="preserve">v0.1.8</w:t>
            </w:r>
          </w:p>
        </w:tc>
      </w:tr>
      <w:tr>
        <w:tc>
          <w:tcPr>
            <w:tcW w:w="0" w:type="auto"/>
          </w:tcPr>
          <w:p>
            <w:pPr>
              <w:spacing w:before="20" w:after="20"/>
            </w:pPr>
            <w:r>
              <w:rPr>
                <w:rFonts w:ascii="Nunito Sans" w:hAnsi="Nunito Sans"/>
                <w:sz w:val="20"/>
                <w:szCs w:val="20"/>
              </w:rPr>
              <w:t xml:space="preserve">Wavefront Aberrometry</w:t>
            </w:r>
          </w:p>
        </w:tc>
        <w:tc>
          <w:tcPr>
            <w:tcW w:w="0" w:type="auto"/>
          </w:tcPr>
          <w:p>
            <w:pPr>
              <w:spacing w:before="20" w:after="20"/>
            </w:pPr>
            <w:r>
              <w:rPr>
                <w:rFonts w:ascii="Nunito Sans" w:hAnsi="Nunito Sans"/>
                <w:sz w:val="20"/>
                <w:szCs w:val="20"/>
              </w:rPr>
              <w:t xml:space="preserve">Hartmann-Shack sensor / Zernike polynomial output</w:t>
            </w:r>
          </w:p>
        </w:tc>
        <w:tc>
          <w:tcPr>
            <w:tcW w:w="0" w:type="auto"/>
          </w:tcPr>
          <w:p>
            <w:pPr>
              <w:spacing w:before="20" w:after="20"/>
            </w:pPr>
            <w:r>
              <w:rPr>
                <w:rFonts w:ascii="Nunito Sans" w:hAnsi="Nunito Sans"/>
                <w:sz w:val="20"/>
                <w:szCs w:val="20"/>
              </w:rPr>
              <w:t xml:space="preserve">v0.1.9</w:t>
            </w:r>
          </w:p>
        </w:tc>
      </w:tr>
      <w:tr>
        <w:tc>
          <w:tcPr>
            <w:tcW w:w="0" w:type="auto"/>
          </w:tcPr>
          <w:p>
            <w:pPr>
              <w:spacing w:before="20" w:after="20"/>
            </w:pPr>
            <w:r>
              <w:rPr>
                <w:rFonts w:ascii="Nunito Sans" w:hAnsi="Nunito Sans"/>
                <w:sz w:val="20"/>
                <w:szCs w:val="20"/>
              </w:rPr>
              <w:t xml:space="preserve">Extraocular Motility</w:t>
            </w:r>
          </w:p>
        </w:tc>
        <w:tc>
          <w:tcPr>
            <w:tcW w:w="0" w:type="auto"/>
          </w:tcPr>
          <w:p>
            <w:pPr>
              <w:spacing w:before="20" w:after="20"/>
            </w:pPr>
            <w:r>
              <w:rPr>
                <w:rFonts w:ascii="Nunito Sans" w:hAnsi="Nunito Sans"/>
                <w:sz w:val="20"/>
                <w:szCs w:val="20"/>
              </w:rPr>
              <w:t xml:space="preserve">International 0 to ±4 EOM grading</w:t>
            </w:r>
          </w:p>
        </w:tc>
        <w:tc>
          <w:tcPr>
            <w:tcW w:w="0" w:type="auto"/>
          </w:tcPr>
          <w:p>
            <w:pPr>
              <w:spacing w:before="20" w:after="20"/>
            </w:pPr>
            <w:r>
              <w:rPr>
                <w:rFonts w:ascii="Nunito Sans" w:hAnsi="Nunito Sans"/>
                <w:sz w:val="20"/>
                <w:szCs w:val="20"/>
              </w:rPr>
              <w:t xml:space="preserve">v0.2.1</w:t>
            </w:r>
          </w:p>
        </w:tc>
      </w:tr>
      <w:tr>
        <w:tc>
          <w:tcPr>
            <w:tcW w:w="0" w:type="auto"/>
          </w:tcPr>
          <w:p>
            <w:pPr>
              <w:spacing w:before="20" w:after="20"/>
            </w:pPr>
            <w:r>
              <w:rPr>
                <w:rFonts w:ascii="Nunito Sans" w:hAnsi="Nunito Sans"/>
                <w:sz w:val="20"/>
                <w:szCs w:val="20"/>
              </w:rPr>
              <w:t xml:space="preserve">Pupillometry</w:t>
            </w:r>
          </w:p>
        </w:tc>
        <w:tc>
          <w:tcPr>
            <w:tcW w:w="0" w:type="auto"/>
          </w:tcPr>
          <w:p>
            <w:pPr>
              <w:spacing w:before="20" w:after="20"/>
            </w:pPr>
            <w:r>
              <w:rPr>
                <w:rFonts w:ascii="Nunito Sans" w:hAnsi="Nunito Sans"/>
                <w:sz w:val="20"/>
                <w:szCs w:val="20"/>
              </w:rPr>
              <w:t xml:space="preserve">Winn 1994 age-banded norms · NeurOptics NPi-200 reference · RAPD grading</w:t>
            </w:r>
          </w:p>
        </w:tc>
        <w:tc>
          <w:tcPr>
            <w:tcW w:w="0" w:type="auto"/>
          </w:tcPr>
          <w:p>
            <w:pPr>
              <w:spacing w:before="20" w:after="20"/>
            </w:pPr>
            <w:r>
              <w:rPr>
                <w:rFonts w:ascii="Nunito Sans" w:hAnsi="Nunito Sans"/>
                <w:sz w:val="20"/>
                <w:szCs w:val="20"/>
              </w:rPr>
              <w:t xml:space="preserve">v0.2.5</w:t>
            </w:r>
          </w:p>
        </w:tc>
      </w:tr>
      <w:tr>
        <w:tc>
          <w:tcPr>
            <w:tcW w:w="0" w:type="auto"/>
          </w:tcPr>
          <w:p>
            <w:pPr>
              <w:spacing w:before="20" w:after="20"/>
            </w:pPr>
            <w:r>
              <w:rPr>
                <w:rFonts w:ascii="Nunito Sans" w:hAnsi="Nunito Sans"/>
                <w:sz w:val="20"/>
                <w:szCs w:val="20"/>
              </w:rPr>
              <w:t xml:space="preserve">Wavefront Refraction</w:t>
            </w:r>
          </w:p>
        </w:tc>
        <w:tc>
          <w:tcPr>
            <w:tcW w:w="0" w:type="auto"/>
          </w:tcPr>
          <w:p>
            <w:pPr>
              <w:spacing w:before="20" w:after="20"/>
            </w:pPr>
            <w:r>
              <w:rPr>
                <w:rFonts w:ascii="Nunito Sans" w:hAnsi="Nunito Sans"/>
                <w:sz w:val="20"/>
                <w:szCs w:val="20"/>
              </w:rPr>
              <w:t xml:space="preserve">Objective wavefront autorefraction + subjective JCC / MPMVA liquid-lens phoropter (six competitive-parity enhancements added v0.2.7)</w:t>
            </w:r>
          </w:p>
        </w:tc>
        <w:tc>
          <w:tcPr>
            <w:tcW w:w="0" w:type="auto"/>
          </w:tcPr>
          <w:p>
            <w:pPr>
              <w:spacing w:before="20" w:after="20"/>
            </w:pPr>
            <w:r>
              <w:rPr>
                <w:rFonts w:ascii="Nunito Sans" w:hAnsi="Nunito Sans"/>
                <w:sz w:val="20"/>
                <w:szCs w:val="20"/>
              </w:rPr>
              <w:t xml:space="preserve">v0.2.6</w:t>
            </w:r>
          </w:p>
        </w:tc>
      </w:tr>
    </w:tbl>
    <w:p/>
    <w:p>
      <w:pPr>
        <w:spacing w:after="120"/>
      </w:pPr>
      <w:r>
        <w:rPr>
          <w:rFonts w:ascii="Nunito Sans" w:hAnsi="Nunito Sans"/>
          <w:sz w:val="22"/>
          <w:szCs w:val="22"/>
        </w:rPr>
        <w:t xml:space="preserve">The remaining tests in the catalog are visual-fidelity placeholders awaiting their own clinical rebuilds in subsequent releases.</w:t>
      </w:r>
    </w:p>
    <w:p>
      <w:pPr>
        <w:spacing w:after="0"/>
      </w:pPr>
    </w:p>
    <w:p>
      <w:pPr>
        <w:spacing w:before="240" w:after="80"/>
      </w:pPr>
      <w:r>
        <w:rPr>
          <w:rFonts w:ascii="Nunito Sans" w:hAnsi="Nunito Sans"/>
          <w:b/>
          <w:sz w:val="28"/>
          <w:szCs w:val="28"/>
        </w:rPr>
        <w:t xml:space="preserve">1. Visual Acuity (v0.2.3)</w:t>
      </w:r>
    </w:p>
    <w:p>
      <w:pPr>
        <w:spacing w:before="240" w:after="80"/>
      </w:pPr>
      <w:r>
        <w:rPr>
          <w:rFonts w:ascii="Nunito Sans" w:hAnsi="Nunito Sans"/>
          <w:b/>
          <w:sz w:val="24"/>
          <w:szCs w:val="24"/>
        </w:rPr>
        <w:t xml:space="preserve">Reference standard</w:t>
      </w:r>
    </w:p>
    <w:p>
      <w:pPr>
        <w:spacing w:after="120"/>
      </w:pPr>
      <w:r>
        <w:rPr>
          <w:rFonts w:ascii="Nunito Sans" w:hAnsi="Nunito Sans"/>
          <w:sz w:val="22"/>
          <w:szCs w:val="22"/>
        </w:rPr>
        <w:t xml:space="preserve">Distance visual acuity measured using the </w:t>
      </w:r>
      <w:r>
        <w:rPr>
          <w:rFonts w:ascii="Nunito Sans" w:hAnsi="Nunito Sans"/>
          <w:b/>
          <w:sz w:val="22"/>
          <w:szCs w:val="22"/>
        </w:rPr>
        <w:t xml:space="preserve">Snellen notation system</w:t>
      </w:r>
      <w:r>
        <w:rPr>
          <w:rFonts w:ascii="Nunito Sans" w:hAnsi="Nunito Sans"/>
          <w:sz w:val="22"/>
          <w:szCs w:val="22"/>
        </w:rPr>
        <w:t xml:space="preserve"> (20/x feet equivalent), the most widely recognized clinical convention in U.S. practice. Three chart types are supported in the prototype: standard Snellen letters, numbers (for non-readers), and Tumbling E (for non-Latin literacy or pediatric use).</w:t>
      </w:r>
    </w:p>
    <w:p>
      <w:pPr>
        <w:spacing w:before="240" w:after="80"/>
      </w:pPr>
      <w:r>
        <w:rPr>
          <w:rFonts w:ascii="Nunito Sans" w:hAnsi="Nunito Sans"/>
          <w:b/>
          <w:sz w:val="24"/>
          <w:szCs w:val="24"/>
        </w:rPr>
        <w:t xml:space="preserve">What's implemented</w:t>
      </w:r>
    </w:p>
    <w:p>
      <w:pPr>
        <w:spacing w:after="60"/>
        <w:ind w:left="360"/>
      </w:pPr>
      <w:r>
        <w:rPr>
          <w:rFonts w:ascii="Nunito Sans" w:hAnsi="Nunito Sans"/>
          <w:sz w:val="22"/>
          <w:szCs w:val="22"/>
        </w:rPr>
        <w:t xml:space="preserve">•  </w:t>
      </w:r>
      <w:r>
        <w:rPr>
          <w:rFonts w:ascii="Nunito Sans" w:hAnsi="Nunito Sans"/>
          <w:b/>
          <w:sz w:val="22"/>
          <w:szCs w:val="22"/>
        </w:rPr>
        <w:t xml:space="preserve">Chart progression:</w:t>
      </w:r>
      <w:r>
        <w:rPr>
          <w:rFonts w:ascii="Nunito Sans" w:hAnsi="Nunito Sans"/>
          <w:sz w:val="22"/>
          <w:szCs w:val="22"/>
        </w:rPr>
        <w:t xml:space="preserve"> 10 lines, 20/200 → 20/10</w:t>
      </w:r>
    </w:p>
    <w:p>
      <w:pPr>
        <w:spacing w:after="60"/>
        <w:ind w:left="360"/>
      </w:pPr>
      <w:r>
        <w:rPr>
          <w:rFonts w:ascii="Nunito Sans" w:hAnsi="Nunito Sans"/>
          <w:sz w:val="22"/>
          <w:szCs w:val="22"/>
        </w:rPr>
        <w:t xml:space="preserve">•  </w:t>
      </w:r>
      <w:r>
        <w:rPr>
          <w:rFonts w:ascii="Nunito Sans" w:hAnsi="Nunito Sans"/>
          <w:b/>
          <w:sz w:val="22"/>
          <w:szCs w:val="22"/>
        </w:rPr>
        <w:t xml:space="preserve">Letter pool:</w:t>
      </w:r>
      <w:r>
        <w:rPr>
          <w:rFonts w:ascii="Nunito Sans" w:hAnsi="Nunito Sans"/>
          <w:sz w:val="22"/>
          <w:szCs w:val="22"/>
        </w:rPr>
        <w:t xml:space="preserve"> Latin alphabet excluding low-discriminability letters</w:t>
      </w:r>
    </w:p>
    <w:p>
      <w:pPr>
        <w:spacing w:after="60"/>
        <w:ind w:left="360"/>
      </w:pPr>
      <w:r>
        <w:rPr>
          <w:rFonts w:ascii="Nunito Sans" w:hAnsi="Nunito Sans"/>
          <w:sz w:val="22"/>
          <w:szCs w:val="22"/>
        </w:rPr>
        <w:t xml:space="preserve">•  </w:t>
      </w:r>
      <w:r>
        <w:rPr>
          <w:rFonts w:ascii="Nunito Sans" w:hAnsi="Nunito Sans"/>
          <w:b/>
          <w:sz w:val="22"/>
          <w:szCs w:val="22"/>
        </w:rPr>
        <w:t xml:space="preserve">Chart types selectable:</w:t>
      </w:r>
      <w:r>
        <w:rPr>
          <w:rFonts w:ascii="Nunito Sans" w:hAnsi="Nunito Sans"/>
          <w:sz w:val="22"/>
          <w:szCs w:val="22"/>
        </w:rPr>
        <w:t xml:space="preserve"> Snellen letters, Numbers (1–9), Tumbling E (rotated E in 4 orientations)</w:t>
      </w:r>
    </w:p>
    <w:p>
      <w:pPr>
        <w:spacing w:after="60"/>
        <w:ind w:left="360"/>
      </w:pPr>
      <w:r>
        <w:rPr>
          <w:rFonts w:ascii="Nunito Sans" w:hAnsi="Nunito Sans"/>
          <w:sz w:val="22"/>
          <w:szCs w:val="22"/>
        </w:rPr>
        <w:t xml:space="preserve">•  </w:t>
      </w:r>
      <w:r>
        <w:rPr>
          <w:rFonts w:ascii="Nunito Sans" w:hAnsi="Nunito Sans"/>
          <w:b/>
          <w:sz w:val="22"/>
          <w:szCs w:val="22"/>
        </w:rPr>
        <w:t xml:space="preserve">Eye modes:</w:t>
      </w:r>
      <w:r>
        <w:rPr>
          <w:rFonts w:ascii="Nunito Sans" w:hAnsi="Nunito Sans"/>
          <w:sz w:val="22"/>
          <w:szCs w:val="22"/>
        </w:rPr>
        <w:t xml:space="preserve"> OD-only, OS-only, OU (both eyes — standard clinical sequence)</w:t>
      </w:r>
    </w:p>
    <w:p>
      <w:pPr>
        <w:spacing w:after="60"/>
        <w:ind w:left="360"/>
      </w:pPr>
      <w:r>
        <w:rPr>
          <w:rFonts w:ascii="Nunito Sans" w:hAnsi="Nunito Sans"/>
          <w:sz w:val="22"/>
          <w:szCs w:val="22"/>
        </w:rPr>
        <w:t xml:space="preserve">•  </w:t>
      </w:r>
      <w:r>
        <w:rPr>
          <w:rFonts w:ascii="Nunito Sans" w:hAnsi="Nunito Sans"/>
          <w:b/>
          <w:sz w:val="22"/>
          <w:szCs w:val="22"/>
        </w:rPr>
        <w:t xml:space="preserve">Per-line scoring:</w:t>
      </w:r>
      <w:r>
        <w:rPr>
          <w:rFonts w:ascii="Nunito Sans" w:hAnsi="Nunito Sans"/>
          <w:sz w:val="22"/>
          <w:szCs w:val="22"/>
        </w:rPr>
        <w:t xml:space="preserve"> mark each letter correct/incorrect; line-pass currently at ≥ 65% (under review — see open questions)</w:t>
      </w:r>
    </w:p>
    <w:p>
      <w:pPr>
        <w:spacing w:after="60"/>
        <w:ind w:left="360"/>
      </w:pPr>
      <w:r>
        <w:rPr>
          <w:rFonts w:ascii="Nunito Sans" w:hAnsi="Nunito Sans"/>
          <w:sz w:val="22"/>
          <w:szCs w:val="22"/>
        </w:rPr>
        <w:t xml:space="preserve">•  </w:t>
      </w:r>
      <w:r>
        <w:rPr>
          <w:rFonts w:ascii="Nunito Sans" w:hAnsi="Nunito Sans"/>
          <w:b/>
          <w:sz w:val="22"/>
          <w:szCs w:val="22"/>
        </w:rPr>
        <w:t xml:space="preserve">Auto-advance</w:t>
      </w:r>
      <w:r>
        <w:rPr>
          <w:rFonts w:ascii="Nunito Sans" w:hAnsi="Nunito Sans"/>
          <w:sz w:val="22"/>
          <w:szCs w:val="22"/>
        </w:rPr>
        <w:t xml:space="preserve"> to next line on passing</w:t>
      </w:r>
    </w:p>
    <w:p>
      <w:pPr>
        <w:spacing w:after="60"/>
        <w:ind w:left="360"/>
      </w:pPr>
      <w:r>
        <w:rPr>
          <w:rFonts w:ascii="Nunito Sans" w:hAnsi="Nunito Sans"/>
          <w:sz w:val="22"/>
          <w:szCs w:val="22"/>
        </w:rPr>
        <w:t xml:space="preserve">•  </w:t>
      </w:r>
      <w:r>
        <w:rPr>
          <w:rFonts w:ascii="Nunito Sans" w:hAnsi="Nunito Sans"/>
          <w:b/>
          <w:sz w:val="22"/>
          <w:szCs w:val="22"/>
        </w:rPr>
        <w:t xml:space="preserve">Prescription adjustment panel</w:t>
      </w:r>
      <w:r>
        <w:rPr>
          <w:rFonts w:ascii="Nunito Sans" w:hAnsi="Nunito Sans"/>
          <w:sz w:val="22"/>
          <w:szCs w:val="22"/>
        </w:rPr>
        <w:t xml:space="preserve"> for failed lines (SPH/CYL/AXIS for OD &amp; OS)</w:t>
      </w:r>
    </w:p>
    <w:p>
      <w:pPr>
        <w:spacing w:after="60"/>
        <w:ind w:left="360"/>
      </w:pPr>
      <w:r>
        <w:rPr>
          <w:rFonts w:ascii="Nunito Sans" w:hAnsi="Nunito Sans"/>
          <w:sz w:val="22"/>
          <w:szCs w:val="22"/>
        </w:rPr>
        <w:t xml:space="preserve">•  </w:t>
      </w:r>
      <w:r>
        <w:rPr>
          <w:rFonts w:ascii="Nunito Sans" w:hAnsi="Nunito Sans"/>
          <w:b/>
          <w:sz w:val="22"/>
          <w:szCs w:val="22"/>
        </w:rPr>
        <w:t xml:space="preserve">Detailed report</w:t>
      </w:r>
      <w:r>
        <w:rPr>
          <w:rFonts w:ascii="Nunito Sans" w:hAnsi="Nunito Sans"/>
          <w:sz w:val="22"/>
          <w:szCs w:val="22"/>
        </w:rPr>
        <w:t xml:space="preserve"> with VA table per eye + prescription summary</w:t>
      </w:r>
    </w:p>
    <w:p>
      <w:pPr>
        <w:spacing w:after="60"/>
        <w:ind w:left="360"/>
      </w:pPr>
      <w:r>
        <w:rPr>
          <w:rFonts w:ascii="Nunito Sans" w:hAnsi="Nunito Sans"/>
          <w:sz w:val="22"/>
          <w:szCs w:val="22"/>
        </w:rPr>
        <w:t xml:space="preserve">•  </w:t>
      </w:r>
      <w:r>
        <w:rPr>
          <w:rFonts w:ascii="Nunito Sans" w:hAnsi="Nunito Sans"/>
          <w:b/>
          <w:sz w:val="22"/>
          <w:szCs w:val="22"/>
        </w:rPr>
        <w:t xml:space="preserve">Tested at:</w:t>
      </w:r>
      <w:r>
        <w:rPr>
          <w:rFonts w:ascii="Nunito Sans" w:hAnsi="Nunito Sans"/>
          <w:sz w:val="22"/>
          <w:szCs w:val="22"/>
        </w:rPr>
        <w:t xml:space="preserve"> simulated 20 ft / 6 m</w:t>
      </w:r>
    </w:p>
    <w:p>
      <w:pPr>
        <w:spacing w:before="240" w:after="80"/>
      </w:pPr>
      <w:r>
        <w:rPr>
          <w:rFonts w:ascii="Nunito Sans" w:hAnsi="Nunito Sans"/>
          <w:b/>
          <w:sz w:val="24"/>
          <w:szCs w:val="24"/>
        </w:rPr>
        <w:t xml:space="preserve">Open clinical questions (slated for the v2 spec backfill, target v0.2.3)</w:t>
      </w:r>
    </w:p>
    <w:p>
      <w:pPr>
        <w:spacing w:after="60"/>
        <w:ind w:left="360"/>
      </w:pPr>
      <w:r>
        <w:rPr>
          <w:rFonts w:ascii="Nunito Sans" w:hAnsi="Nunito Sans"/>
          <w:sz w:val="22"/>
          <w:szCs w:val="22"/>
        </w:rPr>
        <w:t xml:space="preserve">•  </w:t>
      </w:r>
      <w:r>
        <w:rPr>
          <w:rFonts w:ascii="Nunito Sans" w:hAnsi="Nunito Sans"/>
          <w:sz w:val="22"/>
          <w:szCs w:val="22"/>
        </w:rPr>
        <w:t xml:space="preserve">Add </w:t>
      </w:r>
      <w:r>
        <w:rPr>
          <w:rFonts w:ascii="Nunito Sans" w:hAnsi="Nunito Sans"/>
          <w:b/>
          <w:sz w:val="22"/>
          <w:szCs w:val="22"/>
        </w:rPr>
        <w:t xml:space="preserve">LogMAR notation</w:t>
      </w:r>
      <w:r>
        <w:rPr>
          <w:rFonts w:ascii="Nunito Sans" w:hAnsi="Nunito Sans"/>
          <w:sz w:val="22"/>
          <w:szCs w:val="22"/>
        </w:rPr>
        <w:t xml:space="preserve"> as a parallel display to Snellen (research / statistical use, longitudinal comparison)</w:t>
      </w:r>
    </w:p>
    <w:p>
      <w:pPr>
        <w:spacing w:after="60"/>
        <w:ind w:left="360"/>
      </w:pPr>
      <w:r>
        <w:rPr>
          <w:rFonts w:ascii="Nunito Sans" w:hAnsi="Nunito Sans"/>
          <w:sz w:val="22"/>
          <w:szCs w:val="22"/>
        </w:rPr>
        <w:t xml:space="preserve">•  </w:t>
      </w:r>
      <w:r>
        <w:rPr>
          <w:rFonts w:ascii="Nunito Sans" w:hAnsi="Nunito Sans"/>
          <w:sz w:val="22"/>
          <w:szCs w:val="22"/>
        </w:rPr>
        <w:t xml:space="preserve">Add </w:t>
      </w:r>
      <w:r>
        <w:rPr>
          <w:rFonts w:ascii="Nunito Sans" w:hAnsi="Nunito Sans"/>
          <w:b/>
          <w:sz w:val="22"/>
          <w:szCs w:val="22"/>
        </w:rPr>
        <w:t xml:space="preserve">ETDRS chart</w:t>
      </w:r>
      <w:r>
        <w:rPr>
          <w:rFonts w:ascii="Nunito Sans" w:hAnsi="Nunito Sans"/>
          <w:sz w:val="22"/>
          <w:szCs w:val="22"/>
        </w:rPr>
        <w:t xml:space="preserve"> support as a third selectable mode (gold standard since 1982 — equal letter difficulty per line, proportional spacing, 0.1 logMAR steps)</w:t>
      </w:r>
    </w:p>
    <w:p>
      <w:pPr>
        <w:spacing w:after="60"/>
        <w:ind w:left="360"/>
      </w:pPr>
      <w:r>
        <w:rPr>
          <w:rFonts w:ascii="Nunito Sans" w:hAnsi="Nunito Sans"/>
          <w:sz w:val="22"/>
          <w:szCs w:val="22"/>
        </w:rPr>
        <w:t xml:space="preserve">•  </w:t>
      </w:r>
      <w:r>
        <w:rPr>
          <w:rFonts w:ascii="Nunito Sans" w:hAnsi="Nunito Sans"/>
          <w:sz w:val="22"/>
          <w:szCs w:val="22"/>
        </w:rPr>
        <w:t xml:space="preserve">Add </w:t>
      </w:r>
      <w:r>
        <w:rPr>
          <w:rFonts w:ascii="Nunito Sans" w:hAnsi="Nunito Sans"/>
          <w:b/>
          <w:sz w:val="22"/>
          <w:szCs w:val="22"/>
        </w:rPr>
        <w:t xml:space="preserve">pinhole occluder</w:t>
      </w:r>
      <w:r>
        <w:rPr>
          <w:rFonts w:ascii="Nunito Sans" w:hAnsi="Nunito Sans"/>
          <w:sz w:val="22"/>
          <w:szCs w:val="22"/>
        </w:rPr>
        <w:t xml:space="preserve"> affordance (distinguishes refractive vs pathological causes of reduced acuity)</w:t>
      </w:r>
    </w:p>
    <w:p>
      <w:pPr>
        <w:spacing w:after="60"/>
        <w:ind w:left="360"/>
      </w:pPr>
      <w:r>
        <w:rPr>
          <w:rFonts w:ascii="Nunito Sans" w:hAnsi="Nunito Sans"/>
          <w:sz w:val="22"/>
          <w:szCs w:val="22"/>
        </w:rPr>
        <w:t xml:space="preserve">•  </w:t>
      </w:r>
      <w:r>
        <w:rPr>
          <w:rFonts w:ascii="Nunito Sans" w:hAnsi="Nunito Sans"/>
          <w:sz w:val="22"/>
          <w:szCs w:val="22"/>
        </w:rPr>
        <w:t xml:space="preserve">Add </w:t>
      </w:r>
      <w:r>
        <w:rPr>
          <w:rFonts w:ascii="Nunito Sans" w:hAnsi="Nunito Sans"/>
          <w:b/>
          <w:sz w:val="22"/>
          <w:szCs w:val="22"/>
        </w:rPr>
        <w:t xml:space="preserve">near vision</w:t>
      </w:r>
      <w:r>
        <w:rPr>
          <w:rFonts w:ascii="Nunito Sans" w:hAnsi="Nunito Sans"/>
          <w:sz w:val="22"/>
          <w:szCs w:val="22"/>
        </w:rPr>
        <w:t xml:space="preserve"> component (J-notation or 14"/40 cm equivalent — half of a real comprehensive VA exam)</w:t>
      </w:r>
    </w:p>
    <w:p>
      <w:pPr>
        <w:spacing w:after="60"/>
        <w:ind w:left="360"/>
      </w:pPr>
      <w:r>
        <w:rPr>
          <w:rFonts w:ascii="Nunito Sans" w:hAnsi="Nunito Sans"/>
          <w:sz w:val="22"/>
          <w:szCs w:val="22"/>
        </w:rPr>
        <w:t xml:space="preserve">•  </w:t>
      </w:r>
      <w:r>
        <w:rPr>
          <w:rFonts w:ascii="Nunito Sans" w:hAnsi="Nunito Sans"/>
          <w:sz w:val="22"/>
          <w:szCs w:val="22"/>
        </w:rPr>
        <w:t xml:space="preserve">Convert letter pool to </w:t>
      </w:r>
      <w:r>
        <w:rPr>
          <w:rFonts w:ascii="Nunito Sans" w:hAnsi="Nunito Sans"/>
          <w:b/>
          <w:sz w:val="22"/>
          <w:szCs w:val="22"/>
        </w:rPr>
        <w:t xml:space="preserve">Sloan 10</w:t>
      </w:r>
      <w:r>
        <w:rPr>
          <w:rFonts w:ascii="Nunito Sans" w:hAnsi="Nunito Sans"/>
          <w:sz w:val="22"/>
          <w:szCs w:val="22"/>
        </w:rPr>
        <w:t xml:space="preserve"> (C, D, H, K, N, O, R, S, V, Z — the ETDRS standard set)</w:t>
      </w:r>
    </w:p>
    <w:p>
      <w:pPr>
        <w:spacing w:after="60"/>
        <w:ind w:left="360"/>
      </w:pPr>
      <w:r>
        <w:rPr>
          <w:rFonts w:ascii="Nunito Sans" w:hAnsi="Nunito Sans"/>
          <w:sz w:val="22"/>
          <w:szCs w:val="22"/>
        </w:rPr>
        <w:t xml:space="preserve">•  </w:t>
      </w:r>
      <w:r>
        <w:rPr>
          <w:rFonts w:ascii="Nunito Sans" w:hAnsi="Nunito Sans"/>
          <w:sz w:val="22"/>
          <w:szCs w:val="22"/>
        </w:rPr>
        <w:t xml:space="preserve">Implement </w:t>
      </w:r>
      <w:r>
        <w:rPr>
          <w:rFonts w:ascii="Nunito Sans" w:hAnsi="Nunito Sans"/>
          <w:b/>
          <w:sz w:val="22"/>
          <w:szCs w:val="22"/>
        </w:rPr>
        <w:t xml:space="preserve">Bailey-Lovie crowding rules</w:t>
      </w:r>
      <w:r>
        <w:rPr>
          <w:rFonts w:ascii="Nunito Sans" w:hAnsi="Nunito Sans"/>
          <w:sz w:val="22"/>
          <w:szCs w:val="22"/>
        </w:rPr>
        <w:t xml:space="preserve"> for letter spacing (proportional to letter size)</w:t>
      </w:r>
    </w:p>
    <w:p>
      <w:pPr>
        <w:spacing w:after="60"/>
        <w:ind w:left="360"/>
      </w:pPr>
      <w:r>
        <w:rPr>
          <w:rFonts w:ascii="Nunito Sans" w:hAnsi="Nunito Sans"/>
          <w:sz w:val="22"/>
          <w:szCs w:val="22"/>
        </w:rPr>
        <w:t xml:space="preserve">•  </w:t>
      </w:r>
      <w:r>
        <w:rPr>
          <w:rFonts w:ascii="Nunito Sans" w:hAnsi="Nunito Sans"/>
          <w:sz w:val="22"/>
          <w:szCs w:val="22"/>
        </w:rPr>
        <w:t xml:space="preserve">Add </w:t>
      </w:r>
      <w:r>
        <w:rPr>
          <w:rFonts w:ascii="Nunito Sans" w:hAnsi="Nunito Sans"/>
          <w:b/>
          <w:sz w:val="22"/>
          <w:szCs w:val="22"/>
        </w:rPr>
        <w:t xml:space="preserve">pediatric symbols</w:t>
      </w:r>
      <w:r>
        <w:rPr>
          <w:rFonts w:ascii="Nunito Sans" w:hAnsi="Nunito Sans"/>
          <w:sz w:val="22"/>
          <w:szCs w:val="22"/>
        </w:rPr>
        <w:t xml:space="preserve"> option (LEA symbols / HOTV) for non-readers and young children</w:t>
      </w:r>
    </w:p>
    <w:p>
      <w:pPr>
        <w:spacing w:after="60"/>
        <w:ind w:left="360"/>
      </w:pPr>
      <w:r>
        <w:rPr>
          <w:rFonts w:ascii="Nunito Sans" w:hAnsi="Nunito Sans"/>
          <w:sz w:val="22"/>
          <w:szCs w:val="22"/>
        </w:rPr>
        <w:t xml:space="preserve">•  </w:t>
      </w:r>
      <w:r>
        <w:rPr>
          <w:rFonts w:ascii="Nunito Sans" w:hAnsi="Nunito Sans"/>
          <w:sz w:val="22"/>
          <w:szCs w:val="22"/>
        </w:rPr>
        <w:t xml:space="preserve">Review the 65% line-pass threshold — clinical convention is "more than half correct," typically 3/5 on a 5-letter line</w:t>
      </w:r>
    </w:p>
    <w:p>
      <w:pPr>
        <w:spacing w:after="0"/>
      </w:pPr>
    </w:p>
    <w:p>
      <w:pPr>
        <w:spacing w:before="240" w:after="80"/>
      </w:pPr>
      <w:r>
        <w:rPr>
          <w:rFonts w:ascii="Nunito Sans" w:hAnsi="Nunito Sans"/>
          <w:b/>
          <w:sz w:val="28"/>
          <w:szCs w:val="28"/>
        </w:rPr>
        <w:t xml:space="preserve">2. Color Vision (v0.1.7)</w:t>
      </w:r>
    </w:p>
    <w:p>
      <w:pPr>
        <w:spacing w:before="240" w:after="80"/>
      </w:pPr>
      <w:r>
        <w:rPr>
          <w:rFonts w:ascii="Nunito Sans" w:hAnsi="Nunito Sans"/>
          <w:b/>
          <w:sz w:val="24"/>
          <w:szCs w:val="24"/>
        </w:rPr>
        <w:t xml:space="preserve">Reference standard</w:t>
      </w:r>
    </w:p>
    <w:p>
      <w:pPr>
        <w:spacing w:after="120"/>
      </w:pPr>
      <w:r>
        <w:rPr>
          <w:rFonts w:ascii="Nunito Sans" w:hAnsi="Nunito Sans"/>
          <w:sz w:val="22"/>
          <w:szCs w:val="22"/>
        </w:rPr>
        <w:t xml:space="preserve">Two complementary protocols:</w:t>
      </w:r>
    </w:p>
    <w:p>
      <w:pPr>
        <w:spacing w:after="60"/>
        <w:ind w:left="360"/>
      </w:pPr>
      <w:r>
        <w:rPr>
          <w:rFonts w:ascii="Nunito Sans" w:hAnsi="Nunito Sans"/>
          <w:sz w:val="22"/>
          <w:szCs w:val="22"/>
        </w:rPr>
        <w:t xml:space="preserve">•  </w:t>
      </w:r>
      <w:r>
        <w:rPr>
          <w:rFonts w:ascii="Nunito Sans" w:hAnsi="Nunito Sans"/>
          <w:b/>
          <w:sz w:val="22"/>
          <w:szCs w:val="22"/>
        </w:rPr>
        <w:t xml:space="preserve">Ishihara pseudo-isochromatic plates</w:t>
      </w:r>
      <w:r>
        <w:rPr>
          <w:rFonts w:ascii="Nunito Sans" w:hAnsi="Nunito Sans"/>
          <w:sz w:val="22"/>
          <w:szCs w:val="22"/>
        </w:rPr>
        <w:t xml:space="preserve"> — the global screening standard since 1917 for red-green deficiency.</w:t>
      </w:r>
    </w:p>
    <w:p>
      <w:pPr>
        <w:spacing w:after="60"/>
        <w:ind w:left="360"/>
      </w:pPr>
      <w:r>
        <w:rPr>
          <w:rFonts w:ascii="Nunito Sans" w:hAnsi="Nunito Sans"/>
          <w:sz w:val="22"/>
          <w:szCs w:val="22"/>
        </w:rPr>
        <w:t xml:space="preserve">•  </w:t>
      </w:r>
      <w:r>
        <w:rPr>
          <w:rFonts w:ascii="Nunito Sans" w:hAnsi="Nunito Sans"/>
          <w:b/>
          <w:sz w:val="22"/>
          <w:szCs w:val="22"/>
        </w:rPr>
        <w:t xml:space="preserve">D-15 Farnsworth dichotomous hue test</w:t>
      </w:r>
      <w:r>
        <w:rPr>
          <w:rFonts w:ascii="Nunito Sans" w:hAnsi="Nunito Sans"/>
          <w:sz w:val="22"/>
          <w:szCs w:val="22"/>
        </w:rPr>
        <w:t xml:space="preserve"> — quantitative confusion-axis assessment for protan / deutan / tritan defects. Scoring follows </w:t>
      </w:r>
      <w:r>
        <w:rPr>
          <w:rFonts w:ascii="Nunito Sans" w:hAnsi="Nunito Sans"/>
          <w:b/>
          <w:sz w:val="22"/>
          <w:szCs w:val="22"/>
        </w:rPr>
        <w:t xml:space="preserve">Vingrys &amp; King-Smith (1988)</w:t>
      </w:r>
      <w:r>
        <w:rPr>
          <w:rFonts w:ascii="Nunito Sans" w:hAnsi="Nunito Sans"/>
          <w:sz w:val="22"/>
          <w:szCs w:val="22"/>
        </w:rPr>
        <w:t xml:space="preserve"> moment-of-inertia methodology (sRGB → Lab conversion, 2×2 eigendecomposition producing Major Radius / Minor Radius / Confusion Angle / TES / S-index / C-index).</w:t>
      </w:r>
    </w:p>
    <w:p>
      <w:pPr>
        <w:spacing w:before="240" w:after="80"/>
      </w:pPr>
      <w:r>
        <w:rPr>
          <w:rFonts w:ascii="Nunito Sans" w:hAnsi="Nunito Sans"/>
          <w:b/>
          <w:sz w:val="24"/>
          <w:szCs w:val="24"/>
        </w:rPr>
        <w:t xml:space="preserve">What's implemented</w:t>
      </w:r>
    </w:p>
    <w:p>
      <w:pPr>
        <w:spacing w:after="60"/>
        <w:ind w:left="360"/>
      </w:pPr>
      <w:r>
        <w:rPr>
          <w:rFonts w:ascii="Nunito Sans" w:hAnsi="Nunito Sans"/>
          <w:sz w:val="22"/>
          <w:szCs w:val="22"/>
        </w:rPr>
        <w:t xml:space="preserve">•  </w:t>
      </w:r>
      <w:r>
        <w:rPr>
          <w:rFonts w:ascii="Nunito Sans" w:hAnsi="Nunito Sans"/>
          <w:b/>
          <w:sz w:val="22"/>
          <w:szCs w:val="22"/>
        </w:rPr>
        <w:t xml:space="preserve">Protocol order:</w:t>
      </w:r>
      <w:r>
        <w:rPr>
          <w:rFonts w:ascii="Nunito Sans" w:hAnsi="Nunito Sans"/>
          <w:sz w:val="22"/>
          <w:szCs w:val="22"/>
        </w:rPr>
        <w:t xml:space="preserve"> OD → OS → OU as three discrete tests (not "OU = OD then OS")</w:t>
      </w:r>
    </w:p>
    <w:p>
      <w:pPr>
        <w:spacing w:after="60"/>
        <w:ind w:left="360"/>
      </w:pPr>
      <w:r>
        <w:rPr>
          <w:rFonts w:ascii="Nunito Sans" w:hAnsi="Nunito Sans"/>
          <w:sz w:val="22"/>
          <w:szCs w:val="22"/>
        </w:rPr>
        <w:t xml:space="preserve">•  </w:t>
      </w:r>
      <w:r>
        <w:rPr>
          <w:rFonts w:ascii="Nunito Sans" w:hAnsi="Nunito Sans"/>
          <w:b/>
          <w:sz w:val="22"/>
          <w:szCs w:val="22"/>
        </w:rPr>
        <w:t xml:space="preserve">Sequence affordances:</w:t>
      </w:r>
      <w:r>
        <w:rPr>
          <w:rFonts w:ascii="Nunito Sans" w:hAnsi="Nunito Sans"/>
          <w:sz w:val="22"/>
          <w:szCs w:val="22"/>
        </w:rPr>
        <w:t xml:space="preserve"> in-test eye picker, eye-sequence breadcrumb, full-screen transition modal between eyes with patient-positioning copy</w:t>
      </w:r>
    </w:p>
    <w:p>
      <w:pPr>
        <w:spacing w:after="60"/>
        <w:ind w:left="360"/>
      </w:pPr>
      <w:r>
        <w:rPr>
          <w:rFonts w:ascii="Nunito Sans" w:hAnsi="Nunito Sans"/>
          <w:sz w:val="22"/>
          <w:szCs w:val="22"/>
        </w:rPr>
        <w:t xml:space="preserve">•  </w:t>
      </w:r>
      <w:r>
        <w:rPr>
          <w:rFonts w:ascii="Nunito Sans" w:hAnsi="Nunito Sans"/>
          <w:b/>
          <w:sz w:val="22"/>
          <w:szCs w:val="22"/>
        </w:rPr>
        <w:t xml:space="preserve">Ishihara:</w:t>
      </w:r>
    </w:p>
    <w:p>
      <w:pPr>
        <w:spacing w:after="60"/>
        <w:ind w:left="720"/>
      </w:pPr>
      <w:r>
        <w:rPr>
          <w:rFonts w:ascii="Nunito Sans" w:hAnsi="Nunito Sans"/>
          <w:sz w:val="22"/>
          <w:szCs w:val="22"/>
        </w:rPr>
        <w:t xml:space="preserve">•  </w:t>
      </w:r>
      <w:r>
        <w:rPr>
          <w:rFonts w:ascii="Nunito Sans" w:hAnsi="Nunito Sans"/>
          <w:sz w:val="22"/>
          <w:szCs w:val="22"/>
        </w:rPr>
        <w:t xml:space="preserve">24 plates (licensed images for plates 1–4; clinically-correct simulated placeholders for plates 5–24 pending licensed asset delivery)</w:t>
      </w:r>
    </w:p>
    <w:p>
      <w:pPr>
        <w:spacing w:after="60"/>
        <w:ind w:left="720"/>
      </w:pPr>
      <w:r>
        <w:rPr>
          <w:rFonts w:ascii="Nunito Sans" w:hAnsi="Nunito Sans"/>
          <w:sz w:val="22"/>
          <w:szCs w:val="22"/>
        </w:rPr>
        <w:t xml:space="preserve">•  </w:t>
      </w:r>
      <w:r>
        <w:rPr>
          <w:rFonts w:ascii="Nunito Sans" w:hAnsi="Nunito Sans"/>
          <w:sz w:val="22"/>
          <w:szCs w:val="22"/>
        </w:rPr>
        <w:t xml:space="preserve">3×4 number pad for patient response (no text input — avoids keyboard pitfalls on tablet)</w:t>
      </w:r>
    </w:p>
    <w:p>
      <w:pPr>
        <w:spacing w:after="60"/>
        <w:ind w:left="720"/>
      </w:pPr>
      <w:r>
        <w:rPr>
          <w:rFonts w:ascii="Nunito Sans" w:hAnsi="Nunito Sans"/>
          <w:sz w:val="22"/>
          <w:szCs w:val="22"/>
        </w:rPr>
        <w:t xml:space="preserve">•  </w:t>
      </w:r>
      <w:r>
        <w:rPr>
          <w:rFonts w:ascii="Nunito Sans" w:hAnsi="Nunito Sans"/>
          <w:sz w:val="22"/>
          <w:szCs w:val="22"/>
        </w:rPr>
        <w:t xml:space="preserve">"No response" option per plate</w:t>
      </w:r>
    </w:p>
    <w:p>
      <w:pPr>
        <w:spacing w:after="60"/>
        <w:ind w:left="360"/>
      </w:pPr>
      <w:r>
        <w:rPr>
          <w:rFonts w:ascii="Nunito Sans" w:hAnsi="Nunito Sans"/>
          <w:sz w:val="22"/>
          <w:szCs w:val="22"/>
        </w:rPr>
        <w:t xml:space="preserve">•  </w:t>
      </w:r>
      <w:r>
        <w:rPr>
          <w:rFonts w:ascii="Nunito Sans" w:hAnsi="Nunito Sans"/>
          <w:b/>
          <w:sz w:val="22"/>
          <w:szCs w:val="22"/>
        </w:rPr>
        <w:t xml:space="preserve">D-15 Farnsworth:</w:t>
      </w:r>
    </w:p>
    <w:p>
      <w:pPr>
        <w:spacing w:after="60"/>
        <w:ind w:left="720"/>
      </w:pPr>
      <w:r>
        <w:rPr>
          <w:rFonts w:ascii="Nunito Sans" w:hAnsi="Nunito Sans"/>
          <w:sz w:val="22"/>
          <w:szCs w:val="22"/>
        </w:rPr>
        <w:t xml:space="preserve">•  </w:t>
      </w:r>
      <w:r>
        <w:rPr>
          <w:rFonts w:ascii="Nunito Sans" w:hAnsi="Nunito Sans"/>
          <w:sz w:val="22"/>
          <w:szCs w:val="22"/>
        </w:rPr>
        <w:t xml:space="preserve">16 Munsell V5/C4 sRGB-approximation caps (replaces previous vivid rainbow which made sorting trivial)</w:t>
      </w:r>
    </w:p>
    <w:p>
      <w:pPr>
        <w:spacing w:after="60"/>
        <w:ind w:left="720"/>
      </w:pPr>
      <w:r>
        <w:rPr>
          <w:rFonts w:ascii="Nunito Sans" w:hAnsi="Nunito Sans"/>
          <w:sz w:val="22"/>
          <w:szCs w:val="22"/>
        </w:rPr>
        <w:t xml:space="preserve">•  </w:t>
      </w:r>
      <w:r>
        <w:rPr>
          <w:rFonts w:ascii="Nunito Sans" w:hAnsi="Nunito Sans"/>
          <w:sz w:val="22"/>
          <w:szCs w:val="22"/>
        </w:rPr>
        <w:t xml:space="preserve">Near-constant luminance / mid-saturation so sorting requires genuine hue discrimination</w:t>
      </w:r>
    </w:p>
    <w:p>
      <w:pPr>
        <w:spacing w:after="60"/>
        <w:ind w:left="720"/>
      </w:pPr>
      <w:r>
        <w:rPr>
          <w:rFonts w:ascii="Nunito Sans" w:hAnsi="Nunito Sans"/>
          <w:sz w:val="22"/>
          <w:szCs w:val="22"/>
        </w:rPr>
        <w:t xml:space="preserve">•  </w:t>
      </w:r>
      <w:r>
        <w:rPr>
          <w:rFonts w:ascii="Nunito Sans" w:hAnsi="Nunito Sans"/>
          <w:sz w:val="22"/>
          <w:szCs w:val="22"/>
        </w:rPr>
        <w:t xml:space="preserve">Cap numbers hidden on the puck UI during arrangement (numbers were leaking the answer)</w:t>
      </w:r>
    </w:p>
    <w:p>
      <w:pPr>
        <w:spacing w:after="60"/>
        <w:ind w:left="720"/>
      </w:pPr>
      <w:r>
        <w:rPr>
          <w:rFonts w:ascii="Nunito Sans" w:hAnsi="Nunito Sans"/>
          <w:sz w:val="22"/>
          <w:szCs w:val="22"/>
        </w:rPr>
        <w:t xml:space="preserve">•  </w:t>
      </w:r>
      <w:r>
        <w:rPr>
          <w:rFonts w:ascii="Nunito Sans" w:hAnsi="Nunito Sans"/>
          <w:sz w:val="22"/>
          <w:szCs w:val="22"/>
        </w:rPr>
        <w:t xml:space="preserve">Drag-to-reorder arrangement with reference cap fixed at position 0</w:t>
      </w:r>
    </w:p>
    <w:p>
      <w:pPr>
        <w:spacing w:after="60"/>
        <w:ind w:left="720"/>
      </w:pPr>
      <w:r>
        <w:rPr>
          <w:rFonts w:ascii="Nunito Sans" w:hAnsi="Nunito Sans"/>
          <w:sz w:val="22"/>
          <w:szCs w:val="22"/>
        </w:rPr>
        <w:t xml:space="preserve">•  </w:t>
      </w:r>
      <w:r>
        <w:rPr>
          <w:rFonts w:ascii="Nunito Sans" w:hAnsi="Nunito Sans"/>
          <w:sz w:val="22"/>
          <w:szCs w:val="22"/>
        </w:rPr>
        <w:t xml:space="preserve">SVG polar plot of patient's sequence vs. ideal sequence</w:t>
      </w:r>
    </w:p>
    <w:p>
      <w:pPr>
        <w:spacing w:after="60"/>
        <w:ind w:left="360"/>
      </w:pPr>
      <w:r>
        <w:rPr>
          <w:rFonts w:ascii="Nunito Sans" w:hAnsi="Nunito Sans"/>
          <w:sz w:val="22"/>
          <w:szCs w:val="22"/>
        </w:rPr>
        <w:t xml:space="preserve">•  </w:t>
      </w:r>
      <w:r>
        <w:rPr>
          <w:rFonts w:ascii="Nunito Sans" w:hAnsi="Nunito Sans"/>
          <w:b/>
          <w:sz w:val="22"/>
          <w:szCs w:val="22"/>
        </w:rPr>
        <w:t xml:space="preserve">Classification bands:</w:t>
      </w:r>
      <w:r>
        <w:rPr>
          <w:rFonts w:ascii="Nunito Sans" w:hAnsi="Nunito Sans"/>
          <w:sz w:val="22"/>
          <w:szCs w:val="22"/>
        </w:rPr>
        <w:t xml:space="preserve"> AAO-style 3-band (Normal color vision / Borderline / Deficiency detected) — replaces previous arbitrary 4-band scheme</w:t>
      </w:r>
    </w:p>
    <w:p>
      <w:pPr>
        <w:spacing w:after="60"/>
        <w:ind w:left="360"/>
      </w:pPr>
      <w:r>
        <w:rPr>
          <w:rFonts w:ascii="Nunito Sans" w:hAnsi="Nunito Sans"/>
          <w:sz w:val="22"/>
          <w:szCs w:val="22"/>
        </w:rPr>
        <w:t xml:space="preserve">•  </w:t>
      </w:r>
      <w:r>
        <w:rPr>
          <w:rFonts w:ascii="Nunito Sans" w:hAnsi="Nunito Sans"/>
          <w:b/>
          <w:sz w:val="22"/>
          <w:szCs w:val="22"/>
        </w:rPr>
        <w:t xml:space="preserve">Report:</w:t>
      </w:r>
      <w:r>
        <w:rPr>
          <w:rFonts w:ascii="Nunito Sans" w:hAnsi="Nunito Sans"/>
          <w:sz w:val="22"/>
          <w:szCs w:val="22"/>
        </w:rPr>
        <w:t xml:space="preserve"> Patient Classification banner, per-eye polar diagnostic plot, Plate-by-Plate Results table, D-15 results section</w:t>
      </w:r>
    </w:p>
    <w:p>
      <w:pPr>
        <w:spacing w:after="60"/>
        <w:ind w:left="360"/>
      </w:pPr>
      <w:r>
        <w:rPr>
          <w:rFonts w:ascii="Nunito Sans" w:hAnsi="Nunito Sans"/>
          <w:sz w:val="22"/>
          <w:szCs w:val="22"/>
        </w:rPr>
        <w:t xml:space="preserve">•  </w:t>
      </w:r>
      <w:r>
        <w:rPr>
          <w:rFonts w:ascii="Nunito Sans" w:hAnsi="Nunito Sans"/>
          <w:b/>
          <w:sz w:val="22"/>
          <w:szCs w:val="22"/>
        </w:rPr>
        <w:t xml:space="preserve">Session notes</w:t>
      </w:r>
      <w:r>
        <w:rPr>
          <w:rFonts w:ascii="Nunito Sans" w:hAnsi="Nunito Sans"/>
          <w:sz w:val="22"/>
          <w:szCs w:val="22"/>
        </w:rPr>
        <w:t xml:space="preserve"> textarea in sidebar</w:t>
      </w:r>
    </w:p>
    <w:p>
      <w:pPr>
        <w:spacing w:before="240" w:after="80"/>
      </w:pPr>
      <w:r>
        <w:rPr>
          <w:rFonts w:ascii="Nunito Sans" w:hAnsi="Nunito Sans"/>
          <w:b/>
          <w:sz w:val="24"/>
          <w:szCs w:val="24"/>
        </w:rPr>
        <w:t xml:space="preserve">Open clinical questions</w:t>
      </w:r>
    </w:p>
    <w:p>
      <w:pPr>
        <w:spacing w:after="60"/>
        <w:ind w:left="360"/>
      </w:pPr>
      <w:r>
        <w:rPr>
          <w:rFonts w:ascii="Nunito Sans" w:hAnsi="Nunito Sans"/>
          <w:sz w:val="22"/>
          <w:szCs w:val="22"/>
        </w:rPr>
        <w:t xml:space="preserve">•  </w:t>
      </w:r>
      <w:r>
        <w:rPr>
          <w:rFonts w:ascii="Nunito Sans" w:hAnsi="Nunito Sans"/>
          <w:sz w:val="22"/>
          <w:szCs w:val="22"/>
        </w:rPr>
        <w:t xml:space="preserve">Licensed Ishihara plates 5–24 still pending — current placeholders are clearly marked as non-clinical</w:t>
      </w:r>
    </w:p>
    <w:p>
      <w:pPr>
        <w:spacing w:after="60"/>
        <w:ind w:left="360"/>
      </w:pPr>
      <w:r>
        <w:rPr>
          <w:rFonts w:ascii="Nunito Sans" w:hAnsi="Nunito Sans"/>
          <w:sz w:val="22"/>
          <w:szCs w:val="22"/>
        </w:rPr>
        <w:t xml:space="preserve">•  </w:t>
      </w:r>
      <w:r>
        <w:rPr>
          <w:rFonts w:ascii="Nunito Sans" w:hAnsi="Nunito Sans"/>
          <w:sz w:val="22"/>
          <w:szCs w:val="22"/>
        </w:rPr>
        <w:t xml:space="preserve">Confirmation that Munsell V5/C4 approximations meet clinical-grade color accuracy when rendered on the production headset display</w:t>
      </w:r>
    </w:p>
    <w:p>
      <w:pPr>
        <w:spacing w:after="0"/>
      </w:pPr>
    </w:p>
    <w:p>
      <w:pPr>
        <w:spacing w:before="240" w:after="80"/>
      </w:pPr>
      <w:r>
        <w:rPr>
          <w:rFonts w:ascii="Nunito Sans" w:hAnsi="Nunito Sans"/>
          <w:b/>
          <w:sz w:val="28"/>
          <w:szCs w:val="28"/>
        </w:rPr>
        <w:t xml:space="preserve">3. Visual Fields (v0.1.8)</w:t>
      </w:r>
    </w:p>
    <w:p>
      <w:pPr>
        <w:spacing w:before="240" w:after="80"/>
      </w:pPr>
      <w:r>
        <w:rPr>
          <w:rFonts w:ascii="Nunito Sans" w:hAnsi="Nunito Sans"/>
          <w:b/>
          <w:sz w:val="24"/>
          <w:szCs w:val="24"/>
        </w:rPr>
        <w:t xml:space="preserve">Reference standard</w:t>
      </w:r>
    </w:p>
    <w:p>
      <w:pPr>
        <w:spacing w:after="120"/>
      </w:pPr>
      <w:r>
        <w:rPr>
          <w:rFonts w:ascii="Nunito Sans" w:hAnsi="Nunito Sans"/>
          <w:b/>
          <w:sz w:val="22"/>
          <w:szCs w:val="22"/>
        </w:rPr>
        <w:t xml:space="preserve">Humphrey Field Analyzer (HFA) protocols</w:t>
      </w:r>
      <w:r>
        <w:rPr>
          <w:rFonts w:ascii="Nunito Sans" w:hAnsi="Nunito Sans"/>
          <w:sz w:val="22"/>
          <w:szCs w:val="22"/>
        </w:rPr>
        <w:t xml:space="preserve"> — the global gold standard for automated perimetry. Background luminance 31.5 apostilbs (≈ 10 cd/m²). Strategies and patterns mirror the HFA II / HFA III instrument lineup.</w:t>
      </w:r>
    </w:p>
    <w:p>
      <w:pPr>
        <w:spacing w:before="240" w:after="80"/>
      </w:pPr>
      <w:r>
        <w:rPr>
          <w:rFonts w:ascii="Nunito Sans" w:hAnsi="Nunito Sans"/>
          <w:b/>
          <w:sz w:val="24"/>
          <w:szCs w:val="24"/>
        </w:rPr>
        <w:t xml:space="preserve">What's implemented</w:t>
      </w:r>
    </w:p>
    <w:p>
      <w:pPr>
        <w:spacing w:after="60"/>
        <w:ind w:left="360"/>
      </w:pPr>
      <w:r>
        <w:rPr>
          <w:rFonts w:ascii="Nunito Sans" w:hAnsi="Nunito Sans"/>
          <w:sz w:val="22"/>
          <w:szCs w:val="22"/>
        </w:rPr>
        <w:t xml:space="preserve">•  </w:t>
      </w:r>
      <w:r>
        <w:rPr>
          <w:rFonts w:ascii="Nunito Sans" w:hAnsi="Nunito Sans"/>
          <w:b/>
          <w:sz w:val="22"/>
          <w:szCs w:val="22"/>
        </w:rPr>
        <w:t xml:space="preserve">Eye sequence:</w:t>
      </w:r>
      <w:r>
        <w:rPr>
          <w:rFonts w:ascii="Nunito Sans" w:hAnsi="Nunito Sans"/>
          <w:sz w:val="22"/>
          <w:szCs w:val="22"/>
        </w:rPr>
        <w:t xml:space="preserve"> OD-first bilateral (default; user-tweakable to OS-first). For binocular-by-design protocols (Esterman, mEsterman, FDP, cFDP), always OU as a single run.</w:t>
      </w:r>
    </w:p>
    <w:p>
      <w:pPr>
        <w:spacing w:after="60"/>
        <w:ind w:left="360"/>
      </w:pPr>
      <w:r>
        <w:rPr>
          <w:rFonts w:ascii="Nunito Sans" w:hAnsi="Nunito Sans"/>
          <w:sz w:val="22"/>
          <w:szCs w:val="22"/>
        </w:rPr>
        <w:t xml:space="preserve">•  </w:t>
      </w:r>
      <w:r>
        <w:rPr>
          <w:rFonts w:ascii="Nunito Sans" w:hAnsi="Nunito Sans"/>
          <w:b/>
          <w:sz w:val="22"/>
          <w:szCs w:val="22"/>
        </w:rPr>
        <w:t xml:space="preserve">Patterns supported:</w:t>
      </w:r>
    </w:p>
    <w:p>
      <w:pPr>
        <w:spacing w:after="60"/>
        <w:ind w:left="720"/>
      </w:pPr>
      <w:r>
        <w:rPr>
          <w:rFonts w:ascii="Nunito Sans" w:hAnsi="Nunito Sans"/>
          <w:sz w:val="22"/>
          <w:szCs w:val="22"/>
        </w:rPr>
        <w:t xml:space="preserve">•  </w:t>
      </w:r>
      <w:r>
        <w:rPr>
          <w:rFonts w:ascii="Nunito Sans" w:hAnsi="Nunito Sans"/>
          <w:sz w:val="22"/>
          <w:szCs w:val="22"/>
        </w:rPr>
        <w:t xml:space="preserve">Monocular: 10-1, 10-2, 24-1, 24-2, 30-2, Screening, Goldmann</w:t>
      </w:r>
    </w:p>
    <w:p>
      <w:pPr>
        <w:spacing w:after="60"/>
        <w:ind w:left="720"/>
      </w:pPr>
      <w:r>
        <w:rPr>
          <w:rFonts w:ascii="Nunito Sans" w:hAnsi="Nunito Sans"/>
          <w:sz w:val="22"/>
          <w:szCs w:val="22"/>
        </w:rPr>
        <w:t xml:space="preserve">•  </w:t>
      </w:r>
      <w:r>
        <w:rPr>
          <w:rFonts w:ascii="Nunito Sans" w:hAnsi="Nunito Sans"/>
          <w:sz w:val="22"/>
          <w:szCs w:val="22"/>
        </w:rPr>
        <w:t xml:space="preserve">Binocular: Esterman, Modified Esterman (Central), FDP (Frequency Doubling), Combined FDP Mode</w:t>
      </w:r>
    </w:p>
    <w:p>
      <w:pPr>
        <w:spacing w:after="60"/>
        <w:ind w:left="360"/>
      </w:pPr>
      <w:r>
        <w:rPr>
          <w:rFonts w:ascii="Nunito Sans" w:hAnsi="Nunito Sans"/>
          <w:sz w:val="22"/>
          <w:szCs w:val="22"/>
        </w:rPr>
        <w:t xml:space="preserve">•  </w:t>
      </w:r>
      <w:r>
        <w:rPr>
          <w:rFonts w:ascii="Nunito Sans" w:hAnsi="Nunito Sans"/>
          <w:b/>
          <w:sz w:val="22"/>
          <w:szCs w:val="22"/>
        </w:rPr>
        <w:t xml:space="preserve">Strategies:</w:t>
      </w:r>
      <w:r>
        <w:rPr>
          <w:rFonts w:ascii="Nunito Sans" w:hAnsi="Nunito Sans"/>
          <w:sz w:val="22"/>
          <w:szCs w:val="22"/>
        </w:rPr>
        <w:t xml:space="preserve"> SITA-Standard, SITA-Fast (default), SITA-Faster, Full Threshold</w:t>
      </w:r>
    </w:p>
    <w:p>
      <w:pPr>
        <w:spacing w:after="60"/>
        <w:ind w:left="360"/>
      </w:pPr>
      <w:r>
        <w:rPr>
          <w:rFonts w:ascii="Nunito Sans" w:hAnsi="Nunito Sans"/>
          <w:sz w:val="22"/>
          <w:szCs w:val="22"/>
        </w:rPr>
        <w:t xml:space="preserve">•  </w:t>
      </w:r>
      <w:r>
        <w:rPr>
          <w:rFonts w:ascii="Nunito Sans" w:hAnsi="Nunito Sans"/>
          <w:b/>
          <w:sz w:val="22"/>
          <w:szCs w:val="22"/>
        </w:rPr>
        <w:t xml:space="preserve">Stimulus sizes:</w:t>
      </w:r>
      <w:r>
        <w:rPr>
          <w:rFonts w:ascii="Nunito Sans" w:hAnsi="Nunito Sans"/>
          <w:sz w:val="22"/>
          <w:szCs w:val="22"/>
        </w:rPr>
        <w:t xml:space="preserve"> Goldmann III (default, 4 mm² at 1/3 m) and Goldmann V (64 mm²)</w:t>
      </w:r>
    </w:p>
    <w:p>
      <w:pPr>
        <w:spacing w:after="60"/>
        <w:ind w:left="360"/>
      </w:pPr>
      <w:r>
        <w:rPr>
          <w:rFonts w:ascii="Nunito Sans" w:hAnsi="Nunito Sans"/>
          <w:sz w:val="22"/>
          <w:szCs w:val="22"/>
        </w:rPr>
        <w:t xml:space="preserve">•  </w:t>
      </w:r>
      <w:r>
        <w:rPr>
          <w:rFonts w:ascii="Nunito Sans" w:hAnsi="Nunito Sans"/>
          <w:b/>
          <w:sz w:val="22"/>
          <w:szCs w:val="22"/>
        </w:rPr>
        <w:t xml:space="preserve">Foveal threshold calibration</w:t>
      </w:r>
      <w:r>
        <w:rPr>
          <w:rFonts w:ascii="Nunito Sans" w:hAnsi="Nunito Sans"/>
          <w:sz w:val="22"/>
          <w:szCs w:val="22"/>
        </w:rPr>
        <w:t xml:space="preserve"> prior to test start (per-eye, on-grid annotation in report)</w:t>
      </w:r>
    </w:p>
    <w:p>
      <w:pPr>
        <w:spacing w:after="60"/>
        <w:ind w:left="360"/>
      </w:pPr>
      <w:r>
        <w:rPr>
          <w:rFonts w:ascii="Nunito Sans" w:hAnsi="Nunito Sans"/>
          <w:sz w:val="22"/>
          <w:szCs w:val="22"/>
        </w:rPr>
        <w:t xml:space="preserve">•  </w:t>
      </w:r>
      <w:r>
        <w:rPr>
          <w:rFonts w:ascii="Nunito Sans" w:hAnsi="Nunito Sans"/>
          <w:b/>
          <w:sz w:val="22"/>
          <w:szCs w:val="22"/>
        </w:rPr>
        <w:t xml:space="preserve">GHT (Glaucoma Hemifield Test):</w:t>
      </w:r>
      <w:r>
        <w:rPr>
          <w:rFonts w:ascii="Nunito Sans" w:hAnsi="Nunito Sans"/>
          <w:sz w:val="22"/>
          <w:szCs w:val="22"/>
        </w:rPr>
        <w:t xml:space="preserve"> five-category result per eye — Within Normal Limits / Borderline / Outside Normal Limits / General Reduction of Sensitivity / Abnormally High Sensitivity</w:t>
      </w:r>
    </w:p>
    <w:p>
      <w:pPr>
        <w:spacing w:after="60"/>
        <w:ind w:left="360"/>
      </w:pPr>
      <w:r>
        <w:rPr>
          <w:rFonts w:ascii="Nunito Sans" w:hAnsi="Nunito Sans"/>
          <w:sz w:val="22"/>
          <w:szCs w:val="22"/>
        </w:rPr>
        <w:t xml:space="preserve">•  </w:t>
      </w:r>
      <w:r>
        <w:rPr>
          <w:rFonts w:ascii="Nunito Sans" w:hAnsi="Nunito Sans"/>
          <w:b/>
          <w:sz w:val="22"/>
          <w:szCs w:val="22"/>
        </w:rPr>
        <w:t xml:space="preserve">Probability plots:</w:t>
      </w:r>
      <w:r>
        <w:rPr>
          <w:rFonts w:ascii="Nunito Sans" w:hAnsi="Nunito Sans"/>
          <w:sz w:val="22"/>
          <w:szCs w:val="22"/>
        </w:rPr>
        <w:t xml:space="preserve"> Total Deviation + Pattern Deviation, HFA-style symbols (· · ▪ ■ ■)</w:t>
      </w:r>
    </w:p>
    <w:p>
      <w:pPr>
        <w:spacing w:after="60"/>
        <w:ind w:left="360"/>
      </w:pPr>
      <w:r>
        <w:rPr>
          <w:rFonts w:ascii="Nunito Sans" w:hAnsi="Nunito Sans"/>
          <w:sz w:val="22"/>
          <w:szCs w:val="22"/>
        </w:rPr>
        <w:t xml:space="preserve">•  </w:t>
      </w:r>
      <w:r>
        <w:rPr>
          <w:rFonts w:ascii="Nunito Sans" w:hAnsi="Nunito Sans"/>
          <w:b/>
          <w:sz w:val="22"/>
          <w:szCs w:val="22"/>
        </w:rPr>
        <w:t xml:space="preserve">Reliability indices:</w:t>
      </w:r>
      <w:r>
        <w:rPr>
          <w:rFonts w:ascii="Nunito Sans" w:hAnsi="Nunito Sans"/>
          <w:sz w:val="22"/>
          <w:szCs w:val="22"/>
        </w:rPr>
        <w:t xml:space="preserve"> FP / FN / FL with HFA's actual XX-flag thresholds. Two presets selectable as Tweaks:</w:t>
      </w:r>
    </w:p>
    <w:p>
      <w:pPr>
        <w:spacing w:after="60"/>
        <w:ind w:left="720"/>
      </w:pPr>
      <w:r>
        <w:rPr>
          <w:rFonts w:ascii="Nunito Sans" w:hAnsi="Nunito Sans"/>
          <w:sz w:val="22"/>
          <w:szCs w:val="22"/>
        </w:rPr>
        <w:t xml:space="preserve">•  </w:t>
      </w:r>
      <w:r>
        <w:rPr>
          <w:rFonts w:ascii="Nunito Sans" w:hAnsi="Nunito Sans"/>
          <w:sz w:val="22"/>
          <w:szCs w:val="22"/>
        </w:rPr>
        <w:t xml:space="preserve">Standard: FP &lt; 8, FN &lt; 15, FL &lt; 10</w:t>
      </w:r>
    </w:p>
    <w:p>
      <w:pPr>
        <w:spacing w:after="60"/>
        <w:ind w:left="720"/>
      </w:pPr>
      <w:r>
        <w:rPr>
          <w:rFonts w:ascii="Nunito Sans" w:hAnsi="Nunito Sans"/>
          <w:sz w:val="22"/>
          <w:szCs w:val="22"/>
        </w:rPr>
        <w:t xml:space="preserve">•  </w:t>
      </w:r>
      <w:r>
        <w:rPr>
          <w:rFonts w:ascii="Nunito Sans" w:hAnsi="Nunito Sans"/>
          <w:sz w:val="22"/>
          <w:szCs w:val="22"/>
        </w:rPr>
        <w:t xml:space="preserve">Strict: FP &lt; 5, FN &lt; 10, FL &lt; 5</w:t>
      </w:r>
    </w:p>
    <w:p>
      <w:pPr>
        <w:spacing w:after="60"/>
        <w:ind w:left="360"/>
      </w:pPr>
      <w:r>
        <w:rPr>
          <w:rFonts w:ascii="Nunito Sans" w:hAnsi="Nunito Sans"/>
          <w:sz w:val="22"/>
          <w:szCs w:val="22"/>
        </w:rPr>
        <w:t xml:space="preserve">•  </w:t>
      </w:r>
      <w:r>
        <w:rPr>
          <w:rFonts w:ascii="Nunito Sans" w:hAnsi="Nunito Sans"/>
          <w:b/>
          <w:sz w:val="22"/>
          <w:szCs w:val="22"/>
        </w:rPr>
        <w:t xml:space="preserve">Clinical override rule:</w:t>
      </w:r>
      <w:r>
        <w:rPr>
          <w:rFonts w:ascii="Nunito Sans" w:hAnsi="Nunito Sans"/>
          <w:sz w:val="22"/>
          <w:szCs w:val="22"/>
        </w:rPr>
        <w:t xml:space="preserve"> if any eye returns GHT "Outside Normal Limits" or "General Reduction," the Patient Classification banner is forced up at least one severity band — matches standard clinical reading rule for early glaucoma</w:t>
      </w:r>
    </w:p>
    <w:p>
      <w:pPr>
        <w:spacing w:after="60"/>
        <w:ind w:left="360"/>
      </w:pPr>
      <w:r>
        <w:rPr>
          <w:rFonts w:ascii="Nunito Sans" w:hAnsi="Nunito Sans"/>
          <w:sz w:val="22"/>
          <w:szCs w:val="22"/>
        </w:rPr>
        <w:t xml:space="preserve">•  </w:t>
      </w:r>
      <w:r>
        <w:rPr>
          <w:rFonts w:ascii="Nunito Sans" w:hAnsi="Nunito Sans"/>
          <w:b/>
          <w:sz w:val="22"/>
          <w:szCs w:val="22"/>
        </w:rPr>
        <w:t xml:space="preserve">Age-banded reference MD table</w:t>
      </w:r>
      <w:r>
        <w:rPr>
          <w:rFonts w:ascii="Nunito Sans" w:hAnsi="Nunito Sans"/>
          <w:sz w:val="22"/>
          <w:szCs w:val="22"/>
        </w:rPr>
        <w:t xml:space="preserve"> in report (20–30: −0.3 dB → 80+: −3.6 dB)</w:t>
      </w:r>
    </w:p>
    <w:p>
      <w:pPr>
        <w:spacing w:after="60"/>
        <w:ind w:left="360"/>
      </w:pPr>
      <w:r>
        <w:rPr>
          <w:rFonts w:ascii="Nunito Sans" w:hAnsi="Nunito Sans"/>
          <w:sz w:val="22"/>
          <w:szCs w:val="22"/>
        </w:rPr>
        <w:t xml:space="preserve">•  </w:t>
      </w:r>
      <w:r>
        <w:rPr>
          <w:rFonts w:ascii="Nunito Sans" w:hAnsi="Nunito Sans"/>
          <w:b/>
          <w:sz w:val="22"/>
          <w:szCs w:val="22"/>
        </w:rPr>
        <w:t xml:space="preserve">Report indices:</w:t>
      </w:r>
      <w:r>
        <w:rPr>
          <w:rFonts w:ascii="Nunito Sans" w:hAnsi="Nunito Sans"/>
          <w:sz w:val="22"/>
          <w:szCs w:val="22"/>
        </w:rPr>
        <w:t xml:space="preserve"> MD, PSD, VFI per eye, color-coded by Hodapp-Anderson-Parrish bands</w:t>
      </w:r>
    </w:p>
    <w:p>
      <w:pPr>
        <w:spacing w:after="60"/>
        <w:ind w:left="360"/>
      </w:pPr>
      <w:r>
        <w:rPr>
          <w:rFonts w:ascii="Nunito Sans" w:hAnsi="Nunito Sans"/>
          <w:sz w:val="22"/>
          <w:szCs w:val="22"/>
        </w:rPr>
        <w:t xml:space="preserve">•  </w:t>
      </w:r>
      <w:r>
        <w:rPr>
          <w:rFonts w:ascii="Nunito Sans" w:hAnsi="Nunito Sans"/>
          <w:b/>
          <w:sz w:val="22"/>
          <w:szCs w:val="22"/>
        </w:rPr>
        <w:t xml:space="preserve">Cumulative multi-eye report</w:t>
      </w:r>
      <w:r>
        <w:rPr>
          <w:rFonts w:ascii="Nunito Sans" w:hAnsi="Nunito Sans"/>
          <w:sz w:val="22"/>
          <w:szCs w:val="22"/>
        </w:rPr>
        <w:t xml:space="preserve"> with worst-eye-drives-bottom-line classification + per-eye pill summary</w:t>
      </w:r>
    </w:p>
    <w:p>
      <w:pPr>
        <w:spacing w:before="240" w:after="80"/>
      </w:pPr>
      <w:r>
        <w:rPr>
          <w:rFonts w:ascii="Nunito Sans" w:hAnsi="Nunito Sans"/>
          <w:b/>
          <w:sz w:val="24"/>
          <w:szCs w:val="24"/>
        </w:rPr>
        <w:t xml:space="preserve">Open clinical questions (flagged for engineering)</w:t>
      </w:r>
    </w:p>
    <w:p>
      <w:pPr>
        <w:spacing w:after="60"/>
        <w:ind w:left="360"/>
      </w:pPr>
      <w:r>
        <w:rPr>
          <w:rFonts w:ascii="Nunito Sans" w:hAnsi="Nunito Sans"/>
          <w:sz w:val="22"/>
          <w:szCs w:val="22"/>
        </w:rPr>
        <w:t xml:space="preserve">•  </w:t>
      </w:r>
      <w:r>
        <w:rPr>
          <w:rFonts w:ascii="Nunito Sans" w:hAnsi="Nunito Sans"/>
          <w:sz w:val="22"/>
          <w:szCs w:val="22"/>
        </w:rPr>
        <w:t xml:space="preserve">GHT compute location (firmware vs. cloud-side)</w:t>
      </w:r>
    </w:p>
    <w:p>
      <w:pPr>
        <w:spacing w:after="60"/>
        <w:ind w:left="360"/>
      </w:pPr>
      <w:r>
        <w:rPr>
          <w:rFonts w:ascii="Nunito Sans" w:hAnsi="Nunito Sans"/>
          <w:sz w:val="22"/>
          <w:szCs w:val="22"/>
        </w:rPr>
        <w:t xml:space="preserve">•  </w:t>
      </w:r>
      <w:r>
        <w:rPr>
          <w:rFonts w:ascii="Nunito Sans" w:hAnsi="Nunito Sans"/>
          <w:sz w:val="22"/>
          <w:szCs w:val="22"/>
        </w:rPr>
        <w:t xml:space="preserve">Real liquid-lens correction range supported by the headset (placeholder values used currently)</w:t>
      </w:r>
    </w:p>
    <w:p>
      <w:pPr>
        <w:spacing w:after="60"/>
        <w:ind w:left="360"/>
      </w:pPr>
      <w:r>
        <w:rPr>
          <w:rFonts w:ascii="Nunito Sans" w:hAnsi="Nunito Sans"/>
          <w:sz w:val="22"/>
          <w:szCs w:val="22"/>
        </w:rPr>
        <w:t xml:space="preserve">•  </w:t>
      </w:r>
      <w:r>
        <w:rPr>
          <w:rFonts w:ascii="Nunito Sans" w:hAnsi="Nunito Sans"/>
          <w:sz w:val="22"/>
          <w:szCs w:val="22"/>
        </w:rPr>
        <w:t xml:space="preserve">Point counts for any proprietary screen / gold patterns Xenon may add (we've used HFA-standard counts as defaults)</w:t>
      </w:r>
    </w:p>
    <w:p>
      <w:pPr>
        <w:spacing w:after="60"/>
        <w:ind w:left="360"/>
      </w:pPr>
      <w:r>
        <w:rPr>
          <w:rFonts w:ascii="Nunito Sans" w:hAnsi="Nunito Sans"/>
          <w:sz w:val="22"/>
          <w:szCs w:val="22"/>
        </w:rPr>
        <w:t xml:space="preserve">•  </w:t>
      </w:r>
      <w:r>
        <w:rPr>
          <w:rFonts w:ascii="Nunito Sans" w:hAnsi="Nunito Sans"/>
          <w:sz w:val="22"/>
          <w:szCs w:val="22"/>
        </w:rPr>
        <w:t xml:space="preserve">Foveal calibration output shape (single dB value vs. 4-step staircase)</w:t>
      </w:r>
    </w:p>
    <w:p>
      <w:pPr>
        <w:spacing w:after="0"/>
      </w:pPr>
    </w:p>
    <w:p>
      <w:pPr>
        <w:spacing w:before="240" w:after="80"/>
      </w:pPr>
      <w:r>
        <w:rPr>
          <w:rFonts w:ascii="Nunito Sans" w:hAnsi="Nunito Sans"/>
          <w:b/>
          <w:sz w:val="28"/>
          <w:szCs w:val="28"/>
        </w:rPr>
        <w:t xml:space="preserve">4. Wavefront Aberrometry (v0.1.9)</w:t>
      </w:r>
    </w:p>
    <w:p>
      <w:pPr>
        <w:spacing w:before="240" w:after="80"/>
      </w:pPr>
      <w:r>
        <w:rPr>
          <w:rFonts w:ascii="Nunito Sans" w:hAnsi="Nunito Sans"/>
          <w:b/>
          <w:sz w:val="24"/>
          <w:szCs w:val="24"/>
        </w:rPr>
        <w:t xml:space="preserve">Reference standard</w:t>
      </w:r>
    </w:p>
    <w:p>
      <w:pPr>
        <w:spacing w:after="120"/>
      </w:pPr>
      <w:r>
        <w:rPr>
          <w:rFonts w:ascii="Nunito Sans" w:hAnsi="Nunito Sans"/>
          <w:b/>
          <w:sz w:val="22"/>
          <w:szCs w:val="22"/>
        </w:rPr>
        <w:t xml:space="preserve">Hartmann-Shack wavefront sensor</w:t>
      </w:r>
      <w:r>
        <w:rPr>
          <w:rFonts w:ascii="Nunito Sans" w:hAnsi="Nunito Sans"/>
          <w:sz w:val="22"/>
          <w:szCs w:val="22"/>
        </w:rPr>
        <w:t xml:space="preserve"> output mapped to </w:t>
      </w:r>
      <w:r>
        <w:rPr>
          <w:rFonts w:ascii="Nunito Sans" w:hAnsi="Nunito Sans"/>
          <w:b/>
          <w:sz w:val="22"/>
          <w:szCs w:val="22"/>
        </w:rPr>
        <w:t xml:space="preserve">Zernike polynomial coefficients</w:t>
      </w:r>
      <w:r>
        <w:rPr>
          <w:rFonts w:ascii="Nunito Sans" w:hAnsi="Nunito Sans"/>
          <w:sz w:val="22"/>
          <w:szCs w:val="22"/>
        </w:rPr>
        <w:t xml:space="preserve"> (OSA / ANSI ordering convention). Lower-order aberrations (defocus + astigmatism) plus higher-order aberrations (HOAs) — coma, trefoil, spherical aberration. Reference range for HOAs is calibrated to a </w:t>
      </w:r>
      <w:r>
        <w:rPr>
          <w:rFonts w:ascii="Nunito Sans" w:hAnsi="Nunito Sans"/>
          <w:b/>
          <w:sz w:val="22"/>
          <w:szCs w:val="22"/>
        </w:rPr>
        <w:t xml:space="preserve">6.0 mm analysis diameter</w:t>
      </w:r>
      <w:r>
        <w:rPr>
          <w:rFonts w:ascii="Nunito Sans" w:hAnsi="Nunito Sans"/>
          <w:sz w:val="22"/>
          <w:szCs w:val="22"/>
        </w:rPr>
        <w:t xml:space="preserve"> per industry standard (NIDEK OPD-Scan, iDesign, Alcon WaveLight).</w:t>
      </w:r>
    </w:p>
    <w:p>
      <w:pPr>
        <w:spacing w:before="240" w:after="80"/>
      </w:pPr>
      <w:r>
        <w:rPr>
          <w:rFonts w:ascii="Nunito Sans" w:hAnsi="Nunito Sans"/>
          <w:b/>
          <w:sz w:val="24"/>
          <w:szCs w:val="24"/>
        </w:rPr>
        <w:t xml:space="preserve">What's implemented</w:t>
      </w:r>
    </w:p>
    <w:p>
      <w:pPr>
        <w:spacing w:after="60"/>
        <w:ind w:left="360"/>
      </w:pPr>
      <w:r>
        <w:rPr>
          <w:rFonts w:ascii="Nunito Sans" w:hAnsi="Nunito Sans"/>
          <w:sz w:val="22"/>
          <w:szCs w:val="22"/>
        </w:rPr>
        <w:t xml:space="preserve">•  </w:t>
      </w:r>
      <w:r>
        <w:rPr>
          <w:rFonts w:ascii="Nunito Sans" w:hAnsi="Nunito Sans"/>
          <w:b/>
          <w:sz w:val="22"/>
          <w:szCs w:val="22"/>
        </w:rPr>
        <w:t xml:space="preserve">Eye sequence:</w:t>
      </w:r>
      <w:r>
        <w:rPr>
          <w:rFonts w:ascii="Nunito Sans" w:hAnsi="Nunito Sans"/>
          <w:sz w:val="22"/>
          <w:szCs w:val="22"/>
        </w:rPr>
        <w:t xml:space="preserve"> OD-first bilateral. OU runs OD then OS as two discrete captures with full-screen transition prompt and breadcrumb.</w:t>
      </w:r>
    </w:p>
    <w:p>
      <w:pPr>
        <w:spacing w:after="60"/>
        <w:ind w:left="360"/>
      </w:pPr>
      <w:r>
        <w:rPr>
          <w:rFonts w:ascii="Nunito Sans" w:hAnsi="Nunito Sans"/>
          <w:sz w:val="22"/>
          <w:szCs w:val="22"/>
        </w:rPr>
        <w:t xml:space="preserve">•  </w:t>
      </w:r>
      <w:r>
        <w:rPr>
          <w:rFonts w:ascii="Nunito Sans" w:hAnsi="Nunito Sans"/>
          <w:b/>
          <w:sz w:val="22"/>
          <w:szCs w:val="22"/>
        </w:rPr>
        <w:t xml:space="preserve">Three-phase flow:</w:t>
      </w:r>
      <w:r>
        <w:rPr>
          <w:rFonts w:ascii="Nunito Sans" w:hAnsi="Nunito Sans"/>
          <w:sz w:val="22"/>
          <w:szCs w:val="22"/>
        </w:rPr>
        <w:t xml:space="preserve"> eye selection (ready) → init → calibrating → capturing → complete (testing) → report</w:t>
      </w:r>
    </w:p>
    <w:p>
      <w:pPr>
        <w:spacing w:after="60"/>
        <w:ind w:left="360"/>
      </w:pPr>
      <w:r>
        <w:rPr>
          <w:rFonts w:ascii="Nunito Sans" w:hAnsi="Nunito Sans"/>
          <w:sz w:val="22"/>
          <w:szCs w:val="22"/>
        </w:rPr>
        <w:t xml:space="preserve">•  </w:t>
      </w:r>
      <w:r>
        <w:rPr>
          <w:rFonts w:ascii="Nunito Sans" w:hAnsi="Nunito Sans"/>
          <w:b/>
          <w:sz w:val="22"/>
          <w:szCs w:val="22"/>
        </w:rPr>
        <w:t xml:space="preserve">Capture mechanics:</w:t>
      </w:r>
      <w:r>
        <w:rPr>
          <w:rFonts w:ascii="Nunito Sans" w:hAnsi="Nunito Sans"/>
          <w:sz w:val="22"/>
          <w:szCs w:val="22"/>
        </w:rPr>
        <w:t xml:space="preserve"> 3 measurements averaged per eye (published clinical minimum)</w:t>
      </w:r>
    </w:p>
    <w:p>
      <w:pPr>
        <w:spacing w:after="60"/>
        <w:ind w:left="360"/>
      </w:pPr>
      <w:r>
        <w:rPr>
          <w:rFonts w:ascii="Nunito Sans" w:hAnsi="Nunito Sans"/>
          <w:sz w:val="22"/>
          <w:szCs w:val="22"/>
        </w:rPr>
        <w:t xml:space="preserve">•  </w:t>
      </w:r>
      <w:r>
        <w:rPr>
          <w:rFonts w:ascii="Nunito Sans" w:hAnsi="Nunito Sans"/>
          <w:b/>
          <w:sz w:val="22"/>
          <w:szCs w:val="22"/>
        </w:rPr>
        <w:t xml:space="preserve">Analysis diameter:</w:t>
      </w:r>
      <w:r>
        <w:rPr>
          <w:rFonts w:ascii="Nunito Sans" w:hAnsi="Nunito Sans"/>
          <w:sz w:val="22"/>
          <w:szCs w:val="22"/>
        </w:rPr>
        <w:t xml:space="preserve"> 6.0 mm (industry-standard reference for HOA RMS normals)</w:t>
      </w:r>
    </w:p>
    <w:p>
      <w:pPr>
        <w:spacing w:after="60"/>
        <w:ind w:left="360"/>
      </w:pPr>
      <w:r>
        <w:rPr>
          <w:rFonts w:ascii="Nunito Sans" w:hAnsi="Nunito Sans"/>
          <w:sz w:val="22"/>
          <w:szCs w:val="22"/>
        </w:rPr>
        <w:t xml:space="preserve">•  </w:t>
      </w:r>
      <w:r>
        <w:rPr>
          <w:rFonts w:ascii="Nunito Sans" w:hAnsi="Nunito Sans"/>
          <w:b/>
          <w:sz w:val="22"/>
          <w:szCs w:val="22"/>
        </w:rPr>
        <w:t xml:space="preserve">Axis values:</w:t>
      </w:r>
      <w:r>
        <w:rPr>
          <w:rFonts w:ascii="Nunito Sans" w:hAnsi="Nunito Sans"/>
          <w:sz w:val="22"/>
          <w:szCs w:val="22"/>
        </w:rPr>
        <w:t xml:space="preserve"> unsigned 0–180° (correct convention; the legacy implementation had a clinically-impossible negative axis bug)</w:t>
      </w:r>
    </w:p>
    <w:p>
      <w:pPr>
        <w:spacing w:after="60"/>
        <w:ind w:left="360"/>
      </w:pPr>
      <w:r>
        <w:rPr>
          <w:rFonts w:ascii="Nunito Sans" w:hAnsi="Nunito Sans"/>
          <w:sz w:val="22"/>
          <w:szCs w:val="22"/>
        </w:rPr>
        <w:t xml:space="preserve">•  </w:t>
      </w:r>
      <w:r>
        <w:rPr>
          <w:rFonts w:ascii="Nunito Sans" w:hAnsi="Nunito Sans"/>
          <w:b/>
          <w:sz w:val="22"/>
          <w:szCs w:val="22"/>
        </w:rPr>
        <w:t xml:space="preserve">Spherical aberration units:</w:t>
      </w:r>
      <w:r>
        <w:rPr>
          <w:rFonts w:ascii="Nunito Sans" w:hAnsi="Nunito Sans"/>
          <w:sz w:val="22"/>
          <w:szCs w:val="22"/>
        </w:rPr>
        <w:t xml:space="preserve"> micrometres (μm) — correct unit, not millimetres</w:t>
      </w:r>
    </w:p>
    <w:p>
      <w:pPr>
        <w:spacing w:after="60"/>
        <w:ind w:left="360"/>
      </w:pPr>
      <w:r>
        <w:rPr>
          <w:rFonts w:ascii="Nunito Sans" w:hAnsi="Nunito Sans"/>
          <w:sz w:val="22"/>
          <w:szCs w:val="22"/>
        </w:rPr>
        <w:t xml:space="preserve">•  </w:t>
      </w:r>
      <w:r>
        <w:rPr>
          <w:rFonts w:ascii="Nunito Sans" w:hAnsi="Nunito Sans"/>
          <w:b/>
          <w:sz w:val="22"/>
          <w:szCs w:val="22"/>
        </w:rPr>
        <w:t xml:space="preserve">Zernike notation:</w:t>
      </w:r>
      <w:r>
        <w:rPr>
          <w:rFonts w:ascii="Nunito Sans" w:hAnsi="Nunito Sans"/>
          <w:sz w:val="22"/>
          <w:szCs w:val="22"/>
        </w:rPr>
        <w:t xml:space="preserve"> Z₄⁰ rendered with proper subscript / superscript per OSA / ANSI standard</w:t>
      </w:r>
    </w:p>
    <w:p>
      <w:pPr>
        <w:spacing w:after="60"/>
        <w:ind w:left="360"/>
      </w:pPr>
      <w:r>
        <w:rPr>
          <w:rFonts w:ascii="Nunito Sans" w:hAnsi="Nunito Sans"/>
          <w:sz w:val="22"/>
          <w:szCs w:val="22"/>
        </w:rPr>
        <w:t xml:space="preserve">•  </w:t>
      </w:r>
      <w:r>
        <w:rPr>
          <w:rFonts w:ascii="Nunito Sans" w:hAnsi="Nunito Sans"/>
          <w:b/>
          <w:sz w:val="22"/>
          <w:szCs w:val="22"/>
        </w:rPr>
        <w:t xml:space="preserve">Primary metrics surfaced:</w:t>
      </w:r>
    </w:p>
    <w:p>
      <w:pPr>
        <w:spacing w:after="60"/>
        <w:ind w:left="720"/>
      </w:pPr>
      <w:r>
        <w:rPr>
          <w:rFonts w:ascii="Nunito Sans" w:hAnsi="Nunito Sans"/>
          <w:sz w:val="22"/>
          <w:szCs w:val="22"/>
        </w:rPr>
        <w:t xml:space="preserve">•  </w:t>
      </w:r>
      <w:r>
        <w:rPr>
          <w:rFonts w:ascii="Nunito Sans" w:hAnsi="Nunito Sans"/>
          <w:sz w:val="22"/>
          <w:szCs w:val="22"/>
        </w:rPr>
        <w:t xml:space="preserve">Sphere · Cylinder · Axis (lower-order Rx equivalent)</w:t>
      </w:r>
    </w:p>
    <w:p>
      <w:pPr>
        <w:spacing w:after="60"/>
        <w:ind w:left="720"/>
      </w:pPr>
      <w:r>
        <w:rPr>
          <w:rFonts w:ascii="Nunito Sans" w:hAnsi="Nunito Sans"/>
          <w:sz w:val="22"/>
          <w:szCs w:val="22"/>
        </w:rPr>
        <w:t xml:space="preserve">•  </w:t>
      </w:r>
      <w:r>
        <w:rPr>
          <w:rFonts w:ascii="Nunito Sans" w:hAnsi="Nunito Sans"/>
          <w:b/>
          <w:sz w:val="22"/>
          <w:szCs w:val="22"/>
        </w:rPr>
        <w:t xml:space="preserve">Total HOA RMS</w:t>
      </w:r>
      <w:r>
        <w:rPr>
          <w:rFonts w:ascii="Nunito Sans" w:hAnsi="Nunito Sans"/>
          <w:sz w:val="22"/>
          <w:szCs w:val="22"/>
        </w:rPr>
        <w:t xml:space="preserve"> (the primary clinical summary metric)</w:t>
      </w:r>
    </w:p>
    <w:p>
      <w:pPr>
        <w:spacing w:after="60"/>
        <w:ind w:left="720"/>
      </w:pPr>
      <w:r>
        <w:rPr>
          <w:rFonts w:ascii="Nunito Sans" w:hAnsi="Nunito Sans"/>
          <w:sz w:val="22"/>
          <w:szCs w:val="22"/>
        </w:rPr>
        <w:t xml:space="preserve">•  </w:t>
      </w:r>
      <w:r>
        <w:rPr>
          <w:rFonts w:ascii="Nunito Sans" w:hAnsi="Nunito Sans"/>
          <w:b/>
          <w:sz w:val="22"/>
          <w:szCs w:val="22"/>
        </w:rPr>
        <w:t xml:space="preserve">Coma RMS</w:t>
      </w:r>
      <w:r>
        <w:rPr>
          <w:rFonts w:ascii="Nunito Sans" w:hAnsi="Nunito Sans"/>
          <w:sz w:val="22"/>
          <w:szCs w:val="22"/>
        </w:rPr>
        <w:t xml:space="preserve"> (the most clinically significant individual HOA term)</w:t>
      </w:r>
    </w:p>
    <w:p>
      <w:pPr>
        <w:spacing w:after="60"/>
        <w:ind w:left="360"/>
      </w:pPr>
      <w:r>
        <w:rPr>
          <w:rFonts w:ascii="Nunito Sans" w:hAnsi="Nunito Sans"/>
          <w:sz w:val="22"/>
          <w:szCs w:val="22"/>
        </w:rPr>
        <w:t xml:space="preserve">•  </w:t>
      </w:r>
      <w:r>
        <w:rPr>
          <w:rFonts w:ascii="Nunito Sans" w:hAnsi="Nunito Sans"/>
          <w:b/>
          <w:sz w:val="22"/>
          <w:szCs w:val="22"/>
        </w:rPr>
        <w:t xml:space="preserve">Clinical interpretation thresholds</w:t>
      </w:r>
      <w:r>
        <w:rPr>
          <w:rFonts w:ascii="Nunito Sans" w:hAnsi="Nunito Sans"/>
          <w:sz w:val="22"/>
          <w:szCs w:val="22"/>
        </w:rPr>
        <w:t xml:space="preserve"> (Applegate / Marsack literature for 6mm pupil):</w:t>
      </w:r>
    </w:p>
    <w:p>
      <w:pPr>
        <w:spacing w:after="60"/>
        <w:ind w:left="720"/>
      </w:pPr>
      <w:r>
        <w:rPr>
          <w:rFonts w:ascii="Nunito Sans" w:hAnsi="Nunito Sans"/>
          <w:sz w:val="22"/>
          <w:szCs w:val="22"/>
        </w:rPr>
        <w:t xml:space="preserve">•  </w:t>
      </w:r>
      <w:r>
        <w:rPr>
          <w:rFonts w:ascii="Nunito Sans" w:hAnsi="Nunito Sans"/>
          <w:sz w:val="22"/>
          <w:szCs w:val="22"/>
        </w:rPr>
        <w:t xml:space="preserve">Excellent: HOA RMS &lt; 0.15 μm</w:t>
      </w:r>
    </w:p>
    <w:p>
      <w:pPr>
        <w:spacing w:after="60"/>
        <w:ind w:left="720"/>
      </w:pPr>
      <w:r>
        <w:rPr>
          <w:rFonts w:ascii="Nunito Sans" w:hAnsi="Nunito Sans"/>
          <w:sz w:val="22"/>
          <w:szCs w:val="22"/>
        </w:rPr>
        <w:t xml:space="preserve">•  </w:t>
      </w:r>
      <w:r>
        <w:rPr>
          <w:rFonts w:ascii="Nunito Sans" w:hAnsi="Nunito Sans"/>
          <w:sz w:val="22"/>
          <w:szCs w:val="22"/>
        </w:rPr>
        <w:t xml:space="preserve">Good: HOA RMS &lt; 0.30 μm</w:t>
      </w:r>
    </w:p>
    <w:p>
      <w:pPr>
        <w:spacing w:after="60"/>
        <w:ind w:left="720"/>
      </w:pPr>
      <w:r>
        <w:rPr>
          <w:rFonts w:ascii="Nunito Sans" w:hAnsi="Nunito Sans"/>
          <w:sz w:val="22"/>
          <w:szCs w:val="22"/>
        </w:rPr>
        <w:t xml:space="preserve">•  </w:t>
      </w:r>
      <w:r>
        <w:rPr>
          <w:rFonts w:ascii="Nunito Sans" w:hAnsi="Nunito Sans"/>
          <w:sz w:val="22"/>
          <w:szCs w:val="22"/>
        </w:rPr>
        <w:t xml:space="preserve">Mildly elevated: HOA RMS &lt; 0.45 μm</w:t>
      </w:r>
    </w:p>
    <w:p>
      <w:pPr>
        <w:spacing w:after="60"/>
        <w:ind w:left="720"/>
      </w:pPr>
      <w:r>
        <w:rPr>
          <w:rFonts w:ascii="Nunito Sans" w:hAnsi="Nunito Sans"/>
          <w:sz w:val="22"/>
          <w:szCs w:val="22"/>
        </w:rPr>
        <w:t xml:space="preserve">•  </w:t>
      </w:r>
      <w:r>
        <w:rPr>
          <w:rFonts w:ascii="Nunito Sans" w:hAnsi="Nunito Sans"/>
          <w:sz w:val="22"/>
          <w:szCs w:val="22"/>
        </w:rPr>
        <w:t xml:space="preserve">Significantly elevated: HOA RMS ≥ 0.45 μm</w:t>
      </w:r>
    </w:p>
    <w:p>
      <w:pPr>
        <w:spacing w:after="60"/>
        <w:ind w:left="360"/>
      </w:pPr>
      <w:r>
        <w:rPr>
          <w:rFonts w:ascii="Nunito Sans" w:hAnsi="Nunito Sans"/>
          <w:sz w:val="22"/>
          <w:szCs w:val="22"/>
        </w:rPr>
        <w:t xml:space="preserve">•  </w:t>
      </w:r>
      <w:r>
        <w:rPr>
          <w:rFonts w:ascii="Nunito Sans" w:hAnsi="Nunito Sans"/>
          <w:b/>
          <w:sz w:val="22"/>
          <w:szCs w:val="22"/>
        </w:rPr>
        <w:t xml:space="preserve">Elevated-HOA amber flag</w:t>
      </w:r>
      <w:r>
        <w:rPr>
          <w:rFonts w:ascii="Nunito Sans" w:hAnsi="Nunito Sans"/>
          <w:sz w:val="22"/>
          <w:szCs w:val="22"/>
        </w:rPr>
        <w:t xml:space="preserve"> automatically surfaces during capture when HOA RMS &gt; 0.30 μm</w:t>
      </w:r>
    </w:p>
    <w:p>
      <w:pPr>
        <w:spacing w:after="60"/>
        <w:ind w:left="360"/>
      </w:pPr>
      <w:r>
        <w:rPr>
          <w:rFonts w:ascii="Nunito Sans" w:hAnsi="Nunito Sans"/>
          <w:sz w:val="22"/>
          <w:szCs w:val="22"/>
        </w:rPr>
        <w:t xml:space="preserve">•  </w:t>
      </w:r>
      <w:r>
        <w:rPr>
          <w:rFonts w:ascii="Nunito Sans" w:hAnsi="Nunito Sans"/>
          <w:b/>
          <w:sz w:val="22"/>
          <w:szCs w:val="22"/>
        </w:rPr>
        <w:t xml:space="preserve">Four view types</w:t>
      </w:r>
      <w:r>
        <w:rPr>
          <w:rFonts w:ascii="Nunito Sans" w:hAnsi="Nunito Sans"/>
          <w:sz w:val="22"/>
          <w:szCs w:val="22"/>
        </w:rPr>
        <w:t xml:space="preserve"> in report: Pupil image · Centroid image · Full wavefront · Higher orders only</w:t>
      </w:r>
    </w:p>
    <w:p>
      <w:pPr>
        <w:spacing w:after="60"/>
        <w:ind w:left="360"/>
      </w:pPr>
      <w:r>
        <w:rPr>
          <w:rFonts w:ascii="Nunito Sans" w:hAnsi="Nunito Sans"/>
          <w:sz w:val="22"/>
          <w:szCs w:val="22"/>
        </w:rPr>
        <w:t xml:space="preserve">•  </w:t>
      </w:r>
      <w:r>
        <w:rPr>
          <w:rFonts w:ascii="Nunito Sans" w:hAnsi="Nunito Sans"/>
          <w:b/>
          <w:sz w:val="22"/>
          <w:szCs w:val="22"/>
        </w:rPr>
        <w:t xml:space="preserve">Color-scale legend</w:t>
      </w:r>
      <w:r>
        <w:rPr>
          <w:rFonts w:ascii="Nunito Sans" w:hAnsi="Nunito Sans"/>
          <w:sz w:val="22"/>
          <w:szCs w:val="22"/>
        </w:rPr>
        <w:t xml:space="preserve"> under the wavefront map (−60 μm / 0 / +60 μm) — required clinical interpretation aid</w:t>
      </w:r>
    </w:p>
    <w:p>
      <w:pPr>
        <w:spacing w:after="60"/>
        <w:ind w:left="360"/>
      </w:pPr>
      <w:r>
        <w:rPr>
          <w:rFonts w:ascii="Nunito Sans" w:hAnsi="Nunito Sans"/>
          <w:sz w:val="22"/>
          <w:szCs w:val="22"/>
        </w:rPr>
        <w:t xml:space="preserve">•  </w:t>
      </w:r>
      <w:r>
        <w:rPr>
          <w:rFonts w:ascii="Nunito Sans" w:hAnsi="Nunito Sans"/>
          <w:b/>
          <w:sz w:val="22"/>
          <w:szCs w:val="22"/>
        </w:rPr>
        <w:t xml:space="preserve">False-color wavefront convention:</w:t>
      </w:r>
      <w:r>
        <w:rPr>
          <w:rFonts w:ascii="Nunito Sans" w:hAnsi="Nunito Sans"/>
          <w:sz w:val="22"/>
          <w:szCs w:val="22"/>
        </w:rPr>
        <w:t xml:space="preserve"> blue (negative deviation) → green (zero) → yellow / red / pink (positive). Standard across NIDEK / Alcon / iDesign.</w:t>
      </w:r>
    </w:p>
    <w:p>
      <w:pPr>
        <w:spacing w:before="240" w:after="80"/>
      </w:pPr>
      <w:r>
        <w:rPr>
          <w:rFonts w:ascii="Nunito Sans" w:hAnsi="Nunito Sans"/>
          <w:b/>
          <w:sz w:val="24"/>
          <w:szCs w:val="24"/>
        </w:rPr>
        <w:t xml:space="preserve">Open clinical questions (flagged for engineering)</w:t>
      </w:r>
    </w:p>
    <w:p>
      <w:pPr>
        <w:spacing w:after="60"/>
        <w:ind w:left="360"/>
      </w:pPr>
      <w:r>
        <w:rPr>
          <w:rFonts w:ascii="Nunito Sans" w:hAnsi="Nunito Sans"/>
          <w:sz w:val="22"/>
          <w:szCs w:val="22"/>
        </w:rPr>
        <w:t xml:space="preserve">•  </w:t>
      </w:r>
      <w:r>
        <w:rPr>
          <w:rFonts w:ascii="Nunito Sans" w:hAnsi="Nunito Sans"/>
          <w:sz w:val="22"/>
          <w:szCs w:val="22"/>
        </w:rPr>
        <w:t xml:space="preserve">Real Hartmann-Shack analysis-diameter range supported by the headset firmware</w:t>
      </w:r>
    </w:p>
    <w:p>
      <w:pPr>
        <w:spacing w:after="60"/>
        <w:ind w:left="360"/>
      </w:pPr>
      <w:r>
        <w:rPr>
          <w:rFonts w:ascii="Nunito Sans" w:hAnsi="Nunito Sans"/>
          <w:sz w:val="22"/>
          <w:szCs w:val="22"/>
        </w:rPr>
        <w:t xml:space="preserve">•  </w:t>
      </w:r>
      <w:r>
        <w:rPr>
          <w:rFonts w:ascii="Nunito Sans" w:hAnsi="Nunito Sans"/>
          <w:sz w:val="22"/>
          <w:szCs w:val="22"/>
        </w:rPr>
        <w:t xml:space="preserve">Number of frames averaged — fixed at 3 in UI, but firmware may be configurable / adaptive</w:t>
      </w:r>
    </w:p>
    <w:p>
      <w:pPr>
        <w:spacing w:after="60"/>
        <w:ind w:left="360"/>
      </w:pPr>
      <w:r>
        <w:rPr>
          <w:rFonts w:ascii="Nunito Sans" w:hAnsi="Nunito Sans"/>
          <w:sz w:val="22"/>
          <w:szCs w:val="22"/>
        </w:rPr>
        <w:t xml:space="preserve">•  </w:t>
      </w:r>
      <w:r>
        <w:rPr>
          <w:rFonts w:ascii="Nunito Sans" w:hAnsi="Nunito Sans"/>
          <w:sz w:val="22"/>
          <w:szCs w:val="22"/>
        </w:rPr>
        <w:t xml:space="preserve">Full Zernike coefficient vector availability vs. summary metrics only</w:t>
      </w:r>
    </w:p>
    <w:p>
      <w:pPr>
        <w:spacing w:after="60"/>
        <w:ind w:left="360"/>
      </w:pPr>
      <w:r>
        <w:rPr>
          <w:rFonts w:ascii="Nunito Sans" w:hAnsi="Nunito Sans"/>
          <w:sz w:val="22"/>
          <w:szCs w:val="22"/>
        </w:rPr>
        <w:t xml:space="preserve">•  </w:t>
      </w:r>
      <w:r>
        <w:rPr>
          <w:rFonts w:ascii="Nunito Sans" w:hAnsi="Nunito Sans"/>
          <w:sz w:val="22"/>
          <w:szCs w:val="22"/>
        </w:rPr>
        <w:t xml:space="preserve">Firmware-emitted color-scale range (UI assumes ±60 μm; engineering to confirm)</w:t>
      </w:r>
    </w:p>
    <w:p>
      <w:pPr>
        <w:spacing w:after="0"/>
      </w:pPr>
    </w:p>
    <w:p>
      <w:pPr>
        <w:spacing w:before="240" w:after="80"/>
      </w:pPr>
      <w:r>
        <w:rPr>
          <w:rFonts w:ascii="Nunito Sans" w:hAnsi="Nunito Sans"/>
          <w:b/>
          <w:sz w:val="28"/>
          <w:szCs w:val="28"/>
        </w:rPr>
        <w:t xml:space="preserve">5. Extraocular Motility (v0.2.1)</w:t>
      </w:r>
    </w:p>
    <w:p>
      <w:pPr>
        <w:spacing w:before="240" w:after="80"/>
      </w:pPr>
      <w:r>
        <w:rPr>
          <w:rFonts w:ascii="Nunito Sans" w:hAnsi="Nunito Sans"/>
          <w:b/>
          <w:sz w:val="24"/>
          <w:szCs w:val="24"/>
        </w:rPr>
        <w:t xml:space="preserve">Reference standard</w:t>
      </w:r>
    </w:p>
    <w:p>
      <w:pPr>
        <w:spacing w:after="120"/>
      </w:pPr>
      <w:r>
        <w:rPr>
          <w:rFonts w:ascii="Nunito Sans" w:hAnsi="Nunito Sans"/>
          <w:b/>
          <w:sz w:val="22"/>
          <w:szCs w:val="22"/>
        </w:rPr>
        <w:t xml:space="preserve">International EOM grading scale (0 to ±4)</w:t>
      </w:r>
      <w:r>
        <w:rPr>
          <w:rFonts w:ascii="Nunito Sans" w:hAnsi="Nunito Sans"/>
          <w:sz w:val="22"/>
          <w:szCs w:val="22"/>
        </w:rPr>
        <w:t xml:space="preserve"> — 0 = normal, negative values = underaction, positive values = overaction. </w:t>
      </w:r>
      <w:r>
        <w:rPr>
          <w:rFonts w:ascii="Nunito Sans" w:hAnsi="Nunito Sans"/>
          <w:b/>
          <w:sz w:val="22"/>
          <w:szCs w:val="22"/>
        </w:rPr>
        <w:t xml:space="preserve">9 cardinal positions of gaze</w:t>
      </w:r>
      <w:r>
        <w:rPr>
          <w:rFonts w:ascii="Nunito Sans" w:hAnsi="Nunito Sans"/>
          <w:sz w:val="22"/>
          <w:szCs w:val="22"/>
        </w:rPr>
        <w:t xml:space="preserve"> including primary, with </w:t>
      </w:r>
      <w:r>
        <w:rPr>
          <w:rFonts w:ascii="Nunito Sans" w:hAnsi="Nunito Sans"/>
          <w:b/>
          <w:sz w:val="22"/>
          <w:szCs w:val="22"/>
        </w:rPr>
        <w:t xml:space="preserve">primary + secondary muscle / cranial nerve mapping</w:t>
      </w:r>
      <w:r>
        <w:rPr>
          <w:rFonts w:ascii="Nunito Sans" w:hAnsi="Nunito Sans"/>
          <w:sz w:val="22"/>
          <w:szCs w:val="22"/>
        </w:rPr>
        <w:t xml:space="preserve"> per position so CN III, IV, and VI palsy can be correctly read from the results.</w:t>
      </w:r>
    </w:p>
    <w:p>
      <w:pPr>
        <w:spacing w:before="240" w:after="80"/>
      </w:pPr>
      <w:r>
        <w:rPr>
          <w:rFonts w:ascii="Nunito Sans" w:hAnsi="Nunito Sans"/>
          <w:b/>
          <w:sz w:val="24"/>
          <w:szCs w:val="24"/>
        </w:rPr>
        <w:t xml:space="preserve">What's implemented</w:t>
      </w:r>
    </w:p>
    <w:p>
      <w:pPr>
        <w:spacing w:after="60"/>
        <w:ind w:left="360"/>
      </w:pPr>
      <w:r>
        <w:rPr>
          <w:rFonts w:ascii="Nunito Sans" w:hAnsi="Nunito Sans"/>
          <w:sz w:val="22"/>
          <w:szCs w:val="22"/>
        </w:rPr>
        <w:t xml:space="preserve">•  </w:t>
      </w:r>
      <w:r>
        <w:rPr>
          <w:rFonts w:ascii="Nunito Sans" w:hAnsi="Nunito Sans"/>
          <w:b/>
          <w:sz w:val="22"/>
          <w:szCs w:val="22"/>
        </w:rPr>
        <w:t xml:space="preserve">Three-phase flow</w:t>
      </w:r>
      <w:r>
        <w:rPr>
          <w:rFonts w:ascii="Nunito Sans" w:hAnsi="Nunito Sans"/>
          <w:sz w:val="22"/>
          <w:szCs w:val="22"/>
        </w:rPr>
        <w:t xml:space="preserve"> with internal sub-test state machine inside testing:</w:t>
      </w:r>
    </w:p>
    <w:p>
      <w:pPr>
        <w:spacing w:after="120"/>
      </w:pPr>
      <w:r>
        <w:rPr>
          <w:rFonts w:ascii="Nunito Sans" w:hAnsi="Nunito Sans"/>
          <w:sz w:val="22"/>
          <w:szCs w:val="22"/>
        </w:rPr>
        <w:t xml:space="preserve">  ```</w:t>
      </w:r>
    </w:p>
    <w:p>
      <w:pPr>
        <w:spacing w:after="120"/>
      </w:pPr>
      <w:r>
        <w:rPr>
          <w:rFonts w:ascii="Nunito Sans" w:hAnsi="Nunito Sans"/>
          <w:sz w:val="22"/>
          <w:szCs w:val="22"/>
        </w:rPr>
        <w:t xml:space="preserve">  ready (setup + config)</w:t>
      </w:r>
    </w:p>
    <w:p>
      <w:pPr>
        <w:spacing w:after="120"/>
      </w:pPr>
      <w:r>
        <w:rPr>
          <w:rFonts w:ascii="Nunito Sans" w:hAnsi="Nunito Sans"/>
          <w:sz w:val="22"/>
          <w:szCs w:val="22"/>
        </w:rPr>
        <w:t xml:space="preserve">    → testing (versions → smooth pursuit → saccades → conditional ductions-OD → ductions-OS)</w:t>
      </w:r>
    </w:p>
    <w:p>
      <w:pPr>
        <w:spacing w:after="120"/>
      </w:pPr>
      <w:r>
        <w:rPr>
          <w:rFonts w:ascii="Nunito Sans" w:hAnsi="Nunito Sans"/>
          <w:sz w:val="22"/>
          <w:szCs w:val="22"/>
        </w:rPr>
        <w:t xml:space="preserve">    → report</w:t>
      </w:r>
    </w:p>
    <w:p>
      <w:pPr>
        <w:spacing w:after="120"/>
      </w:pPr>
      <w:r>
        <w:rPr>
          <w:rFonts w:ascii="Nunito Sans" w:hAnsi="Nunito Sans"/>
          <w:sz w:val="22"/>
          <w:szCs w:val="22"/>
        </w:rPr>
        <w:t xml:space="preserve">  ```</w:t>
      </w:r>
    </w:p>
    <w:p>
      <w:pPr>
        <w:spacing w:after="60"/>
        <w:ind w:left="360"/>
      </w:pPr>
      <w:r>
        <w:rPr>
          <w:rFonts w:ascii="Nunito Sans" w:hAnsi="Nunito Sans"/>
          <w:sz w:val="22"/>
          <w:szCs w:val="22"/>
        </w:rPr>
        <w:t xml:space="preserve">•  </w:t>
      </w:r>
      <w:r>
        <w:rPr>
          <w:rFonts w:ascii="Nunito Sans" w:hAnsi="Nunito Sans"/>
          <w:b/>
          <w:sz w:val="22"/>
          <w:szCs w:val="22"/>
        </w:rPr>
        <w:t xml:space="preserve">Grading scale:</w:t>
      </w:r>
      <w:r>
        <w:rPr>
          <w:rFonts w:ascii="Nunito Sans" w:hAnsi="Nunito Sans"/>
          <w:sz w:val="22"/>
          <w:szCs w:val="22"/>
        </w:rPr>
        <w:t xml:space="preserve"> 0 to ±4 (replacing the legacy 1–5 which was clinically wrong)</w:t>
      </w:r>
    </w:p>
    <w:p>
      <w:pPr>
        <w:spacing w:after="60"/>
        <w:ind w:left="720"/>
      </w:pPr>
      <w:r>
        <w:rPr>
          <w:rFonts w:ascii="Nunito Sans" w:hAnsi="Nunito Sans"/>
          <w:sz w:val="22"/>
          <w:szCs w:val="22"/>
        </w:rPr>
        <w:t xml:space="preserve">•  </w:t>
      </w:r>
      <w:r>
        <w:rPr>
          <w:rFonts w:ascii="Nunito Sans" w:hAnsi="Nunito Sans"/>
          <w:sz w:val="22"/>
          <w:szCs w:val="22"/>
        </w:rPr>
        <w:t xml:space="preserve">0 = full normal range (green, default-selected)</w:t>
      </w:r>
    </w:p>
    <w:p>
      <w:pPr>
        <w:spacing w:after="60"/>
        <w:ind w:left="720"/>
      </w:pPr>
      <w:r>
        <w:rPr>
          <w:rFonts w:ascii="Nunito Sans" w:hAnsi="Nunito Sans"/>
          <w:sz w:val="22"/>
          <w:szCs w:val="22"/>
        </w:rPr>
        <w:t xml:space="preserve">•  </w:t>
      </w:r>
      <w:r>
        <w:rPr>
          <w:rFonts w:ascii="Nunito Sans" w:hAnsi="Nunito Sans"/>
          <w:sz w:val="22"/>
          <w:szCs w:val="22"/>
        </w:rPr>
        <w:t xml:space="preserve">−1 = mild underaction (~25% limitation)</w:t>
      </w:r>
    </w:p>
    <w:p>
      <w:pPr>
        <w:spacing w:after="60"/>
        <w:ind w:left="720"/>
      </w:pPr>
      <w:r>
        <w:rPr>
          <w:rFonts w:ascii="Nunito Sans" w:hAnsi="Nunito Sans"/>
          <w:sz w:val="22"/>
          <w:szCs w:val="22"/>
        </w:rPr>
        <w:t xml:space="preserve">•  </w:t>
      </w:r>
      <w:r>
        <w:rPr>
          <w:rFonts w:ascii="Nunito Sans" w:hAnsi="Nunito Sans"/>
          <w:sz w:val="22"/>
          <w:szCs w:val="22"/>
        </w:rPr>
        <w:t xml:space="preserve">−2 = moderate underaction (~50%)</w:t>
      </w:r>
    </w:p>
    <w:p>
      <w:pPr>
        <w:spacing w:after="60"/>
        <w:ind w:left="720"/>
      </w:pPr>
      <w:r>
        <w:rPr>
          <w:rFonts w:ascii="Nunito Sans" w:hAnsi="Nunito Sans"/>
          <w:sz w:val="22"/>
          <w:szCs w:val="22"/>
        </w:rPr>
        <w:t xml:space="preserve">•  </w:t>
      </w:r>
      <w:r>
        <w:rPr>
          <w:rFonts w:ascii="Nunito Sans" w:hAnsi="Nunito Sans"/>
          <w:sz w:val="22"/>
          <w:szCs w:val="22"/>
        </w:rPr>
        <w:t xml:space="preserve">−3 = marked underaction (~75%, eye cannot pass midline)</w:t>
      </w:r>
    </w:p>
    <w:p>
      <w:pPr>
        <w:spacing w:after="60"/>
        <w:ind w:left="720"/>
      </w:pPr>
      <w:r>
        <w:rPr>
          <w:rFonts w:ascii="Nunito Sans" w:hAnsi="Nunito Sans"/>
          <w:sz w:val="22"/>
          <w:szCs w:val="22"/>
        </w:rPr>
        <w:t xml:space="preserve">•  </w:t>
      </w:r>
      <w:r>
        <w:rPr>
          <w:rFonts w:ascii="Nunito Sans" w:hAnsi="Nunito Sans"/>
          <w:sz w:val="22"/>
          <w:szCs w:val="22"/>
        </w:rPr>
        <w:t xml:space="preserve">−4 = no movement</w:t>
      </w:r>
    </w:p>
    <w:p>
      <w:pPr>
        <w:spacing w:after="60"/>
        <w:ind w:left="720"/>
      </w:pPr>
      <w:r>
        <w:rPr>
          <w:rFonts w:ascii="Nunito Sans" w:hAnsi="Nunito Sans"/>
          <w:sz w:val="22"/>
          <w:szCs w:val="22"/>
        </w:rPr>
        <w:t xml:space="preserve">•  </w:t>
      </w:r>
      <w:r>
        <w:rPr>
          <w:rFonts w:ascii="Nunito Sans" w:hAnsi="Nunito Sans"/>
          <w:sz w:val="22"/>
          <w:szCs w:val="22"/>
        </w:rPr>
        <w:t xml:space="preserve">+1 to +3 = overaction (mild / moderate / marked)</w:t>
      </w:r>
    </w:p>
    <w:p>
      <w:pPr>
        <w:spacing w:after="60"/>
        <w:ind w:left="360"/>
      </w:pPr>
      <w:r>
        <w:rPr>
          <w:rFonts w:ascii="Nunito Sans" w:hAnsi="Nunito Sans"/>
          <w:sz w:val="22"/>
          <w:szCs w:val="22"/>
        </w:rPr>
        <w:t xml:space="preserve">•  </w:t>
      </w:r>
      <w:r>
        <w:rPr>
          <w:rFonts w:ascii="Nunito Sans" w:hAnsi="Nunito Sans"/>
          <w:b/>
          <w:sz w:val="22"/>
          <w:szCs w:val="22"/>
        </w:rPr>
        <w:t xml:space="preserve">9 cardinal positions</w:t>
      </w:r>
      <w:r>
        <w:rPr>
          <w:rFonts w:ascii="Nunito Sans" w:hAnsi="Nunito Sans"/>
          <w:sz w:val="22"/>
          <w:szCs w:val="22"/>
        </w:rPr>
        <w:t xml:space="preserve"> with primary AND secondary muscle/CN mapping:</w:t>
      </w:r>
    </w:p>
    <w:tbl>
      <w:tblPr>
        <w:tblW w:w="5000" w:type="pct"/>
        <w:tblBorders>
          <w:top w:val="single" w:sz="4" w:space="0" w:color="D9DCE1"/>
          <w:left w:val="single" w:sz="4" w:space="0" w:color="D9DCE1"/>
          <w:bottom w:val="single" w:sz="4" w:space="0" w:color="D9DCE1"/>
          <w:right w:val="single" w:sz="4" w:space="0" w:color="D9DCE1"/>
          <w:insideH w:val="single" w:sz="4" w:space="0" w:color="D9DCE1"/>
          <w:insideV w:val="single" w:sz="4" w:space="0" w:color="D9DCE1"/>
        </w:tblBorders>
        <w:tblLook w:val="04A0"/>
      </w:tblPr>
      <w:tr>
        <w:tc>
          <w:tcPr>
            <w:tcW w:w="0" w:type="auto"/>
            <w:shd w:val="clear" w:color="auto" w:fill="0E2F5E"/>
          </w:tcPr>
          <w:p>
            <w:pPr>
              <w:spacing w:before="20" w:after="20"/>
            </w:pPr>
            <w:r>
              <w:rPr>
                <w:rFonts w:ascii="Nunito Sans" w:hAnsi="Nunito Sans"/>
                <w:b/>
                <w:sz w:val="20"/>
                <w:szCs w:val="20"/>
                <w:color w:val="FFFFFF"/>
              </w:rPr>
              <w:t xml:space="preserve">Position</w:t>
            </w:r>
          </w:p>
        </w:tc>
        <w:tc>
          <w:tcPr>
            <w:tcW w:w="0" w:type="auto"/>
            <w:shd w:val="clear" w:color="auto" w:fill="0E2F5E"/>
          </w:tcPr>
          <w:p>
            <w:pPr>
              <w:spacing w:before="20" w:after="20"/>
            </w:pPr>
            <w:r>
              <w:rPr>
                <w:rFonts w:ascii="Nunito Sans" w:hAnsi="Nunito Sans"/>
                <w:b/>
                <w:sz w:val="20"/>
                <w:szCs w:val="20"/>
                <w:color w:val="FFFFFF"/>
              </w:rPr>
              <w:t xml:space="preserve">Primary muscle / CN</w:t>
            </w:r>
          </w:p>
        </w:tc>
        <w:tc>
          <w:tcPr>
            <w:tcW w:w="0" w:type="auto"/>
            <w:shd w:val="clear" w:color="auto" w:fill="0E2F5E"/>
          </w:tcPr>
          <w:p>
            <w:pPr>
              <w:spacing w:before="20" w:after="20"/>
            </w:pPr>
            <w:r>
              <w:rPr>
                <w:rFonts w:ascii="Nunito Sans" w:hAnsi="Nunito Sans"/>
                <w:b/>
                <w:sz w:val="20"/>
                <w:szCs w:val="20"/>
                <w:color w:val="FFFFFF"/>
              </w:rPr>
              <w:t xml:space="preserve">Secondary muscle / CN</w:t>
            </w:r>
          </w:p>
        </w:tc>
      </w:tr>
      <w:tr>
        <w:tc>
          <w:tcPr>
            <w:tcW w:w="0" w:type="auto"/>
          </w:tcPr>
          <w:p>
            <w:pPr>
              <w:spacing w:before="20" w:after="20"/>
            </w:pPr>
            <w:r>
              <w:rPr>
                <w:rFonts w:ascii="Nunito Sans" w:hAnsi="Nunito Sans"/>
                <w:sz w:val="20"/>
                <w:szCs w:val="20"/>
              </w:rPr>
              <w:t xml:space="preserve">Primary gaze</w:t>
            </w:r>
          </w:p>
        </w:tc>
        <w:tc>
          <w:tcPr>
            <w:tcW w:w="0" w:type="auto"/>
          </w:tcPr>
          <w:p>
            <w:pPr>
              <w:spacing w:before="20" w:after="20"/>
            </w:pPr>
            <w:r>
              <w:rPr>
                <w:rFonts w:ascii="Nunito Sans" w:hAnsi="Nunito Sans"/>
                <w:sz w:val="20"/>
                <w:szCs w:val="20"/>
              </w:rPr>
              <w:t xml:space="preserve">All balanced (CN III/IV/VI)</w:t>
            </w:r>
          </w:p>
        </w:tc>
        <w:tc>
          <w:tcPr>
            <w:tcW w:w="0" w:type="auto"/>
          </w:tcPr>
          <w:p>
            <w:pPr>
              <w:spacing w:before="20" w:after="20"/>
            </w:pPr>
            <w:r>
              <w:rPr>
                <w:rFonts w:ascii="Nunito Sans" w:hAnsi="Nunito Sans"/>
                <w:sz w:val="20"/>
                <w:szCs w:val="20"/>
              </w:rPr>
              <w:t xml:space="preserve">— (assess for tropia or phoria)</w:t>
            </w:r>
          </w:p>
        </w:tc>
      </w:tr>
      <w:tr>
        <w:tc>
          <w:tcPr>
            <w:tcW w:w="0" w:type="auto"/>
          </w:tcPr>
          <w:p>
            <w:pPr>
              <w:spacing w:before="20" w:after="20"/>
            </w:pPr>
            <w:r>
              <w:rPr>
                <w:rFonts w:ascii="Nunito Sans" w:hAnsi="Nunito Sans"/>
                <w:sz w:val="20"/>
                <w:szCs w:val="20"/>
              </w:rPr>
              <w:t xml:space="preserve">Right gaze</w:t>
            </w:r>
          </w:p>
        </w:tc>
        <w:tc>
          <w:tcPr>
            <w:tcW w:w="0" w:type="auto"/>
          </w:tcPr>
          <w:p>
            <w:pPr>
              <w:spacing w:before="20" w:after="20"/>
            </w:pPr>
            <w:r>
              <w:rPr>
                <w:rFonts w:ascii="Nunito Sans" w:hAnsi="Nunito Sans"/>
                <w:sz w:val="20"/>
                <w:szCs w:val="20"/>
              </w:rPr>
              <w:t xml:space="preserve">R lateral rectus (CN VI-R)</w:t>
            </w:r>
          </w:p>
        </w:tc>
        <w:tc>
          <w:tcPr>
            <w:tcW w:w="0" w:type="auto"/>
          </w:tcPr>
          <w:p>
            <w:pPr>
              <w:spacing w:before="20" w:after="20"/>
            </w:pPr>
            <w:r>
              <w:rPr>
                <w:rFonts w:ascii="Nunito Sans" w:hAnsi="Nunito Sans"/>
                <w:sz w:val="20"/>
                <w:szCs w:val="20"/>
              </w:rPr>
              <w:t xml:space="preserve">L medial rectus (CN III-L)</w:t>
            </w:r>
          </w:p>
        </w:tc>
      </w:tr>
      <w:tr>
        <w:tc>
          <w:tcPr>
            <w:tcW w:w="0" w:type="auto"/>
          </w:tcPr>
          <w:p>
            <w:pPr>
              <w:spacing w:before="20" w:after="20"/>
            </w:pPr>
            <w:r>
              <w:rPr>
                <w:rFonts w:ascii="Nunito Sans" w:hAnsi="Nunito Sans"/>
                <w:sz w:val="20"/>
                <w:szCs w:val="20"/>
              </w:rPr>
              <w:t xml:space="preserve">Left gaze</w:t>
            </w:r>
          </w:p>
        </w:tc>
        <w:tc>
          <w:tcPr>
            <w:tcW w:w="0" w:type="auto"/>
          </w:tcPr>
          <w:p>
            <w:pPr>
              <w:spacing w:before="20" w:after="20"/>
            </w:pPr>
            <w:r>
              <w:rPr>
                <w:rFonts w:ascii="Nunito Sans" w:hAnsi="Nunito Sans"/>
                <w:sz w:val="20"/>
                <w:szCs w:val="20"/>
              </w:rPr>
              <w:t xml:space="preserve">L lateral rectus (CN VI-L)</w:t>
            </w:r>
          </w:p>
        </w:tc>
        <w:tc>
          <w:tcPr>
            <w:tcW w:w="0" w:type="auto"/>
          </w:tcPr>
          <w:p>
            <w:pPr>
              <w:spacing w:before="20" w:after="20"/>
            </w:pPr>
            <w:r>
              <w:rPr>
                <w:rFonts w:ascii="Nunito Sans" w:hAnsi="Nunito Sans"/>
                <w:sz w:val="20"/>
                <w:szCs w:val="20"/>
              </w:rPr>
              <w:t xml:space="preserve">R medial rectus (CN III-R)</w:t>
            </w:r>
          </w:p>
        </w:tc>
      </w:tr>
      <w:tr>
        <w:tc>
          <w:tcPr>
            <w:tcW w:w="0" w:type="auto"/>
          </w:tcPr>
          <w:p>
            <w:pPr>
              <w:spacing w:before="20" w:after="20"/>
            </w:pPr>
            <w:r>
              <w:rPr>
                <w:rFonts w:ascii="Nunito Sans" w:hAnsi="Nunito Sans"/>
                <w:sz w:val="20"/>
                <w:szCs w:val="20"/>
              </w:rPr>
              <w:t xml:space="preserve">Up gaze</w:t>
            </w:r>
          </w:p>
        </w:tc>
        <w:tc>
          <w:tcPr>
            <w:tcW w:w="0" w:type="auto"/>
          </w:tcPr>
          <w:p>
            <w:pPr>
              <w:spacing w:before="20" w:after="20"/>
            </w:pPr>
            <w:r>
              <w:rPr>
                <w:rFonts w:ascii="Nunito Sans" w:hAnsi="Nunito Sans"/>
                <w:sz w:val="20"/>
                <w:szCs w:val="20"/>
              </w:rPr>
              <w:t xml:space="preserve">Superior recti (CN III)</w:t>
            </w:r>
          </w:p>
        </w:tc>
        <w:tc>
          <w:tcPr>
            <w:tcW w:w="0" w:type="auto"/>
          </w:tcPr>
          <w:p>
            <w:pPr>
              <w:spacing w:before="20" w:after="20"/>
            </w:pPr>
            <w:r>
              <w:rPr>
                <w:rFonts w:ascii="Nunito Sans" w:hAnsi="Nunito Sans"/>
                <w:sz w:val="20"/>
                <w:szCs w:val="20"/>
              </w:rPr>
              <w:t xml:space="preserve">Inferior obliques (CN III)</w:t>
            </w:r>
          </w:p>
        </w:tc>
      </w:tr>
      <w:tr>
        <w:tc>
          <w:tcPr>
            <w:tcW w:w="0" w:type="auto"/>
          </w:tcPr>
          <w:p>
            <w:pPr>
              <w:spacing w:before="20" w:after="20"/>
            </w:pPr>
            <w:r>
              <w:rPr>
                <w:rFonts w:ascii="Nunito Sans" w:hAnsi="Nunito Sans"/>
                <w:sz w:val="20"/>
                <w:szCs w:val="20"/>
              </w:rPr>
              <w:t xml:space="preserve">Down gaze</w:t>
            </w:r>
          </w:p>
        </w:tc>
        <w:tc>
          <w:tcPr>
            <w:tcW w:w="0" w:type="auto"/>
          </w:tcPr>
          <w:p>
            <w:pPr>
              <w:spacing w:before="20" w:after="20"/>
            </w:pPr>
            <w:r>
              <w:rPr>
                <w:rFonts w:ascii="Nunito Sans" w:hAnsi="Nunito Sans"/>
                <w:sz w:val="20"/>
                <w:szCs w:val="20"/>
              </w:rPr>
              <w:t xml:space="preserve">Inferior recti (CN III)</w:t>
            </w:r>
          </w:p>
        </w:tc>
        <w:tc>
          <w:tcPr>
            <w:tcW w:w="0" w:type="auto"/>
          </w:tcPr>
          <w:p>
            <w:pPr>
              <w:spacing w:before="20" w:after="20"/>
            </w:pPr>
            <w:r>
              <w:rPr>
                <w:rFonts w:ascii="Nunito Sans" w:hAnsi="Nunito Sans"/>
                <w:sz w:val="20"/>
                <w:szCs w:val="20"/>
              </w:rPr>
              <w:t xml:space="preserve">Superior obliques (CN IV)</w:t>
            </w:r>
          </w:p>
        </w:tc>
      </w:tr>
      <w:tr>
        <w:tc>
          <w:tcPr>
            <w:tcW w:w="0" w:type="auto"/>
          </w:tcPr>
          <w:p>
            <w:pPr>
              <w:spacing w:before="20" w:after="20"/>
            </w:pPr>
            <w:r>
              <w:rPr>
                <w:rFonts w:ascii="Nunito Sans" w:hAnsi="Nunito Sans"/>
                <w:sz w:val="20"/>
                <w:szCs w:val="20"/>
              </w:rPr>
              <w:t xml:space="preserve">Up &amp; right</w:t>
            </w:r>
          </w:p>
        </w:tc>
        <w:tc>
          <w:tcPr>
            <w:tcW w:w="0" w:type="auto"/>
          </w:tcPr>
          <w:p>
            <w:pPr>
              <w:spacing w:before="20" w:after="20"/>
            </w:pPr>
            <w:r>
              <w:rPr>
                <w:rFonts w:ascii="Nunito Sans" w:hAnsi="Nunito Sans"/>
                <w:sz w:val="20"/>
                <w:szCs w:val="20"/>
              </w:rPr>
              <w:t xml:space="preserve">R superior rectus (CN III-R)</w:t>
            </w:r>
          </w:p>
        </w:tc>
        <w:tc>
          <w:tcPr>
            <w:tcW w:w="0" w:type="auto"/>
          </w:tcPr>
          <w:p>
            <w:pPr>
              <w:spacing w:before="20" w:after="20"/>
            </w:pPr>
            <w:r>
              <w:rPr>
                <w:rFonts w:ascii="Nunito Sans" w:hAnsi="Nunito Sans"/>
                <w:sz w:val="20"/>
                <w:szCs w:val="20"/>
              </w:rPr>
              <w:t xml:space="preserve">L inferior oblique (CN III-L)</w:t>
            </w:r>
          </w:p>
        </w:tc>
      </w:tr>
      <w:tr>
        <w:tc>
          <w:tcPr>
            <w:tcW w:w="0" w:type="auto"/>
          </w:tcPr>
          <w:p>
            <w:pPr>
              <w:spacing w:before="20" w:after="20"/>
            </w:pPr>
            <w:r>
              <w:rPr>
                <w:rFonts w:ascii="Nunito Sans" w:hAnsi="Nunito Sans"/>
                <w:sz w:val="20"/>
                <w:szCs w:val="20"/>
              </w:rPr>
              <w:t xml:space="preserve">Up &amp; left</w:t>
            </w:r>
          </w:p>
        </w:tc>
        <w:tc>
          <w:tcPr>
            <w:tcW w:w="0" w:type="auto"/>
          </w:tcPr>
          <w:p>
            <w:pPr>
              <w:spacing w:before="20" w:after="20"/>
            </w:pPr>
            <w:r>
              <w:rPr>
                <w:rFonts w:ascii="Nunito Sans" w:hAnsi="Nunito Sans"/>
                <w:sz w:val="20"/>
                <w:szCs w:val="20"/>
              </w:rPr>
              <w:t xml:space="preserve">L superior rectus (CN III-L)</w:t>
            </w:r>
          </w:p>
        </w:tc>
        <w:tc>
          <w:tcPr>
            <w:tcW w:w="0" w:type="auto"/>
          </w:tcPr>
          <w:p>
            <w:pPr>
              <w:spacing w:before="20" w:after="20"/>
            </w:pPr>
            <w:r>
              <w:rPr>
                <w:rFonts w:ascii="Nunito Sans" w:hAnsi="Nunito Sans"/>
                <w:sz w:val="20"/>
                <w:szCs w:val="20"/>
              </w:rPr>
              <w:t xml:space="preserve">R inferior oblique (CN III-R)</w:t>
            </w:r>
          </w:p>
        </w:tc>
      </w:tr>
      <w:tr>
        <w:tc>
          <w:tcPr>
            <w:tcW w:w="0" w:type="auto"/>
          </w:tcPr>
          <w:p>
            <w:pPr>
              <w:spacing w:before="20" w:after="20"/>
            </w:pPr>
            <w:r>
              <w:rPr>
                <w:rFonts w:ascii="Nunito Sans" w:hAnsi="Nunito Sans"/>
                <w:b/>
                <w:sz w:val="20"/>
                <w:szCs w:val="20"/>
              </w:rPr>
              <w:t xml:space="preserve">Down &amp; right</w:t>
            </w:r>
          </w:p>
        </w:tc>
        <w:tc>
          <w:tcPr>
            <w:tcW w:w="0" w:type="auto"/>
          </w:tcPr>
          <w:p>
            <w:pPr>
              <w:spacing w:before="20" w:after="20"/>
            </w:pPr>
            <w:r>
              <w:rPr>
                <w:rFonts w:ascii="Nunito Sans" w:hAnsi="Nunito Sans"/>
                <w:sz w:val="20"/>
                <w:szCs w:val="20"/>
              </w:rPr>
              <w:t xml:space="preserve">R inferior rectus (CN III-R)</w:t>
            </w:r>
          </w:p>
        </w:tc>
        <w:tc>
          <w:tcPr>
            <w:tcW w:w="0" w:type="auto"/>
          </w:tcPr>
          <w:p>
            <w:pPr>
              <w:spacing w:before="20" w:after="20"/>
            </w:pPr>
            <w:r>
              <w:rPr>
                <w:rFonts w:ascii="Nunito Sans" w:hAnsi="Nunito Sans"/>
                <w:b/>
                <w:sz w:val="20"/>
                <w:szCs w:val="20"/>
              </w:rPr>
              <w:t xml:space="preserve">L superior oblique (CN IV-L)</w:t>
            </w:r>
            <w:r>
              <w:rPr>
                <w:rFonts w:ascii="Nunito Sans" w:hAnsi="Nunito Sans"/>
                <w:sz w:val="20"/>
                <w:szCs w:val="20"/>
              </w:rPr>
              <w:t xml:space="preserve"> — classic CN IV (L) palsy detection</w:t>
            </w:r>
          </w:p>
        </w:tc>
      </w:tr>
      <w:tr>
        <w:tc>
          <w:tcPr>
            <w:tcW w:w="0" w:type="auto"/>
          </w:tcPr>
          <w:p>
            <w:pPr>
              <w:spacing w:before="20" w:after="20"/>
            </w:pPr>
            <w:r>
              <w:rPr>
                <w:rFonts w:ascii="Nunito Sans" w:hAnsi="Nunito Sans"/>
                <w:b/>
                <w:sz w:val="20"/>
                <w:szCs w:val="20"/>
              </w:rPr>
              <w:t xml:space="preserve">Down &amp; left</w:t>
            </w:r>
          </w:p>
        </w:tc>
        <w:tc>
          <w:tcPr>
            <w:tcW w:w="0" w:type="auto"/>
          </w:tcPr>
          <w:p>
            <w:pPr>
              <w:spacing w:before="20" w:after="20"/>
            </w:pPr>
            <w:r>
              <w:rPr>
                <w:rFonts w:ascii="Nunito Sans" w:hAnsi="Nunito Sans"/>
                <w:sz w:val="20"/>
                <w:szCs w:val="20"/>
              </w:rPr>
              <w:t xml:space="preserve">L inferior rectus (CN III-L)</w:t>
            </w:r>
          </w:p>
        </w:tc>
        <w:tc>
          <w:tcPr>
            <w:tcW w:w="0" w:type="auto"/>
          </w:tcPr>
          <w:p>
            <w:pPr>
              <w:spacing w:before="20" w:after="20"/>
            </w:pPr>
            <w:r>
              <w:rPr>
                <w:rFonts w:ascii="Nunito Sans" w:hAnsi="Nunito Sans"/>
                <w:b/>
                <w:sz w:val="20"/>
                <w:szCs w:val="20"/>
              </w:rPr>
              <w:t xml:space="preserve">R superior oblique (CN IV-R)</w:t>
            </w:r>
            <w:r>
              <w:rPr>
                <w:rFonts w:ascii="Nunito Sans" w:hAnsi="Nunito Sans"/>
                <w:sz w:val="20"/>
                <w:szCs w:val="20"/>
              </w:rPr>
              <w:t xml:space="preserve"> — classic CN IV (R) palsy detection</w:t>
            </w:r>
          </w:p>
        </w:tc>
      </w:tr>
    </w:tbl>
    <w:p/>
    <w:p>
      <w:pPr>
        <w:spacing w:after="60"/>
        <w:ind w:left="360"/>
      </w:pPr>
      <w:r>
        <w:rPr>
          <w:rFonts w:ascii="Nunito Sans" w:hAnsi="Nunito Sans"/>
          <w:sz w:val="22"/>
          <w:szCs w:val="22"/>
        </w:rPr>
        <w:t xml:space="preserve">•  </w:t>
      </w:r>
      <w:r>
        <w:rPr>
          <w:rFonts w:ascii="Nunito Sans" w:hAnsi="Nunito Sans"/>
          <w:b/>
          <w:sz w:val="22"/>
          <w:szCs w:val="22"/>
        </w:rPr>
        <w:t xml:space="preserve">H-pattern motility diagram</w:t>
      </w:r>
      <w:r>
        <w:rPr>
          <w:rFonts w:ascii="Nunito Sans" w:hAnsi="Nunito Sans"/>
          <w:sz w:val="22"/>
          <w:szCs w:val="22"/>
        </w:rPr>
        <w:t xml:space="preserve"> (clinical standard) — 9 nodes connected by H-shape lines, color-coded by grade</w:t>
      </w:r>
    </w:p>
    <w:p>
      <w:pPr>
        <w:spacing w:after="60"/>
        <w:ind w:left="360"/>
      </w:pPr>
      <w:r>
        <w:rPr>
          <w:rFonts w:ascii="Nunito Sans" w:hAnsi="Nunito Sans"/>
          <w:sz w:val="22"/>
          <w:szCs w:val="22"/>
        </w:rPr>
        <w:t xml:space="preserve">•  </w:t>
      </w:r>
      <w:r>
        <w:rPr>
          <w:rFonts w:ascii="Nunito Sans" w:hAnsi="Nunito Sans"/>
          <w:b/>
          <w:sz w:val="22"/>
          <w:szCs w:val="22"/>
        </w:rPr>
        <w:t xml:space="preserve">Sub-tests:</w:t>
      </w:r>
    </w:p>
    <w:p>
      <w:pPr>
        <w:spacing w:after="60"/>
        <w:ind w:left="720"/>
      </w:pPr>
      <w:r>
        <w:rPr>
          <w:rFonts w:ascii="Nunito Sans" w:hAnsi="Nunito Sans"/>
          <w:sz w:val="22"/>
          <w:szCs w:val="22"/>
        </w:rPr>
        <w:t xml:space="preserve">•  </w:t>
      </w:r>
      <w:r>
        <w:rPr>
          <w:rFonts w:ascii="Nunito Sans" w:hAnsi="Nunito Sans"/>
          <w:b/>
          <w:sz w:val="22"/>
          <w:szCs w:val="22"/>
        </w:rPr>
        <w:t xml:space="preserve">Versions</w:t>
      </w:r>
      <w:r>
        <w:rPr>
          <w:rFonts w:ascii="Nunito Sans" w:hAnsi="Nunito Sans"/>
          <w:sz w:val="22"/>
          <w:szCs w:val="22"/>
        </w:rPr>
        <w:t xml:space="preserve"> (binocular, all 9 positions) — required</w:t>
      </w:r>
    </w:p>
    <w:p>
      <w:pPr>
        <w:spacing w:after="60"/>
        <w:ind w:left="720"/>
      </w:pPr>
      <w:r>
        <w:rPr>
          <w:rFonts w:ascii="Nunito Sans" w:hAnsi="Nunito Sans"/>
          <w:sz w:val="22"/>
          <w:szCs w:val="22"/>
        </w:rPr>
        <w:t xml:space="preserve">•  </w:t>
      </w:r>
      <w:r>
        <w:rPr>
          <w:rFonts w:ascii="Nunito Sans" w:hAnsi="Nunito Sans"/>
          <w:b/>
          <w:sz w:val="22"/>
          <w:szCs w:val="22"/>
        </w:rPr>
        <w:t xml:space="preserve">Smooth pursuit</w:t>
      </w:r>
      <w:r>
        <w:rPr>
          <w:rFonts w:ascii="Nunito Sans" w:hAnsi="Nunito Sans"/>
          <w:sz w:val="22"/>
          <w:szCs w:val="22"/>
        </w:rPr>
        <w:t xml:space="preserve"> — 4-option qualitative selector: Normal / Mildly reduced / Markedly reduced / Absent</w:t>
      </w:r>
    </w:p>
    <w:p>
      <w:pPr>
        <w:spacing w:after="60"/>
        <w:ind w:left="720"/>
      </w:pPr>
      <w:r>
        <w:rPr>
          <w:rFonts w:ascii="Nunito Sans" w:hAnsi="Nunito Sans"/>
          <w:sz w:val="22"/>
          <w:szCs w:val="22"/>
        </w:rPr>
        <w:t xml:space="preserve">•  </w:t>
      </w:r>
      <w:r>
        <w:rPr>
          <w:rFonts w:ascii="Nunito Sans" w:hAnsi="Nunito Sans"/>
          <w:b/>
          <w:sz w:val="22"/>
          <w:szCs w:val="22"/>
        </w:rPr>
        <w:t xml:space="preserve">Saccadic assessment</w:t>
      </w:r>
      <w:r>
        <w:rPr>
          <w:rFonts w:ascii="Nunito Sans" w:hAnsi="Nunito Sans"/>
          <w:sz w:val="22"/>
          <w:szCs w:val="22"/>
        </w:rPr>
        <w:t xml:space="preserve"> — 4-option: Normal / Prolonged latency / Hypometric / Hypermetric</w:t>
      </w:r>
    </w:p>
    <w:p>
      <w:pPr>
        <w:spacing w:after="60"/>
        <w:ind w:left="720"/>
      </w:pPr>
      <w:r>
        <w:rPr>
          <w:rFonts w:ascii="Nunito Sans" w:hAnsi="Nunito Sans"/>
          <w:sz w:val="22"/>
          <w:szCs w:val="22"/>
        </w:rPr>
        <w:t xml:space="preserve">•  </w:t>
      </w:r>
      <w:r>
        <w:rPr>
          <w:rFonts w:ascii="Nunito Sans" w:hAnsi="Nunito Sans"/>
          <w:b/>
          <w:sz w:val="22"/>
          <w:szCs w:val="22"/>
        </w:rPr>
        <w:t xml:space="preserve">Ductions</w:t>
      </w:r>
      <w:r>
        <w:rPr>
          <w:rFonts w:ascii="Nunito Sans" w:hAnsi="Nunito Sans"/>
          <w:sz w:val="22"/>
          <w:szCs w:val="22"/>
        </w:rPr>
        <w:t xml:space="preserve"> (monocular, OD then OS) — auto-enables when any version grade ≠ 0, or doctor can enable manually at setup</w:t>
      </w:r>
    </w:p>
    <w:p>
      <w:pPr>
        <w:spacing w:after="60"/>
        <w:ind w:left="360"/>
      </w:pPr>
      <w:r>
        <w:rPr>
          <w:rFonts w:ascii="Nunito Sans" w:hAnsi="Nunito Sans"/>
          <w:sz w:val="22"/>
          <w:szCs w:val="22"/>
        </w:rPr>
        <w:t xml:space="preserve">•  </w:t>
      </w:r>
      <w:r>
        <w:rPr>
          <w:rFonts w:ascii="Nunito Sans" w:hAnsi="Nunito Sans"/>
          <w:b/>
          <w:sz w:val="22"/>
          <w:szCs w:val="22"/>
        </w:rPr>
        <w:t xml:space="preserve">Clinical interpretation logic</w:t>
      </w:r>
      <w:r>
        <w:rPr>
          <w:rFonts w:ascii="Nunito Sans" w:hAnsi="Nunito Sans"/>
          <w:sz w:val="22"/>
          <w:szCs w:val="22"/>
        </w:rPr>
        <w:t xml:space="preserve"> (Patient Classification banner):</w:t>
      </w:r>
    </w:p>
    <w:p>
      <w:pPr>
        <w:spacing w:after="60"/>
        <w:ind w:left="720"/>
      </w:pPr>
      <w:r>
        <w:rPr>
          <w:rFonts w:ascii="Nunito Sans" w:hAnsi="Nunito Sans"/>
          <w:sz w:val="22"/>
          <w:szCs w:val="22"/>
        </w:rPr>
        <w:t xml:space="preserve">•  </w:t>
      </w:r>
      <w:r>
        <w:rPr>
          <w:rFonts w:ascii="Nunito Sans" w:hAnsi="Nunito Sans"/>
          <w:sz w:val="22"/>
          <w:szCs w:val="22"/>
        </w:rPr>
        <w:t xml:space="preserve">Single-muscle underaction → "isolated muscle underaction or cranial nerve palsy" pattern</w:t>
      </w:r>
    </w:p>
    <w:p>
      <w:pPr>
        <w:spacing w:after="60"/>
        <w:ind w:left="720"/>
      </w:pPr>
      <w:r>
        <w:rPr>
          <w:rFonts w:ascii="Nunito Sans" w:hAnsi="Nunito Sans"/>
          <w:sz w:val="22"/>
          <w:szCs w:val="22"/>
        </w:rPr>
        <w:t xml:space="preserve">•  </w:t>
      </w:r>
      <w:r>
        <w:rPr>
          <w:rFonts w:ascii="Nunito Sans" w:hAnsi="Nunito Sans"/>
          <w:sz w:val="22"/>
          <w:szCs w:val="22"/>
        </w:rPr>
        <w:t xml:space="preserve">Multiple underactions → flagged for internuclear ophthalmoplegia / complex CN palsy / restrictive strabismus assessment</w:t>
      </w:r>
    </w:p>
    <w:p>
      <w:pPr>
        <w:spacing w:after="60"/>
        <w:ind w:left="720"/>
      </w:pPr>
      <w:r>
        <w:rPr>
          <w:rFonts w:ascii="Nunito Sans" w:hAnsi="Nunito Sans"/>
          <w:sz w:val="22"/>
          <w:szCs w:val="22"/>
        </w:rPr>
        <w:t xml:space="preserve">•  </w:t>
      </w:r>
      <w:r>
        <w:rPr>
          <w:rFonts w:ascii="Nunito Sans" w:hAnsi="Nunito Sans"/>
          <w:sz w:val="22"/>
          <w:szCs w:val="22"/>
        </w:rPr>
        <w:t xml:space="preserve">Overaction-only → "primary overaction or secondary to contralateral muscle weakness"</w:t>
      </w:r>
    </w:p>
    <w:p>
      <w:pPr>
        <w:spacing w:after="60"/>
        <w:ind w:left="720"/>
      </w:pPr>
      <w:r>
        <w:rPr>
          <w:rFonts w:ascii="Nunito Sans" w:hAnsi="Nunito Sans"/>
          <w:sz w:val="22"/>
          <w:szCs w:val="22"/>
        </w:rPr>
        <w:t xml:space="preserve">•  </w:t>
      </w:r>
      <w:r>
        <w:rPr>
          <w:rFonts w:ascii="Nunito Sans" w:hAnsi="Nunito Sans"/>
          <w:sz w:val="22"/>
          <w:szCs w:val="22"/>
        </w:rPr>
        <w:t xml:space="preserve">Versions full but pursuit/saccades abnormal → neurological causes flagged</w:t>
      </w:r>
    </w:p>
    <w:p>
      <w:pPr>
        <w:spacing w:after="60"/>
        <w:ind w:left="360"/>
      </w:pPr>
      <w:r>
        <w:rPr>
          <w:rFonts w:ascii="Nunito Sans" w:hAnsi="Nunito Sans"/>
          <w:sz w:val="22"/>
          <w:szCs w:val="22"/>
        </w:rPr>
        <w:t xml:space="preserve">•  </w:t>
      </w:r>
      <w:r>
        <w:rPr>
          <w:rFonts w:ascii="Nunito Sans" w:hAnsi="Nunito Sans"/>
          <w:b/>
          <w:sz w:val="22"/>
          <w:szCs w:val="22"/>
        </w:rPr>
        <w:t xml:space="preserve">CN palsy clinical flag:</w:t>
      </w:r>
      <w:r>
        <w:rPr>
          <w:rFonts w:ascii="Nunito Sans" w:hAnsi="Nunito Sans"/>
          <w:sz w:val="22"/>
          <w:szCs w:val="22"/>
        </w:rPr>
        <w:t xml:space="preserve"> prominent red surface with full position / muscle / CN details surfaces automatically whenever any single position grade is ≤ −3</w:t>
      </w:r>
    </w:p>
    <w:p>
      <w:pPr>
        <w:spacing w:after="60"/>
        <w:ind w:left="360"/>
      </w:pPr>
      <w:r>
        <w:rPr>
          <w:rFonts w:ascii="Nunito Sans" w:hAnsi="Nunito Sans"/>
          <w:sz w:val="22"/>
          <w:szCs w:val="22"/>
        </w:rPr>
        <w:t xml:space="preserve">•  </w:t>
      </w:r>
      <w:r>
        <w:rPr>
          <w:rFonts w:ascii="Nunito Sans" w:hAnsi="Nunito Sans"/>
          <w:b/>
          <w:sz w:val="22"/>
          <w:szCs w:val="22"/>
        </w:rPr>
        <w:t xml:space="preserve">Versions Results table:</w:t>
      </w:r>
      <w:r>
        <w:rPr>
          <w:rFonts w:ascii="Nunito Sans" w:hAnsi="Nunito Sans"/>
          <w:sz w:val="22"/>
          <w:szCs w:val="22"/>
        </w:rPr>
        <w:t xml:space="preserve"> 7 columns — Position · Primary muscle · Primary CN · Secondary muscle · Secondary CN · Grade · Interpretation</w:t>
      </w:r>
    </w:p>
    <w:p>
      <w:pPr>
        <w:spacing w:before="240" w:after="80"/>
      </w:pPr>
      <w:r>
        <w:rPr>
          <w:rFonts w:ascii="Nunito Sans" w:hAnsi="Nunito Sans"/>
          <w:b/>
          <w:sz w:val="24"/>
          <w:szCs w:val="24"/>
        </w:rPr>
        <w:t xml:space="preserve">Open clinical questions (flagged for engineering)</w:t>
      </w:r>
    </w:p>
    <w:p>
      <w:pPr>
        <w:spacing w:after="60"/>
        <w:ind w:left="360"/>
      </w:pPr>
      <w:r>
        <w:rPr>
          <w:rFonts w:ascii="Nunito Sans" w:hAnsi="Nunito Sans"/>
          <w:sz w:val="22"/>
          <w:szCs w:val="22"/>
        </w:rPr>
        <w:t xml:space="preserve">•  </w:t>
      </w:r>
      <w:r>
        <w:rPr>
          <w:rFonts w:ascii="Nunito Sans" w:hAnsi="Nunito Sans"/>
          <w:sz w:val="22"/>
          <w:szCs w:val="22"/>
        </w:rPr>
        <w:t xml:space="preserve">Headset gaze-tracking data shape during versions — does firmware emit per-eye gaze vector or pre-computed underaction estimate? Affects whether grades are "doctor-confirmed" or "doctor-entered."</w:t>
      </w:r>
    </w:p>
    <w:p>
      <w:pPr>
        <w:spacing w:after="60"/>
        <w:ind w:left="360"/>
      </w:pPr>
      <w:r>
        <w:rPr>
          <w:rFonts w:ascii="Nunito Sans" w:hAnsi="Nunito Sans"/>
          <w:sz w:val="22"/>
          <w:szCs w:val="22"/>
        </w:rPr>
        <w:t xml:space="preserve">•  </w:t>
      </w:r>
      <w:r>
        <w:rPr>
          <w:rFonts w:ascii="Nunito Sans" w:hAnsi="Nunito Sans"/>
          <w:sz w:val="22"/>
          <w:szCs w:val="22"/>
        </w:rPr>
        <w:t xml:space="preserve">Smooth pursuit metrics — firmware-computed gain / catch-up saccade count, or pure doctor observation?</w:t>
      </w:r>
    </w:p>
    <w:p>
      <w:pPr>
        <w:spacing w:after="60"/>
        <w:ind w:left="360"/>
      </w:pPr>
      <w:r>
        <w:rPr>
          <w:rFonts w:ascii="Nunito Sans" w:hAnsi="Nunito Sans"/>
          <w:sz w:val="22"/>
          <w:szCs w:val="22"/>
        </w:rPr>
        <w:t xml:space="preserve">•  </w:t>
      </w:r>
      <w:r>
        <w:rPr>
          <w:rFonts w:ascii="Nunito Sans" w:hAnsi="Nunito Sans"/>
          <w:sz w:val="22"/>
          <w:szCs w:val="22"/>
        </w:rPr>
        <w:t xml:space="preserve">Saccade latency measurement — firmware-measured ms available?</w:t>
      </w:r>
    </w:p>
    <w:p>
      <w:pPr>
        <w:spacing w:after="60"/>
        <w:ind w:left="360"/>
      </w:pPr>
      <w:r>
        <w:rPr>
          <w:rFonts w:ascii="Nunito Sans" w:hAnsi="Nunito Sans"/>
          <w:sz w:val="22"/>
          <w:szCs w:val="22"/>
        </w:rPr>
        <w:t xml:space="preserve">•  </w:t>
      </w:r>
      <w:r>
        <w:rPr>
          <w:rFonts w:ascii="Nunito Sans" w:hAnsi="Nunito Sans"/>
          <w:sz w:val="22"/>
          <w:szCs w:val="22"/>
        </w:rPr>
        <w:t xml:space="preserve">Confirmation that patient response clicker is NOT used in EOM (patient passively follows the target)</w:t>
      </w:r>
    </w:p>
    <w:p>
      <w:pPr>
        <w:spacing w:after="0"/>
      </w:pPr>
    </w:p>
    <w:p>
      <w:pPr>
        <w:spacing w:before="240" w:after="80"/>
      </w:pPr>
      <w:r>
        <w:rPr>
          <w:rFonts w:ascii="Nunito Sans" w:hAnsi="Nunito Sans"/>
          <w:b/>
          <w:sz w:val="28"/>
          <w:szCs w:val="28"/>
        </w:rPr>
        <w:t xml:space="preserve">6. Pupillometry (v0.2.5)</w:t>
      </w:r>
    </w:p>
    <w:p>
      <w:pPr>
        <w:spacing w:before="240" w:after="80"/>
      </w:pPr>
      <w:r>
        <w:rPr>
          <w:rFonts w:ascii="Nunito Sans" w:hAnsi="Nunito Sans"/>
          <w:b/>
          <w:sz w:val="24"/>
          <w:szCs w:val="24"/>
        </w:rPr>
        <w:t xml:space="preserve">Reference standard</w:t>
      </w:r>
    </w:p>
    <w:p>
      <w:pPr>
        <w:spacing w:after="120"/>
      </w:pPr>
      <w:r>
        <w:rPr>
          <w:rFonts w:ascii="Nunito Sans" w:hAnsi="Nunito Sans"/>
          <w:sz w:val="22"/>
          <w:szCs w:val="22"/>
        </w:rPr>
        <w:t xml:space="preserve">Four overlapping clinical references for pupillometry:</w:t>
      </w:r>
    </w:p>
    <w:p>
      <w:pPr>
        <w:spacing w:after="60"/>
        <w:ind w:left="360"/>
      </w:pPr>
      <w:r>
        <w:rPr>
          <w:rFonts w:ascii="Nunito Sans" w:hAnsi="Nunito Sans"/>
          <w:sz w:val="22"/>
          <w:szCs w:val="22"/>
        </w:rPr>
        <w:t xml:space="preserve">•  </w:t>
      </w:r>
      <w:r>
        <w:rPr>
          <w:rFonts w:ascii="Nunito Sans" w:hAnsi="Nunito Sans"/>
          <w:b/>
          <w:sz w:val="22"/>
          <w:szCs w:val="22"/>
        </w:rPr>
        <w:t xml:space="preserve">Static pupil size norms:</w:t>
      </w:r>
      <w:r>
        <w:rPr>
          <w:rFonts w:ascii="Nunito Sans" w:hAnsi="Nunito Sans"/>
          <w:sz w:val="22"/>
          <w:szCs w:val="22"/>
        </w:rPr>
        <w:t xml:space="preserve"> Winn et al. 1994 — age-banded mean ± 1 SD pupil diameter under scotopic, mesopic, and photopic conditions. Six age bands (20–29 / 30–39 / 40–49 / 50–59 / 60–69 / 70+).</w:t>
      </w:r>
    </w:p>
    <w:p>
      <w:pPr>
        <w:spacing w:after="60"/>
        <w:ind w:left="360"/>
      </w:pPr>
      <w:r>
        <w:rPr>
          <w:rFonts w:ascii="Nunito Sans" w:hAnsi="Nunito Sans"/>
          <w:sz w:val="22"/>
          <w:szCs w:val="22"/>
        </w:rPr>
        <w:t xml:space="preserve">•  </w:t>
      </w:r>
      <w:r>
        <w:rPr>
          <w:rFonts w:ascii="Nunito Sans" w:hAnsi="Nunito Sans"/>
          <w:b/>
          <w:sz w:val="22"/>
          <w:szCs w:val="22"/>
        </w:rPr>
        <w:t xml:space="preserve">Anisocoria interpretation:</w:t>
      </w:r>
      <w:r>
        <w:rPr>
          <w:rFonts w:ascii="Nunito Sans" w:hAnsi="Nunito Sans"/>
          <w:sz w:val="22"/>
          <w:szCs w:val="22"/>
        </w:rPr>
        <w:t xml:space="preserve"> light-vs-dark differential rule — anisocoria that varies between light conditions by ≥ 0.3 mm is pathological (sympathetic if worse-in-dark, parasympathetic if worse-in-light).</w:t>
      </w:r>
    </w:p>
    <w:p>
      <w:pPr>
        <w:spacing w:after="60"/>
        <w:ind w:left="360"/>
      </w:pPr>
      <w:r>
        <w:rPr>
          <w:rFonts w:ascii="Nunito Sans" w:hAnsi="Nunito Sans"/>
          <w:sz w:val="22"/>
          <w:szCs w:val="22"/>
        </w:rPr>
        <w:t xml:space="preserve">•  </w:t>
      </w:r>
      <w:r>
        <w:rPr>
          <w:rFonts w:ascii="Nunito Sans" w:hAnsi="Nunito Sans"/>
          <w:b/>
          <w:sz w:val="22"/>
          <w:szCs w:val="22"/>
        </w:rPr>
        <w:t xml:space="preserve">NPi (Neurological Pupil index):</w:t>
      </w:r>
      <w:r>
        <w:rPr>
          <w:rFonts w:ascii="Nunito Sans" w:hAnsi="Nunito Sans"/>
          <w:sz w:val="22"/>
          <w:szCs w:val="22"/>
        </w:rPr>
        <w:t xml:space="preserve"> NeurOptics NPi-200 reference — 0–5 composite score from baseline size, constriction velocity, latency, and dilation velocity. ≥ 3.0 normal · &lt; 3.0 abnormal · asymmetry &gt; 0.7 between eyes is a warning sign.</w:t>
      </w:r>
    </w:p>
    <w:p>
      <w:pPr>
        <w:spacing w:after="60"/>
        <w:ind w:left="360"/>
      </w:pPr>
      <w:r>
        <w:rPr>
          <w:rFonts w:ascii="Nunito Sans" w:hAnsi="Nunito Sans"/>
          <w:sz w:val="22"/>
          <w:szCs w:val="22"/>
        </w:rPr>
        <w:t xml:space="preserve">•  </w:t>
      </w:r>
      <w:r>
        <w:rPr>
          <w:rFonts w:ascii="Nunito Sans" w:hAnsi="Nunito Sans"/>
          <w:b/>
          <w:sz w:val="22"/>
          <w:szCs w:val="22"/>
        </w:rPr>
        <w:t xml:space="preserve">RAPD grading:</w:t>
      </w:r>
      <w:r>
        <w:rPr>
          <w:rFonts w:ascii="Nunito Sans" w:hAnsi="Nunito Sans"/>
          <w:sz w:val="22"/>
          <w:szCs w:val="22"/>
        </w:rPr>
        <w:t xml:space="preserve"> standard 6-grade clinical scale (None / Trace / 1+ / 2+ / 3+ / 4+ amaurotic), Marcus Gunn pupil testing convention.</w:t>
      </w:r>
    </w:p>
    <w:p>
      <w:pPr>
        <w:spacing w:before="240" w:after="80"/>
      </w:pPr>
      <w:r>
        <w:rPr>
          <w:rFonts w:ascii="Nunito Sans" w:hAnsi="Nunito Sans"/>
          <w:b/>
          <w:sz w:val="24"/>
          <w:szCs w:val="24"/>
        </w:rPr>
        <w:t xml:space="preserve">What's implemented</w:t>
      </w:r>
    </w:p>
    <w:p>
      <w:pPr>
        <w:spacing w:after="60"/>
        <w:ind w:left="360"/>
      </w:pPr>
      <w:r>
        <w:rPr>
          <w:rFonts w:ascii="Nunito Sans" w:hAnsi="Nunito Sans"/>
          <w:sz w:val="22"/>
          <w:szCs w:val="22"/>
        </w:rPr>
        <w:t xml:space="preserve">•  </w:t>
      </w:r>
      <w:r>
        <w:rPr>
          <w:rFonts w:ascii="Nunito Sans" w:hAnsi="Nunito Sans"/>
          <w:b/>
          <w:sz w:val="22"/>
          <w:szCs w:val="22"/>
        </w:rPr>
        <w:t xml:space="preserve">Eye sequence:</w:t>
      </w:r>
      <w:r>
        <w:rPr>
          <w:rFonts w:ascii="Nunito Sans" w:hAnsi="Nunito Sans"/>
          <w:sz w:val="22"/>
          <w:szCs w:val="22"/>
        </w:rPr>
        <w:t xml:space="preserve"> OD-first bilateral. OU runs OD then OS as discrete monocular captures with full-screen transition prompt + patient-repositioning copy + eye breadcrumb. OD-only / OS-only also selectable.</w:t>
      </w:r>
    </w:p>
    <w:p>
      <w:pPr>
        <w:spacing w:after="60"/>
        <w:ind w:left="360"/>
      </w:pPr>
      <w:r>
        <w:rPr>
          <w:rFonts w:ascii="Nunito Sans" w:hAnsi="Nunito Sans"/>
          <w:sz w:val="22"/>
          <w:szCs w:val="22"/>
        </w:rPr>
        <w:t xml:space="preserve">•  </w:t>
      </w:r>
      <w:r>
        <w:rPr>
          <w:rFonts w:ascii="Nunito Sans" w:hAnsi="Nunito Sans"/>
          <w:b/>
          <w:sz w:val="22"/>
          <w:szCs w:val="22"/>
        </w:rPr>
        <w:t xml:space="preserve">Three-phase flow</w:t>
      </w:r>
      <w:r>
        <w:rPr>
          <w:rFonts w:ascii="Nunito Sans" w:hAnsi="Nunito Sans"/>
          <w:sz w:val="22"/>
          <w:szCs w:val="22"/>
        </w:rPr>
        <w:t xml:space="preserve"> with internal sub-test state machine inside testing:</w:t>
      </w:r>
    </w:p>
    <w:p>
      <w:pPr>
        <w:spacing w:after="120"/>
      </w:pPr>
      <w:r>
        <w:rPr>
          <w:rFonts w:ascii="Nunito Sans" w:hAnsi="Nunito Sans"/>
          <w:sz w:val="22"/>
          <w:szCs w:val="22"/>
        </w:rPr>
        <w:t xml:space="preserve">  ```</w:t>
      </w:r>
    </w:p>
    <w:p>
      <w:pPr>
        <w:spacing w:after="120"/>
      </w:pPr>
      <w:r>
        <w:rPr>
          <w:rFonts w:ascii="Nunito Sans" w:hAnsi="Nunito Sans"/>
          <w:sz w:val="22"/>
          <w:szCs w:val="22"/>
        </w:rPr>
        <w:t xml:space="preserve">  ready (eye mode + sub-test config + patient age)</w:t>
      </w:r>
    </w:p>
    <w:p>
      <w:pPr>
        <w:spacing w:after="120"/>
      </w:pPr>
      <w:r>
        <w:rPr>
          <w:rFonts w:ascii="Nunito Sans" w:hAnsi="Nunito Sans"/>
          <w:sz w:val="22"/>
          <w:szCs w:val="22"/>
        </w:rPr>
        <w:t xml:space="preserve">    → testing (static-OD → static-OS → dynamic-OD → dynamic-OS → swinging-flashlight)</w:t>
      </w:r>
    </w:p>
    <w:p>
      <w:pPr>
        <w:spacing w:after="120"/>
      </w:pPr>
      <w:r>
        <w:rPr>
          <w:rFonts w:ascii="Nunito Sans" w:hAnsi="Nunito Sans"/>
          <w:sz w:val="22"/>
          <w:szCs w:val="22"/>
        </w:rPr>
        <w:t xml:space="preserve">    → report</w:t>
      </w:r>
    </w:p>
    <w:p>
      <w:pPr>
        <w:spacing w:after="120"/>
      </w:pPr>
      <w:r>
        <w:rPr>
          <w:rFonts w:ascii="Nunito Sans" w:hAnsi="Nunito Sans"/>
          <w:sz w:val="22"/>
          <w:szCs w:val="22"/>
        </w:rPr>
        <w:t xml:space="preserve">  ```</w:t>
      </w:r>
    </w:p>
    <w:p>
      <w:pPr>
        <w:spacing w:after="60"/>
        <w:ind w:left="360"/>
      </w:pPr>
      <w:r>
        <w:rPr>
          <w:rFonts w:ascii="Nunito Sans" w:hAnsi="Nunito Sans"/>
          <w:sz w:val="22"/>
          <w:szCs w:val="22"/>
        </w:rPr>
        <w:t xml:space="preserve">•  </w:t>
      </w:r>
      <w:r>
        <w:rPr>
          <w:rFonts w:ascii="Nunito Sans" w:hAnsi="Nunito Sans"/>
          <w:b/>
          <w:sz w:val="22"/>
          <w:szCs w:val="22"/>
        </w:rPr>
        <w:t xml:space="preserve">Patient age input</w:t>
      </w:r>
      <w:r>
        <w:rPr>
          <w:rFonts w:ascii="Nunito Sans" w:hAnsi="Nunito Sans"/>
          <w:sz w:val="22"/>
          <w:szCs w:val="22"/>
        </w:rPr>
        <w:t xml:space="preserve"> on the setup screen drives the age-banded reference range lookup. Age band annotation surfaces on the report and on the right sidebar during testing.</w:t>
      </w:r>
    </w:p>
    <w:p>
      <w:pPr>
        <w:spacing w:after="60"/>
        <w:ind w:left="360"/>
      </w:pPr>
      <w:r>
        <w:rPr>
          <w:rFonts w:ascii="Nunito Sans" w:hAnsi="Nunito Sans"/>
          <w:sz w:val="22"/>
          <w:szCs w:val="22"/>
        </w:rPr>
        <w:t xml:space="preserve">•  </w:t>
      </w:r>
      <w:r>
        <w:rPr>
          <w:rFonts w:ascii="Nunito Sans" w:hAnsi="Nunito Sans"/>
          <w:b/>
          <w:sz w:val="22"/>
          <w:szCs w:val="22"/>
        </w:rPr>
        <w:t xml:space="preserve">Sub-tests:</w:t>
      </w:r>
    </w:p>
    <w:p>
      <w:pPr>
        <w:spacing w:after="60"/>
        <w:ind w:left="720"/>
      </w:pPr>
      <w:r>
        <w:rPr>
          <w:rFonts w:ascii="Nunito Sans" w:hAnsi="Nunito Sans"/>
          <w:sz w:val="22"/>
          <w:szCs w:val="22"/>
        </w:rPr>
        <w:t xml:space="preserve">•  </w:t>
      </w:r>
      <w:r>
        <w:rPr>
          <w:rFonts w:ascii="Nunito Sans" w:hAnsi="Nunito Sans"/>
          <w:b/>
          <w:sz w:val="22"/>
          <w:szCs w:val="22"/>
        </w:rPr>
        <w:t xml:space="preserve">Static pupil size</w:t>
      </w:r>
      <w:r>
        <w:rPr>
          <w:rFonts w:ascii="Nunito Sans" w:hAnsi="Nunito Sans"/>
          <w:sz w:val="22"/>
          <w:szCs w:val="22"/>
        </w:rPr>
        <w:t xml:space="preserve"> (required) — three light conditions per eye (scotopic / mesopic / photopic), each with its lux annotation, age-banded reference range, and deviation flag if the captured value falls outside the range</w:t>
      </w:r>
    </w:p>
    <w:p>
      <w:pPr>
        <w:spacing w:after="60"/>
        <w:ind w:left="720"/>
      </w:pPr>
      <w:r>
        <w:rPr>
          <w:rFonts w:ascii="Nunito Sans" w:hAnsi="Nunito Sans"/>
          <w:sz w:val="22"/>
          <w:szCs w:val="22"/>
        </w:rPr>
        <w:t xml:space="preserve">•  </w:t>
      </w:r>
      <w:r>
        <w:rPr>
          <w:rFonts w:ascii="Nunito Sans" w:hAnsi="Nunito Sans"/>
          <w:b/>
          <w:sz w:val="22"/>
          <w:szCs w:val="22"/>
        </w:rPr>
        <w:t xml:space="preserve">Dynamic light reflex</w:t>
      </w:r>
      <w:r>
        <w:rPr>
          <w:rFonts w:ascii="Nunito Sans" w:hAnsi="Nunito Sans"/>
          <w:sz w:val="22"/>
          <w:szCs w:val="22"/>
        </w:rPr>
        <w:t xml:space="preserve"> (default on) — stimulus-flash animation drives the iris viewer; live PLR curve chart renders the time-course of the response; six summary metrics surfaced as tiles (Baseline / Minimum / Constriction % / Latency / Constriction velocity / T75 redilation); </w:t>
      </w:r>
      <w:r>
        <w:rPr>
          <w:rFonts w:ascii="Nunito Sans" w:hAnsi="Nunito Sans"/>
          <w:b/>
          <w:sz w:val="22"/>
          <w:szCs w:val="22"/>
        </w:rPr>
        <w:t xml:space="preserve">NPi computed and surfaced per eye</w:t>
      </w:r>
      <w:r>
        <w:rPr>
          <w:rFonts w:ascii="Nunito Sans" w:hAnsi="Nunito Sans"/>
          <w:sz w:val="22"/>
          <w:szCs w:val="22"/>
        </w:rPr>
        <w:t xml:space="preserve"> in a prominent severity-coded tile (green ≥ 3.0 / amber 2.5–3.0 / red &lt; 2.5)</w:t>
      </w:r>
    </w:p>
    <w:p>
      <w:pPr>
        <w:spacing w:after="60"/>
        <w:ind w:left="720"/>
      </w:pPr>
      <w:r>
        <w:rPr>
          <w:rFonts w:ascii="Nunito Sans" w:hAnsi="Nunito Sans"/>
          <w:sz w:val="22"/>
          <w:szCs w:val="22"/>
        </w:rPr>
        <w:t xml:space="preserve">•  </w:t>
      </w:r>
      <w:r>
        <w:rPr>
          <w:rFonts w:ascii="Nunito Sans" w:hAnsi="Nunito Sans"/>
          <w:b/>
          <w:sz w:val="22"/>
          <w:szCs w:val="22"/>
        </w:rPr>
        <w:t xml:space="preserve">Swinging flashlight</w:t>
      </w:r>
      <w:r>
        <w:rPr>
          <w:rFonts w:ascii="Nunito Sans" w:hAnsi="Nunito Sans"/>
          <w:sz w:val="22"/>
          <w:szCs w:val="22"/>
        </w:rPr>
        <w:t xml:space="preserve"> (default on; requires both eyes tested) — alternating stimulus animation across the two eyes; per-eye RAPD grade selector exposing all six grades with descriptive copy</w:t>
      </w:r>
    </w:p>
    <w:p>
      <w:pPr>
        <w:spacing w:after="60"/>
        <w:ind w:left="360"/>
      </w:pPr>
      <w:r>
        <w:rPr>
          <w:rFonts w:ascii="Nunito Sans" w:hAnsi="Nunito Sans"/>
          <w:sz w:val="22"/>
          <w:szCs w:val="22"/>
        </w:rPr>
        <w:t xml:space="preserve">•  </w:t>
      </w:r>
      <w:r>
        <w:rPr>
          <w:rFonts w:ascii="Nunito Sans" w:hAnsi="Nunito Sans"/>
          <w:b/>
          <w:sz w:val="22"/>
          <w:szCs w:val="22"/>
        </w:rPr>
        <w:t xml:space="preserve">Iris viewer:</w:t>
      </w:r>
      <w:r>
        <w:rPr>
          <w:rFonts w:ascii="Nunito Sans" w:hAnsi="Nunito Sans"/>
          <w:sz w:val="22"/>
          <w:szCs w:val="22"/>
        </w:rPr>
        <w:t xml:space="preserve"> animated iris with breathing pupil, calibrated pupil size per light condition; stimulus flash overlay drives the dynamic capture and the swinging flashlight animation; dark iris with light surrounding chrome (clinical convention — pupillometry happens in a darkened headset interior, but the controller UI itself is light)</w:t>
      </w:r>
    </w:p>
    <w:p>
      <w:pPr>
        <w:spacing w:after="60"/>
        <w:ind w:left="360"/>
      </w:pPr>
      <w:r>
        <w:rPr>
          <w:rFonts w:ascii="Nunito Sans" w:hAnsi="Nunito Sans"/>
          <w:sz w:val="22"/>
          <w:szCs w:val="22"/>
        </w:rPr>
        <w:t xml:space="preserve">•  </w:t>
      </w:r>
      <w:r>
        <w:rPr>
          <w:rFonts w:ascii="Nunito Sans" w:hAnsi="Nunito Sans"/>
          <w:b/>
          <w:sz w:val="22"/>
          <w:szCs w:val="22"/>
        </w:rPr>
        <w:t xml:space="preserve">Static measurements table</w:t>
      </w:r>
      <w:r>
        <w:rPr>
          <w:rFonts w:ascii="Nunito Sans" w:hAnsi="Nunito Sans"/>
          <w:sz w:val="22"/>
          <w:szCs w:val="22"/>
        </w:rPr>
        <w:t xml:space="preserve"> (3 light conditions × eyes tested):</w:t>
      </w:r>
    </w:p>
    <w:p>
      <w:pPr>
        <w:spacing w:after="60"/>
        <w:ind w:left="720"/>
      </w:pPr>
      <w:r>
        <w:rPr>
          <w:rFonts w:ascii="Nunito Sans" w:hAnsi="Nunito Sans"/>
          <w:sz w:val="22"/>
          <w:szCs w:val="22"/>
        </w:rPr>
        <w:t xml:space="preserve">•  </w:t>
      </w:r>
      <w:r>
        <w:rPr>
          <w:rFonts w:ascii="Nunito Sans" w:hAnsi="Nunito Sans"/>
          <w:sz w:val="22"/>
          <w:szCs w:val="22"/>
        </w:rPr>
        <w:t xml:space="preserve">One row per light condition with the lux annotation and the age-banded reference range</w:t>
      </w:r>
    </w:p>
    <w:p>
      <w:pPr>
        <w:spacing w:after="60"/>
        <w:ind w:left="720"/>
      </w:pPr>
      <w:r>
        <w:rPr>
          <w:rFonts w:ascii="Nunito Sans" w:hAnsi="Nunito Sans"/>
          <w:sz w:val="22"/>
          <w:szCs w:val="22"/>
        </w:rPr>
        <w:t xml:space="preserve">•  </w:t>
      </w:r>
      <w:r>
        <w:rPr>
          <w:rFonts w:ascii="Nunito Sans" w:hAnsi="Nunito Sans"/>
          <w:sz w:val="22"/>
          <w:szCs w:val="22"/>
        </w:rPr>
        <w:t xml:space="preserve">Captured value per eye with deviation flag (↯ icon) when outside the reference range</w:t>
      </w:r>
    </w:p>
    <w:p>
      <w:pPr>
        <w:spacing w:after="60"/>
        <w:ind w:left="720"/>
      </w:pPr>
      <w:r>
        <w:rPr>
          <w:rFonts w:ascii="Nunito Sans" w:hAnsi="Nunito Sans"/>
          <w:sz w:val="22"/>
          <w:szCs w:val="22"/>
        </w:rPr>
        <w:t xml:space="preserve">•  </w:t>
      </w:r>
      <w:r>
        <w:rPr>
          <w:rFonts w:ascii="Nunito Sans" w:hAnsi="Nunito Sans"/>
          <w:sz w:val="22"/>
          <w:szCs w:val="22"/>
        </w:rPr>
        <w:t xml:space="preserve">Anisocoria column (when both eyes tested) per light condition, color-coded by severity (green &lt; 0.4 mm / amber 0.4–1.0 mm / red &gt; 1.0 mm)</w:t>
      </w:r>
    </w:p>
    <w:p>
      <w:pPr>
        <w:spacing w:after="60"/>
        <w:ind w:left="720"/>
      </w:pPr>
      <w:r>
        <w:rPr>
          <w:rFonts w:ascii="Nunito Sans" w:hAnsi="Nunito Sans"/>
          <w:sz w:val="22"/>
          <w:szCs w:val="22"/>
        </w:rPr>
        <w:t xml:space="preserve">•  </w:t>
      </w:r>
      <w:r>
        <w:rPr>
          <w:rFonts w:ascii="Nunito Sans" w:hAnsi="Nunito Sans"/>
          <w:sz w:val="22"/>
          <w:szCs w:val="22"/>
        </w:rPr>
        <w:t xml:space="preserve">Dedicated </w:t>
      </w:r>
      <w:r>
        <w:rPr>
          <w:rFonts w:ascii="Nunito Sans" w:hAnsi="Nunito Sans"/>
          <w:b/>
          <w:sz w:val="22"/>
          <w:szCs w:val="22"/>
        </w:rPr>
        <w:t xml:space="preserve">light/dark differential row</w:t>
      </w:r>
      <w:r>
        <w:rPr>
          <w:rFonts w:ascii="Nunito Sans" w:hAnsi="Nunito Sans"/>
          <w:sz w:val="22"/>
          <w:szCs w:val="22"/>
        </w:rPr>
        <w:t xml:space="preserve"> at the bottom showing |aniso(dark) − aniso(light)|, flagged red at ≥ 0.3 mm with the "≥ 0.3 mm = pathological pattern" annotation</w:t>
      </w:r>
    </w:p>
    <w:p>
      <w:pPr>
        <w:spacing w:after="60"/>
        <w:ind w:left="360"/>
      </w:pPr>
      <w:r>
        <w:rPr>
          <w:rFonts w:ascii="Nunito Sans" w:hAnsi="Nunito Sans"/>
          <w:sz w:val="22"/>
          <w:szCs w:val="22"/>
        </w:rPr>
        <w:t xml:space="preserve">•  </w:t>
      </w:r>
      <w:r>
        <w:rPr>
          <w:rFonts w:ascii="Nunito Sans" w:hAnsi="Nunito Sans"/>
          <w:b/>
          <w:sz w:val="22"/>
          <w:szCs w:val="22"/>
        </w:rPr>
        <w:t xml:space="preserve">Dynamic measurements card</w:t>
      </w:r>
      <w:r>
        <w:rPr>
          <w:rFonts w:ascii="Nunito Sans" w:hAnsi="Nunito Sans"/>
          <w:sz w:val="22"/>
          <w:szCs w:val="22"/>
        </w:rPr>
        <w:t xml:space="preserve"> per eye in the report:</w:t>
      </w:r>
    </w:p>
    <w:p>
      <w:pPr>
        <w:spacing w:after="60"/>
        <w:ind w:left="720"/>
      </w:pPr>
      <w:r>
        <w:rPr>
          <w:rFonts w:ascii="Nunito Sans" w:hAnsi="Nunito Sans"/>
          <w:sz w:val="22"/>
          <w:szCs w:val="22"/>
        </w:rPr>
        <w:t xml:space="preserve">•  </w:t>
      </w:r>
      <w:r>
        <w:rPr>
          <w:rFonts w:ascii="Nunito Sans" w:hAnsi="Nunito Sans"/>
          <w:sz w:val="22"/>
          <w:szCs w:val="22"/>
        </w:rPr>
        <w:t xml:space="preserve">PLR curve chart with stimulus marker, baseline reference line, peak-constriction annotation</w:t>
      </w:r>
    </w:p>
    <w:p>
      <w:pPr>
        <w:spacing w:after="60"/>
        <w:ind w:left="720"/>
      </w:pPr>
      <w:r>
        <w:rPr>
          <w:rFonts w:ascii="Nunito Sans" w:hAnsi="Nunito Sans"/>
          <w:sz w:val="22"/>
          <w:szCs w:val="22"/>
        </w:rPr>
        <w:t xml:space="preserve">•  </w:t>
      </w:r>
      <w:r>
        <w:rPr>
          <w:rFonts w:ascii="Nunito Sans" w:hAnsi="Nunito Sans"/>
          <w:sz w:val="22"/>
          <w:szCs w:val="22"/>
        </w:rPr>
        <w:t xml:space="preserve">Six summary metric tiles</w:t>
      </w:r>
    </w:p>
    <w:p>
      <w:pPr>
        <w:spacing w:after="60"/>
        <w:ind w:left="720"/>
      </w:pPr>
      <w:r>
        <w:rPr>
          <w:rFonts w:ascii="Nunito Sans" w:hAnsi="Nunito Sans"/>
          <w:sz w:val="22"/>
          <w:szCs w:val="22"/>
        </w:rPr>
        <w:t xml:space="preserve">•  </w:t>
      </w:r>
      <w:r>
        <w:rPr>
          <w:rFonts w:ascii="Nunito Sans" w:hAnsi="Nunito Sans"/>
          <w:sz w:val="22"/>
          <w:szCs w:val="22"/>
        </w:rPr>
        <w:t xml:space="preserve">NPi pill with severity tint</w:t>
      </w:r>
    </w:p>
    <w:p>
      <w:pPr>
        <w:spacing w:after="60"/>
        <w:ind w:left="360"/>
      </w:pPr>
      <w:r>
        <w:rPr>
          <w:rFonts w:ascii="Nunito Sans" w:hAnsi="Nunito Sans"/>
          <w:sz w:val="22"/>
          <w:szCs w:val="22"/>
        </w:rPr>
        <w:t xml:space="preserve">•  </w:t>
      </w:r>
      <w:r>
        <w:rPr>
          <w:rFonts w:ascii="Nunito Sans" w:hAnsi="Nunito Sans"/>
          <w:b/>
          <w:sz w:val="22"/>
          <w:szCs w:val="22"/>
        </w:rPr>
        <w:t xml:space="preserve">RAPD assessment card</w:t>
      </w:r>
      <w:r>
        <w:rPr>
          <w:rFonts w:ascii="Nunito Sans" w:hAnsi="Nunito Sans"/>
          <w:sz w:val="22"/>
          <w:szCs w:val="22"/>
        </w:rPr>
        <w:t xml:space="preserve"> per eye in the report with the selected grade and full clinical descriptor</w:t>
      </w:r>
    </w:p>
    <w:p>
      <w:pPr>
        <w:spacing w:after="60"/>
        <w:ind w:left="360"/>
      </w:pPr>
      <w:r>
        <w:rPr>
          <w:rFonts w:ascii="Nunito Sans" w:hAnsi="Nunito Sans"/>
          <w:sz w:val="22"/>
          <w:szCs w:val="22"/>
        </w:rPr>
        <w:t xml:space="preserve">•  </w:t>
      </w:r>
      <w:r>
        <w:rPr>
          <w:rFonts w:ascii="Nunito Sans" w:hAnsi="Nunito Sans"/>
          <w:b/>
          <w:sz w:val="22"/>
          <w:szCs w:val="22"/>
        </w:rPr>
        <w:t xml:space="preserve">CN III / Horner's / RAPD clinical flag</w:t>
      </w:r>
      <w:r>
        <w:rPr>
          <w:rFonts w:ascii="Nunito Sans" w:hAnsi="Nunito Sans"/>
          <w:sz w:val="22"/>
          <w:szCs w:val="22"/>
        </w:rPr>
        <w:t xml:space="preserve"> — prominent red surface, surfaces automatically when any of the following patterns are detected:</w:t>
      </w:r>
    </w:p>
    <w:p>
      <w:pPr>
        <w:spacing w:after="60"/>
        <w:ind w:left="720"/>
      </w:pPr>
      <w:r>
        <w:rPr>
          <w:rFonts w:ascii="Nunito Sans" w:hAnsi="Nunito Sans"/>
          <w:sz w:val="22"/>
          <w:szCs w:val="22"/>
        </w:rPr>
        <w:t xml:space="preserve">•  </w:t>
      </w:r>
      <w:r>
        <w:rPr>
          <w:rFonts w:ascii="Nunito Sans" w:hAnsi="Nunito Sans"/>
          <w:b/>
          <w:sz w:val="22"/>
          <w:szCs w:val="22"/>
        </w:rPr>
        <w:t xml:space="preserve">Optic nerve disease pattern:</w:t>
      </w:r>
      <w:r>
        <w:rPr>
          <w:rFonts w:ascii="Nunito Sans" w:hAnsi="Nunito Sans"/>
          <w:sz w:val="22"/>
          <w:szCs w:val="22"/>
        </w:rPr>
        <w:t xml:space="preserve"> RAPD ≥ 1+ on either eye → "Relative afferent pupillary defect — {eye}" flag with neuro-ophthalmic referral copy</w:t>
      </w:r>
    </w:p>
    <w:p>
      <w:pPr>
        <w:spacing w:after="60"/>
        <w:ind w:left="720"/>
      </w:pPr>
      <w:r>
        <w:rPr>
          <w:rFonts w:ascii="Nunito Sans" w:hAnsi="Nunito Sans"/>
          <w:sz w:val="22"/>
          <w:szCs w:val="22"/>
        </w:rPr>
        <w:t xml:space="preserve">•  </w:t>
      </w:r>
      <w:r>
        <w:rPr>
          <w:rFonts w:ascii="Nunito Sans" w:hAnsi="Nunito Sans"/>
          <w:b/>
          <w:sz w:val="22"/>
          <w:szCs w:val="22"/>
        </w:rPr>
        <w:t xml:space="preserve">Sympathetic pathway pattern:</w:t>
      </w:r>
      <w:r>
        <w:rPr>
          <w:rFonts w:ascii="Nunito Sans" w:hAnsi="Nunito Sans"/>
          <w:sz w:val="22"/>
          <w:szCs w:val="22"/>
        </w:rPr>
        <w:t xml:space="preserve"> anisocoria greater in dark by ≥ 0.3 mm → "Anisocoria greater in dark — sympathetic pattern" flag with cocaine / apraclonidine testing recommendation</w:t>
      </w:r>
    </w:p>
    <w:p>
      <w:pPr>
        <w:spacing w:after="60"/>
        <w:ind w:left="720"/>
      </w:pPr>
      <w:r>
        <w:rPr>
          <w:rFonts w:ascii="Nunito Sans" w:hAnsi="Nunito Sans"/>
          <w:sz w:val="22"/>
          <w:szCs w:val="22"/>
        </w:rPr>
        <w:t xml:space="preserve">•  </w:t>
      </w:r>
      <w:r>
        <w:rPr>
          <w:rFonts w:ascii="Nunito Sans" w:hAnsi="Nunito Sans"/>
          <w:b/>
          <w:sz w:val="22"/>
          <w:szCs w:val="22"/>
        </w:rPr>
        <w:t xml:space="preserve">Parasympathetic pathway pattern:</w:t>
      </w:r>
      <w:r>
        <w:rPr>
          <w:rFonts w:ascii="Nunito Sans" w:hAnsi="Nunito Sans"/>
          <w:sz w:val="22"/>
          <w:szCs w:val="22"/>
        </w:rPr>
        <w:t xml:space="preserve"> anisocoria greater in light by ≥ 0.3 mm → "Anisocoria greater in light — parasympathetic pattern" flag with CN III palsy / Adie's / pharmacologic mydriasis differential</w:t>
      </w:r>
    </w:p>
    <w:p>
      <w:pPr>
        <w:spacing w:after="60"/>
        <w:ind w:left="720"/>
      </w:pPr>
      <w:r>
        <w:rPr>
          <w:rFonts w:ascii="Nunito Sans" w:hAnsi="Nunito Sans"/>
          <w:sz w:val="22"/>
          <w:szCs w:val="22"/>
        </w:rPr>
        <w:t xml:space="preserve">•  </w:t>
      </w:r>
      <w:r>
        <w:rPr>
          <w:rFonts w:ascii="Nunito Sans" w:hAnsi="Nunito Sans"/>
          <w:b/>
          <w:sz w:val="22"/>
          <w:szCs w:val="22"/>
        </w:rPr>
        <w:t xml:space="preserve">Neuro pattern:</w:t>
      </w:r>
      <w:r>
        <w:rPr>
          <w:rFonts w:ascii="Nunito Sans" w:hAnsi="Nunito Sans"/>
          <w:sz w:val="22"/>
          <w:szCs w:val="22"/>
        </w:rPr>
        <w:t xml:space="preserve"> NPi &lt; 2.5 on either eye → "Reduced neurological pupil index — {eye}" flag with intracranial / brainstem / pharmacologic differential</w:t>
      </w:r>
    </w:p>
    <w:p>
      <w:pPr>
        <w:spacing w:after="60"/>
        <w:ind w:left="360"/>
      </w:pPr>
      <w:r>
        <w:rPr>
          <w:rFonts w:ascii="Nunito Sans" w:hAnsi="Nunito Sans"/>
          <w:sz w:val="22"/>
          <w:szCs w:val="22"/>
        </w:rPr>
        <w:t xml:space="preserve">•  </w:t>
      </w:r>
      <w:r>
        <w:rPr>
          <w:rFonts w:ascii="Nunito Sans" w:hAnsi="Nunito Sans"/>
          <w:b/>
          <w:sz w:val="22"/>
          <w:szCs w:val="22"/>
        </w:rPr>
        <w:t xml:space="preserve">Patient Classification banner</w:t>
      </w:r>
      <w:r>
        <w:rPr>
          <w:rFonts w:ascii="Nunito Sans" w:hAnsi="Nunito Sans"/>
          <w:sz w:val="22"/>
          <w:szCs w:val="22"/>
        </w:rPr>
        <w:t xml:space="preserve"> in the report with worst-finding-drives-bottom-line severity (Normal / Mild / Significant) and per-finding summary pills (Anisocoria pill · per-eye NPi pills · RAPD pill)</w:t>
      </w:r>
    </w:p>
    <w:p>
      <w:pPr>
        <w:spacing w:after="60"/>
        <w:ind w:left="360"/>
      </w:pPr>
      <w:r>
        <w:rPr>
          <w:rFonts w:ascii="Nunito Sans" w:hAnsi="Nunito Sans"/>
          <w:sz w:val="22"/>
          <w:szCs w:val="22"/>
        </w:rPr>
        <w:t xml:space="preserve">•  </w:t>
      </w:r>
      <w:r>
        <w:rPr>
          <w:rFonts w:ascii="Nunito Sans" w:hAnsi="Nunito Sans"/>
          <w:b/>
          <w:sz w:val="22"/>
          <w:szCs w:val="22"/>
        </w:rPr>
        <w:t xml:space="preserve">Clinical Interpretation card</w:t>
      </w:r>
      <w:r>
        <w:rPr>
          <w:rFonts w:ascii="Nunito Sans" w:hAnsi="Nunito Sans"/>
          <w:sz w:val="22"/>
          <w:szCs w:val="22"/>
        </w:rPr>
        <w:t xml:space="preserve"> with severity tint, summary sentence, and bullet-list of specific findings (each age-banded deviation, each pathological anisocoria pattern, each NPi finding, each RAPD finding listed individually)</w:t>
      </w:r>
    </w:p>
    <w:p>
      <w:pPr>
        <w:spacing w:after="60"/>
        <w:ind w:left="360"/>
      </w:pPr>
      <w:r>
        <w:rPr>
          <w:rFonts w:ascii="Nunito Sans" w:hAnsi="Nunito Sans"/>
          <w:sz w:val="22"/>
          <w:szCs w:val="22"/>
        </w:rPr>
        <w:t xml:space="preserve">•  </w:t>
      </w:r>
      <w:r>
        <w:rPr>
          <w:rFonts w:ascii="Nunito Sans" w:hAnsi="Nunito Sans"/>
          <w:b/>
          <w:sz w:val="22"/>
          <w:szCs w:val="22"/>
        </w:rPr>
        <w:t xml:space="preserve">Age-banded reference values card</w:t>
      </w:r>
      <w:r>
        <w:rPr>
          <w:rFonts w:ascii="Nunito Sans" w:hAnsi="Nunito Sans"/>
          <w:sz w:val="22"/>
          <w:szCs w:val="22"/>
        </w:rPr>
        <w:t xml:space="preserve"> in the report (full Winn 1994 table, with the patient's age band highlighted) so the printed report stands alone</w:t>
      </w:r>
    </w:p>
    <w:p>
      <w:pPr>
        <w:spacing w:after="60"/>
        <w:ind w:left="360"/>
      </w:pPr>
      <w:r>
        <w:rPr>
          <w:rFonts w:ascii="Nunito Sans" w:hAnsi="Nunito Sans"/>
          <w:sz w:val="22"/>
          <w:szCs w:val="22"/>
        </w:rPr>
        <w:t xml:space="preserve">•  </w:t>
      </w:r>
      <w:r>
        <w:rPr>
          <w:rFonts w:ascii="Nunito Sans" w:hAnsi="Nunito Sans"/>
          <w:b/>
          <w:sz w:val="22"/>
          <w:szCs w:val="22"/>
        </w:rPr>
        <w:t xml:space="preserve">Session notes</w:t>
      </w:r>
      <w:r>
        <w:rPr>
          <w:rFonts w:ascii="Nunito Sans" w:hAnsi="Nunito Sans"/>
          <w:sz w:val="22"/>
          <w:szCs w:val="22"/>
        </w:rPr>
        <w:t xml:space="preserve"> textarea (sidebar during testing, dedicated card in the report)</w:t>
      </w:r>
    </w:p>
    <w:p>
      <w:pPr>
        <w:spacing w:after="60"/>
        <w:ind w:left="360"/>
      </w:pPr>
      <w:r>
        <w:rPr>
          <w:rFonts w:ascii="Nunito Sans" w:hAnsi="Nunito Sans"/>
          <w:sz w:val="22"/>
          <w:szCs w:val="22"/>
        </w:rPr>
        <w:t xml:space="preserve">•  </w:t>
      </w:r>
      <w:r>
        <w:rPr>
          <w:rFonts w:ascii="Nunito Sans" w:hAnsi="Nunito Sans"/>
          <w:b/>
          <w:sz w:val="22"/>
          <w:szCs w:val="22"/>
        </w:rPr>
        <w:t xml:space="preserve">Doctor sign-off</w:t>
      </w:r>
      <w:r>
        <w:rPr>
          <w:rFonts w:ascii="Nunito Sans" w:hAnsi="Nunito Sans"/>
          <w:sz w:val="22"/>
          <w:szCs w:val="22"/>
        </w:rPr>
        <w:t xml:space="preserve"> label above the Certify &amp; close primary action</w:t>
      </w:r>
    </w:p>
    <w:p>
      <w:pPr>
        <w:spacing w:before="240" w:after="80"/>
      </w:pPr>
      <w:r>
        <w:rPr>
          <w:rFonts w:ascii="Nunito Sans" w:hAnsi="Nunito Sans"/>
          <w:b/>
          <w:sz w:val="24"/>
          <w:szCs w:val="24"/>
        </w:rPr>
        <w:t xml:space="preserve">Open clinical questions (flagged for engineering)</w:t>
      </w:r>
    </w:p>
    <w:p>
      <w:pPr>
        <w:spacing w:after="60"/>
        <w:ind w:left="360"/>
      </w:pPr>
      <w:r>
        <w:rPr>
          <w:rFonts w:ascii="Nunito Sans" w:hAnsi="Nunito Sans"/>
          <w:sz w:val="22"/>
          <w:szCs w:val="22"/>
        </w:rPr>
        <w:t xml:space="preserve">•  </w:t>
      </w:r>
      <w:r>
        <w:rPr>
          <w:rFonts w:ascii="Nunito Sans" w:hAnsi="Nunito Sans"/>
          <w:b/>
          <w:sz w:val="22"/>
          <w:szCs w:val="22"/>
        </w:rPr>
        <w:t xml:space="preserve">Dynamic data shape from firmware.</w:t>
      </w:r>
      <w:r>
        <w:rPr>
          <w:rFonts w:ascii="Nunito Sans" w:hAnsi="Nunito Sans"/>
          <w:sz w:val="22"/>
          <w:szCs w:val="22"/>
        </w:rPr>
        <w:t xml:space="preserve"> Does the headset emit a time-series of pupil diameter at ~30 Hz, or only summary metrics (baseline / min / latency / etc.)? Determines whether the UI re-draws the real PLR curve or just renders the summary numbers and a stylised reference curve.</w:t>
      </w:r>
    </w:p>
    <w:p>
      <w:pPr>
        <w:spacing w:after="60"/>
        <w:ind w:left="360"/>
      </w:pPr>
      <w:r>
        <w:rPr>
          <w:rFonts w:ascii="Nunito Sans" w:hAnsi="Nunito Sans"/>
          <w:sz w:val="22"/>
          <w:szCs w:val="22"/>
        </w:rPr>
        <w:t xml:space="preserve">•  </w:t>
      </w:r>
      <w:r>
        <w:rPr>
          <w:rFonts w:ascii="Nunito Sans" w:hAnsi="Nunito Sans"/>
          <w:b/>
          <w:sz w:val="22"/>
          <w:szCs w:val="22"/>
        </w:rPr>
        <w:t xml:space="preserve">NPi computation location.</w:t>
      </w:r>
      <w:r>
        <w:rPr>
          <w:rFonts w:ascii="Nunito Sans" w:hAnsi="Nunito Sans"/>
          <w:sz w:val="22"/>
          <w:szCs w:val="22"/>
        </w:rPr>
        <w:t xml:space="preserve"> Computed firmware-side per NeurOptics convention, or computed UI/cloud-side from the time-series? Most likely firmware-side.</w:t>
      </w:r>
    </w:p>
    <w:p>
      <w:pPr>
        <w:spacing w:after="60"/>
        <w:ind w:left="360"/>
      </w:pPr>
      <w:r>
        <w:rPr>
          <w:rFonts w:ascii="Nunito Sans" w:hAnsi="Nunito Sans"/>
          <w:sz w:val="22"/>
          <w:szCs w:val="22"/>
        </w:rPr>
        <w:t xml:space="preserve">•  </w:t>
      </w:r>
      <w:r>
        <w:rPr>
          <w:rFonts w:ascii="Nunito Sans" w:hAnsi="Nunito Sans"/>
          <w:b/>
          <w:sz w:val="22"/>
          <w:szCs w:val="22"/>
        </w:rPr>
        <w:t xml:space="preserve">Swinging flashlight automation.</w:t>
      </w:r>
      <w:r>
        <w:rPr>
          <w:rFonts w:ascii="Nunito Sans" w:hAnsi="Nunito Sans"/>
          <w:sz w:val="22"/>
          <w:szCs w:val="22"/>
        </w:rPr>
        <w:t xml:space="preserve"> Does the headset present the alternating light stimulus automatically (UI is a passive viewer + grade-recorder), or is the technician manually triggering left/right alternation?</w:t>
      </w:r>
    </w:p>
    <w:p>
      <w:pPr>
        <w:spacing w:after="60"/>
        <w:ind w:left="360"/>
      </w:pPr>
      <w:r>
        <w:rPr>
          <w:rFonts w:ascii="Nunito Sans" w:hAnsi="Nunito Sans"/>
          <w:sz w:val="22"/>
          <w:szCs w:val="22"/>
        </w:rPr>
        <w:t xml:space="preserve">•  </w:t>
      </w:r>
      <w:r>
        <w:rPr>
          <w:rFonts w:ascii="Nunito Sans" w:hAnsi="Nunito Sans"/>
          <w:b/>
          <w:sz w:val="22"/>
          <w:szCs w:val="22"/>
        </w:rPr>
        <w:t xml:space="preserve">Pupil response clicker.</w:t>
      </w:r>
      <w:r>
        <w:rPr>
          <w:rFonts w:ascii="Nunito Sans" w:hAnsi="Nunito Sans"/>
          <w:sz w:val="22"/>
          <w:szCs w:val="22"/>
        </w:rPr>
        <w:t xml:space="preserve"> Pupillometry does not use the patient clicker (the patient is passive). Confirm with engineering.</w:t>
      </w:r>
    </w:p>
    <w:p>
      <w:pPr>
        <w:spacing w:after="60"/>
        <w:ind w:left="360"/>
      </w:pPr>
      <w:r>
        <w:rPr>
          <w:rFonts w:ascii="Nunito Sans" w:hAnsi="Nunito Sans"/>
          <w:sz w:val="22"/>
          <w:szCs w:val="22"/>
        </w:rPr>
        <w:t xml:space="preserve">•  </w:t>
      </w:r>
      <w:r>
        <w:rPr>
          <w:rFonts w:ascii="Nunito Sans" w:hAnsi="Nunito Sans"/>
          <w:b/>
          <w:sz w:val="22"/>
          <w:szCs w:val="22"/>
        </w:rPr>
        <w:t xml:space="preserve">Pharmacological pupillometry workflow.</w:t>
      </w:r>
      <w:r>
        <w:rPr>
          <w:rFonts w:ascii="Nunito Sans" w:hAnsi="Nunito Sans"/>
          <w:sz w:val="22"/>
          <w:szCs w:val="22"/>
        </w:rPr>
        <w:t xml:space="preserve"> Cocaine and apraclonidine tests (Horner's syndrome confirmation) and pilocarpine test (Adie's pupil) follow specific dilation protocols. Out of scope for v0.2.5 but flag if Xenon plans to support these.</w:t>
      </w:r>
    </w:p>
    <w:p>
      <w:pPr>
        <w:spacing w:after="60"/>
        <w:ind w:left="360"/>
      </w:pPr>
      <w:r>
        <w:rPr>
          <w:rFonts w:ascii="Nunito Sans" w:hAnsi="Nunito Sans"/>
          <w:sz w:val="22"/>
          <w:szCs w:val="22"/>
        </w:rPr>
        <w:t xml:space="preserve">•  </w:t>
      </w:r>
      <w:r>
        <w:rPr>
          <w:rFonts w:ascii="Nunito Sans" w:hAnsi="Nunito Sans"/>
          <w:b/>
          <w:sz w:val="22"/>
          <w:szCs w:val="22"/>
        </w:rPr>
        <w:t xml:space="preserve">Ambient light measurement.</w:t>
      </w:r>
      <w:r>
        <w:rPr>
          <w:rFonts w:ascii="Nunito Sans" w:hAnsi="Nunito Sans"/>
          <w:sz w:val="22"/>
          <w:szCs w:val="22"/>
        </w:rPr>
        <w:t xml:space="preserve"> Does the headset measure actual ambient lux inside the device, or does the UI assume a calibrated dark interior? Affects whether "scotopic / mesopic / photopic" is a measured condition or a configured assumption.</w:t>
      </w:r>
    </w:p>
    <w:p>
      <w:pPr>
        <w:spacing w:after="60"/>
        <w:ind w:left="360"/>
      </w:pPr>
      <w:r>
        <w:rPr>
          <w:rFonts w:ascii="Nunito Sans" w:hAnsi="Nunito Sans"/>
          <w:sz w:val="22"/>
          <w:szCs w:val="22"/>
        </w:rPr>
        <w:t xml:space="preserve">•  </w:t>
      </w:r>
      <w:r>
        <w:rPr>
          <w:rFonts w:ascii="Nunito Sans" w:hAnsi="Nunito Sans"/>
          <w:b/>
          <w:sz w:val="22"/>
          <w:szCs w:val="22"/>
        </w:rPr>
        <w:t xml:space="preserve">Adaptation time enforcement.</w:t>
      </w:r>
      <w:r>
        <w:rPr>
          <w:rFonts w:ascii="Nunito Sans" w:hAnsi="Nunito Sans"/>
          <w:sz w:val="22"/>
          <w:szCs w:val="22"/>
        </w:rPr>
        <w:t xml:space="preserve"> Scotopic measurements require ≥ 5 minutes of dark adaptation for valid results. Does the firmware enforce this timing, or does the UI need to display a countdown timer?</w:t>
      </w:r>
    </w:p>
    <w:p>
      <w:pPr>
        <w:spacing w:after="0"/>
      </w:pPr>
    </w:p>
    <w:p>
      <w:pPr>
        <w:spacing w:before="240" w:after="80"/>
      </w:pPr>
      <w:r>
        <w:rPr>
          <w:rFonts w:ascii="Nunito Sans" w:hAnsi="Nunito Sans"/>
          <w:b/>
          <w:sz w:val="28"/>
          <w:szCs w:val="28"/>
        </w:rPr>
        <w:t xml:space="preserve">7. Wavefront Refraction (v0.2.6 · enhanced v0.2.7)</w:t>
      </w:r>
    </w:p>
    <w:p>
      <w:pPr>
        <w:spacing w:before="240" w:after="80"/>
      </w:pPr>
      <w:r>
        <w:rPr>
          <w:rFonts w:ascii="Nunito Sans" w:hAnsi="Nunito Sans"/>
          <w:b/>
          <w:sz w:val="24"/>
          <w:szCs w:val="24"/>
        </w:rPr>
        <w:t xml:space="preserve">Reference standard</w:t>
      </w:r>
    </w:p>
    <w:p>
      <w:pPr>
        <w:spacing w:after="120"/>
      </w:pPr>
      <w:r>
        <w:rPr>
          <w:rFonts w:ascii="Nunito Sans" w:hAnsi="Nunito Sans"/>
          <w:sz w:val="22"/>
          <w:szCs w:val="22"/>
        </w:rPr>
        <w:t xml:space="preserve">The combined digital replacement for the traditional two-instrument refraction workflow. </w:t>
      </w:r>
      <w:r>
        <w:rPr>
          <w:rFonts w:ascii="Nunito Sans" w:hAnsi="Nunito Sans"/>
          <w:b/>
          <w:sz w:val="22"/>
          <w:szCs w:val="22"/>
        </w:rPr>
        <w:t xml:space="preserve">Objective stage:</w:t>
      </w:r>
      <w:r>
        <w:rPr>
          <w:rFonts w:ascii="Nunito Sans" w:hAnsi="Nunito Sans"/>
          <w:sz w:val="22"/>
          <w:szCs w:val="22"/>
        </w:rPr>
        <w:t xml:space="preserve"> wavefront aberrometry used as an autorefractor — the Hartmann-Shack-derived lower-order sphere / cylinder / axis is the objective starting point. </w:t>
      </w:r>
      <w:r>
        <w:rPr>
          <w:rFonts w:ascii="Nunito Sans" w:hAnsi="Nunito Sans"/>
          <w:b/>
          <w:sz w:val="22"/>
          <w:szCs w:val="22"/>
        </w:rPr>
        <w:t xml:space="preserve">Subjective stage:</w:t>
      </w:r>
      <w:r>
        <w:rPr>
          <w:rFonts w:ascii="Nunito Sans" w:hAnsi="Nunito Sans"/>
          <w:sz w:val="22"/>
          <w:szCs w:val="22"/>
        </w:rPr>
        <w:t xml:space="preserve"> liquid-lens digital phoropter following standard manifest-refraction methodology — Maximum Plus to Maximum Visual Acuity (MPMVA) sphere endpoint, Jackson Cross Cylinder (JCC) for cylinder axis then power, fogging to control accommodation, and additive visual-acuity notation. The certified output is a verified spectacle prescription (Rx).</w:t>
      </w:r>
    </w:p>
    <w:p>
      <w:pPr>
        <w:spacing w:before="60" w:after="120"/>
        <w:ind w:left="360"/>
      </w:pPr>
      <w:r>
        <w:rPr>
          <w:rFonts w:ascii="Nunito Sans" w:hAnsi="Nunito Sans"/>
          <w:b/>
          <w:i/>
          <w:sz w:val="22"/>
          <w:szCs w:val="22"/>
          <w:color w:val="444444"/>
        </w:rPr>
        <w:t xml:space="preserve">This test deliberately makes no clinical claims.</w:t>
      </w:r>
      <w:r>
        <w:rPr>
          <w:rFonts w:ascii="Nunito Sans" w:hAnsi="Nunito Sans"/>
          <w:i/>
          <w:sz w:val="22"/>
          <w:szCs w:val="22"/>
          <w:color w:val="444444"/>
        </w:rPr>
        <w:t xml:space="preserve"> Unlike the other clinically-faithful tests, the report carries </w:t>
      </w:r>
      <w:r>
        <w:rPr>
          <w:rFonts w:ascii="Nunito Sans" w:hAnsi="Nunito Sans"/>
          <w:b/>
          <w:i/>
          <w:sz w:val="22"/>
          <w:szCs w:val="22"/>
          <w:color w:val="444444"/>
        </w:rPr>
        <w:t xml:space="preserve">no Patient Classification banner and no interpretive language.</w:t>
      </w:r>
      <w:r>
        <w:rPr>
          <w:rFonts w:ascii="Nunito Sans" w:hAnsi="Nunito Sans"/>
          <w:i/>
          <w:sz w:val="22"/>
          <w:szCs w:val="22"/>
          <w:color w:val="444444"/>
        </w:rPr>
        <w:t xml:space="preserve"> A refraction is a measurement-and-verification workflow, not a screening, so interpretive output is stripped by clinical direction. The Clinical Summary states data only (scans taken, completion, "Final Rx pending clinician certification").</w:t>
      </w:r>
    </w:p>
    <w:p>
      <w:pPr>
        <w:spacing w:before="240" w:after="80"/>
      </w:pPr>
      <w:r>
        <w:rPr>
          <w:rFonts w:ascii="Nunito Sans" w:hAnsi="Nunito Sans"/>
          <w:b/>
          <w:sz w:val="24"/>
          <w:szCs w:val="24"/>
        </w:rPr>
        <w:t xml:space="preserve">New in v0.2.7 — six competitive-parity enhancements (all doctor-led-safe)</w:t>
      </w:r>
    </w:p>
    <w:p>
      <w:pPr>
        <w:spacing w:after="120"/>
      </w:pPr>
      <w:r>
        <w:rPr>
          <w:rFonts w:ascii="Nunito Sans" w:hAnsi="Nunito Sans"/>
          <w:sz w:val="22"/>
          <w:szCs w:val="22"/>
        </w:rPr>
        <w:t xml:space="preserve">Benchmarked against the Marco OPD-Scan III and Reichert Phoroptor VRx. Every addition is a </w:t>
      </w:r>
      <w:r>
        <w:rPr>
          <w:rFonts w:ascii="Nunito Sans" w:hAnsi="Nunito Sans"/>
          <w:b/>
          <w:sz w:val="22"/>
          <w:szCs w:val="22"/>
        </w:rPr>
        <w:t xml:space="preserve">measurement or simulation, never a verdict</w:t>
      </w:r>
      <w:r>
        <w:rPr>
          <w:rFonts w:ascii="Nunito Sans" w:hAnsi="Nunito Sans"/>
          <w:sz w:val="22"/>
          <w:szCs w:val="22"/>
        </w:rPr>
        <w:t xml:space="preserve"> — the report still asserts no clinical claim.</w:t>
      </w:r>
    </w:p>
    <w:p>
      <w:pPr>
        <w:spacing w:after="60"/>
        <w:ind w:left="360"/>
      </w:pPr>
      <w:r>
        <w:rPr>
          <w:rFonts w:ascii="Nunito Sans" w:hAnsi="Nunito Sans"/>
          <w:sz w:val="22"/>
          <w:szCs w:val="22"/>
        </w:rPr>
        <w:t xml:space="preserve">1. </w:t>
      </w:r>
      <w:r>
        <w:rPr>
          <w:rFonts w:ascii="Nunito Sans" w:hAnsi="Nunito Sans"/>
          <w:b/>
          <w:sz w:val="22"/>
          <w:szCs w:val="22"/>
        </w:rPr>
        <w:t xml:space="preserve">PSF + simulated-VA before/after</w:t>
      </w:r>
      <w:r>
        <w:rPr>
          <w:rFonts w:ascii="Nunito Sans" w:hAnsi="Nunito Sans"/>
          <w:sz w:val="22"/>
          <w:szCs w:val="22"/>
        </w:rPr>
        <w:t xml:space="preserve"> — point-spread-function render and simulated acuity from the Zernike set, habitual Rx vs. new Rx.</w:t>
      </w:r>
    </w:p>
    <w:p>
      <w:pPr>
        <w:spacing w:after="60"/>
        <w:ind w:left="360"/>
      </w:pPr>
      <w:r>
        <w:rPr>
          <w:rFonts w:ascii="Nunito Sans" w:hAnsi="Nunito Sans"/>
          <w:sz w:val="22"/>
          <w:szCs w:val="22"/>
        </w:rPr>
        <w:t xml:space="preserve">2. </w:t>
      </w:r>
      <w:r>
        <w:rPr>
          <w:rFonts w:ascii="Nunito Sans" w:hAnsi="Nunito Sans"/>
          <w:b/>
          <w:sz w:val="22"/>
          <w:szCs w:val="22"/>
        </w:rPr>
        <w:t xml:space="preserve">Binocular balance</w:t>
      </w:r>
      <w:r>
        <w:rPr>
          <w:rFonts w:ascii="Nunito Sans" w:hAnsi="Nunito Sans"/>
          <w:sz w:val="22"/>
          <w:szCs w:val="22"/>
        </w:rPr>
        <w:t xml:space="preserve"> — added after both eyes via fogging / alternate occlusion (no prism hardware required).</w:t>
      </w:r>
    </w:p>
    <w:p>
      <w:pPr>
        <w:spacing w:after="60"/>
        <w:ind w:left="360"/>
      </w:pPr>
      <w:r>
        <w:rPr>
          <w:rFonts w:ascii="Nunito Sans" w:hAnsi="Nunito Sans"/>
          <w:sz w:val="22"/>
          <w:szCs w:val="22"/>
        </w:rPr>
        <w:t xml:space="preserve">3. </w:t>
      </w:r>
      <w:r>
        <w:rPr>
          <w:rFonts w:ascii="Nunito Sans" w:hAnsi="Nunito Sans"/>
          <w:b/>
          <w:sz w:val="22"/>
          <w:szCs w:val="22"/>
        </w:rPr>
        <w:t xml:space="preserve">Multi-source Rx comparison</w:t>
      </w:r>
      <w:r>
        <w:rPr>
          <w:rFonts w:ascii="Nunito Sans" w:hAnsi="Nunito Sans"/>
          <w:sz w:val="22"/>
          <w:szCs w:val="22"/>
        </w:rPr>
        <w:t xml:space="preserve"> — objective, subjective, habitual, and unaided side by side with spherical-equivalent deltas.</w:t>
      </w:r>
    </w:p>
    <w:p>
      <w:pPr>
        <w:spacing w:after="60"/>
        <w:ind w:left="360"/>
      </w:pPr>
      <w:r>
        <w:rPr>
          <w:rFonts w:ascii="Nunito Sans" w:hAnsi="Nunito Sans"/>
          <w:sz w:val="22"/>
          <w:szCs w:val="22"/>
        </w:rPr>
        <w:t xml:space="preserve">4. </w:t>
      </w:r>
      <w:r>
        <w:rPr>
          <w:rFonts w:ascii="Nunito Sans" w:hAnsi="Nunito Sans"/>
          <w:b/>
          <w:sz w:val="22"/>
          <w:szCs w:val="22"/>
        </w:rPr>
        <w:t xml:space="preserve">Photopic vs. mesopic (day &amp; night) refraction</w:t>
      </w:r>
      <w:r>
        <w:rPr>
          <w:rFonts w:ascii="Nunito Sans" w:hAnsi="Nunito Sans"/>
          <w:sz w:val="22"/>
          <w:szCs w:val="22"/>
        </w:rPr>
        <w:t xml:space="preserve"> — 4 mm analysis plus a 6 mm column (both hardware-confirmed) and a night-shift Diff row.</w:t>
      </w:r>
    </w:p>
    <w:p>
      <w:pPr>
        <w:spacing w:after="60"/>
        <w:ind w:left="360"/>
      </w:pPr>
      <w:r>
        <w:rPr>
          <w:rFonts w:ascii="Nunito Sans" w:hAnsi="Nunito Sans"/>
          <w:sz w:val="22"/>
          <w:szCs w:val="22"/>
        </w:rPr>
        <w:t xml:space="preserve">5. </w:t>
      </w:r>
      <w:r>
        <w:rPr>
          <w:rFonts w:ascii="Nunito Sans" w:hAnsi="Nunito Sans"/>
          <w:b/>
          <w:sz w:val="22"/>
          <w:szCs w:val="22"/>
        </w:rPr>
        <w:t xml:space="preserve">Smart-Cylinder auto-bracketing</w:t>
      </w:r>
      <w:r>
        <w:rPr>
          <w:rFonts w:ascii="Nunito Sans" w:hAnsi="Nunito Sans"/>
          <w:sz w:val="22"/>
          <w:szCs w:val="22"/>
        </w:rPr>
        <w:t xml:space="preserve"> — the JCC step size auto-sizes to the cylinder magnitude and narrows after each reversal.</w:t>
      </w:r>
    </w:p>
    <w:p>
      <w:pPr>
        <w:spacing w:after="60"/>
        <w:ind w:left="360"/>
      </w:pPr>
      <w:r>
        <w:rPr>
          <w:rFonts w:ascii="Nunito Sans" w:hAnsi="Nunito Sans"/>
          <w:sz w:val="22"/>
          <w:szCs w:val="22"/>
        </w:rPr>
        <w:t xml:space="preserve">6. </w:t>
      </w:r>
      <w:r>
        <w:rPr>
          <w:rFonts w:ascii="Nunito Sans" w:hAnsi="Nunito Sans"/>
          <w:b/>
          <w:sz w:val="22"/>
          <w:szCs w:val="22"/>
        </w:rPr>
        <w:t xml:space="preserve">Refraction-based progression tracker</w:t>
      </w:r>
      <w:r>
        <w:rPr>
          <w:rFonts w:ascii="Nunito Sans" w:hAnsi="Nunito Sans"/>
          <w:sz w:val="22"/>
          <w:szCs w:val="22"/>
        </w:rPr>
        <w:t xml:space="preserve"> — spherical-equivalent trend over visits and D/year vs. age-banded reference; the at-risk determination is left to the clinician.</w:t>
      </w:r>
    </w:p>
    <w:p>
      <w:pPr>
        <w:spacing w:before="60" w:after="120"/>
        <w:ind w:left="360"/>
      </w:pPr>
      <w:r>
        <w:rPr>
          <w:rFonts w:ascii="Nunito Sans" w:hAnsi="Nunito Sans"/>
          <w:b/>
          <w:i/>
          <w:sz w:val="22"/>
          <w:szCs w:val="22"/>
          <w:color w:val="444444"/>
        </w:rPr>
        <w:t xml:space="preserve">Hardware values confirmed (Steve, Q3/Q7/Q8).</w:t>
      </w:r>
      <w:r>
        <w:rPr>
          <w:rFonts w:ascii="Nunito Sans" w:hAnsi="Nunito Sans"/>
          <w:i/>
          <w:sz w:val="22"/>
          <w:szCs w:val="22"/>
          <w:color w:val="444444"/>
        </w:rPr>
        <w:t xml:space="preserve"> The 6 mm pupil columns, vertex distance (25–30 mm), and sphere/cylinder ranges (sphere −14 to +14 D, cylinder 0 to −5 D) are confirmed and isolated in named constants. Built to the confirmed 4 mm analysis baseline; any later hardware revision is a one-line change.</w:t>
      </w:r>
    </w:p>
    <w:p>
      <w:pPr>
        <w:spacing w:before="240" w:after="80"/>
      </w:pPr>
      <w:r>
        <w:rPr>
          <w:rFonts w:ascii="Nunito Sans" w:hAnsi="Nunito Sans"/>
          <w:b/>
          <w:sz w:val="24"/>
          <w:szCs w:val="24"/>
        </w:rPr>
        <w:t xml:space="preserve">What's implemented</w:t>
      </w:r>
    </w:p>
    <w:p>
      <w:pPr>
        <w:spacing w:after="60"/>
        <w:ind w:left="360"/>
      </w:pPr>
      <w:r>
        <w:rPr>
          <w:rFonts w:ascii="Nunito Sans" w:hAnsi="Nunito Sans"/>
          <w:sz w:val="22"/>
          <w:szCs w:val="22"/>
        </w:rPr>
        <w:t xml:space="preserve">•  </w:t>
      </w:r>
      <w:r>
        <w:rPr>
          <w:rFonts w:ascii="Nunito Sans" w:hAnsi="Nunito Sans"/>
          <w:b/>
          <w:sz w:val="22"/>
          <w:szCs w:val="22"/>
        </w:rPr>
        <w:t xml:space="preserve">Two-stage flow</w:t>
      </w:r>
      <w:r>
        <w:rPr>
          <w:rFonts w:ascii="Nunito Sans" w:hAnsi="Nunito Sans"/>
          <w:sz w:val="22"/>
          <w:szCs w:val="22"/>
        </w:rPr>
        <w:t xml:space="preserve"> mapped onto the shared three-phase framework:</w:t>
      </w:r>
    </w:p>
    <w:p>
      <w:pPr>
        <w:spacing w:after="120"/>
      </w:pPr>
      <w:r>
        <w:rPr>
          <w:rFonts w:ascii="Nunito Sans" w:hAnsi="Nunito Sans"/>
          <w:sz w:val="22"/>
          <w:szCs w:val="22"/>
        </w:rPr>
        <w:t xml:space="preserve">  ```</w:t>
      </w:r>
    </w:p>
    <w:p>
      <w:pPr>
        <w:spacing w:after="120"/>
      </w:pPr>
      <w:r>
        <w:rPr>
          <w:rFonts w:ascii="Nunito Sans" w:hAnsi="Nunito Sans"/>
          <w:sz w:val="22"/>
          <w:szCs w:val="22"/>
        </w:rPr>
        <w:t xml:space="preserve">  entry (full refraction / subjective-only)</w:t>
      </w:r>
    </w:p>
    <w:p>
      <w:pPr>
        <w:spacing w:after="120"/>
      </w:pPr>
      <w:r>
        <w:rPr>
          <w:rFonts w:ascii="Nunito Sans" w:hAnsi="Nunito Sans"/>
          <w:sz w:val="22"/>
          <w:szCs w:val="22"/>
        </w:rPr>
        <w:t xml:space="preserve">    → objective  (monocular wavefront capture, OD → OS)</w:t>
      </w:r>
    </w:p>
    <w:p>
      <w:pPr>
        <w:spacing w:after="120"/>
      </w:pPr>
      <w:r>
        <w:rPr>
          <w:rFonts w:ascii="Nunito Sans" w:hAnsi="Nunito Sans"/>
          <w:sz w:val="22"/>
          <w:szCs w:val="22"/>
        </w:rPr>
        <w:t xml:space="preserve">    → subjective (liquid-lens phoropter: setup → sphere/MPMVA → JCC axis → JCC power → [MPMVA-2] → add)</w:t>
      </w:r>
    </w:p>
    <w:p>
      <w:pPr>
        <w:spacing w:after="120"/>
      </w:pPr>
      <w:r>
        <w:rPr>
          <w:rFonts w:ascii="Nunito Sans" w:hAnsi="Nunito Sans"/>
          <w:sz w:val="22"/>
          <w:szCs w:val="22"/>
        </w:rPr>
        <w:t xml:space="preserve">    → report</w:t>
      </w:r>
    </w:p>
    <w:p>
      <w:pPr>
        <w:spacing w:after="120"/>
      </w:pPr>
      <w:r>
        <w:rPr>
          <w:rFonts w:ascii="Nunito Sans" w:hAnsi="Nunito Sans"/>
          <w:sz w:val="22"/>
          <w:szCs w:val="22"/>
        </w:rPr>
        <w:t xml:space="preserve">  ```</w:t>
      </w:r>
    </w:p>
    <w:p>
      <w:pPr>
        <w:spacing w:after="60"/>
        <w:ind w:left="360"/>
      </w:pPr>
      <w:r>
        <w:rPr>
          <w:rFonts w:ascii="Nunito Sans" w:hAnsi="Nunito Sans"/>
          <w:sz w:val="22"/>
          <w:szCs w:val="22"/>
        </w:rPr>
        <w:t xml:space="preserve">•  </w:t>
      </w:r>
      <w:r>
        <w:rPr>
          <w:rFonts w:ascii="Nunito Sans" w:hAnsi="Nunito Sans"/>
          <w:b/>
          <w:sz w:val="22"/>
          <w:szCs w:val="22"/>
        </w:rPr>
        <w:t xml:space="preserve">Objective capture</w:t>
      </w:r>
      <w:r>
        <w:rPr>
          <w:rFonts w:ascii="Nunito Sans" w:hAnsi="Nunito Sans"/>
          <w:sz w:val="22"/>
          <w:szCs w:val="22"/>
        </w:rPr>
        <w:t xml:space="preserve"> uses the live eye-scan presentation (dark viewer, breathing pupil, sweep line, rotating centering ring, and a red alignment dot that turns the backdrop green on lock) — not a circular-progress animation. Each eye documents a </w:t>
      </w:r>
      <w:r>
        <w:rPr>
          <w:rFonts w:ascii="Nunito Sans" w:hAnsi="Nunito Sans"/>
          <w:b/>
          <w:sz w:val="22"/>
          <w:szCs w:val="22"/>
        </w:rPr>
        <w:t xml:space="preserve">scan count (1–3)</w:t>
      </w:r>
      <w:r>
        <w:rPr>
          <w:rFonts w:ascii="Nunito Sans" w:hAnsi="Nunito Sans"/>
          <w:sz w:val="22"/>
          <w:szCs w:val="22"/>
        </w:rPr>
        <w:t xml:space="preserve">; the wavefront retries on movement / blink and averages, and the count communicates measurement reliability to the clinician.</w:t>
      </w:r>
    </w:p>
    <w:p>
      <w:pPr>
        <w:spacing w:after="60"/>
        <w:ind w:left="360"/>
      </w:pPr>
      <w:r>
        <w:rPr>
          <w:rFonts w:ascii="Nunito Sans" w:hAnsi="Nunito Sans"/>
          <w:sz w:val="22"/>
          <w:szCs w:val="22"/>
        </w:rPr>
        <w:t xml:space="preserve">•  </w:t>
      </w:r>
      <w:r>
        <w:rPr>
          <w:rFonts w:ascii="Nunito Sans" w:hAnsi="Nunito Sans"/>
          <w:b/>
          <w:sz w:val="22"/>
          <w:szCs w:val="22"/>
        </w:rPr>
        <w:t xml:space="preserve">Axis before power (JCC):</w:t>
      </w:r>
      <w:r>
        <w:rPr>
          <w:rFonts w:ascii="Nunito Sans" w:hAnsi="Nunito Sans"/>
          <w:sz w:val="22"/>
          <w:szCs w:val="22"/>
        </w:rPr>
        <w:t xml:space="preserve"> enforced by step order — the UI cannot reach cylinder-power refinement until the cylinder axis is confirmed (jcc-axis always precedes jcc-power).</w:t>
      </w:r>
    </w:p>
    <w:p>
      <w:pPr>
        <w:spacing w:after="60"/>
        <w:ind w:left="360"/>
      </w:pPr>
      <w:r>
        <w:rPr>
          <w:rFonts w:ascii="Nunito Sans" w:hAnsi="Nunito Sans"/>
          <w:sz w:val="22"/>
          <w:szCs w:val="22"/>
        </w:rPr>
        <w:t xml:space="preserve">•  </w:t>
      </w:r>
      <w:r>
        <w:rPr>
          <w:rFonts w:ascii="Nunito Sans" w:hAnsi="Nunito Sans"/>
          <w:b/>
          <w:sz w:val="22"/>
          <w:szCs w:val="22"/>
        </w:rPr>
        <w:t xml:space="preserve">Fogging control:</w:t>
      </w:r>
      <w:r>
        <w:rPr>
          <w:rFonts w:ascii="Nunito Sans" w:hAnsi="Nunito Sans"/>
          <w:sz w:val="22"/>
          <w:szCs w:val="22"/>
        </w:rPr>
        <w:t xml:space="preserve"> after objective capture a fog prompt offers </w:t>
      </w:r>
      <w:r>
        <w:rPr>
          <w:rFonts w:ascii="Nunito Sans" w:hAnsi="Nunito Sans"/>
          <w:b/>
          <w:sz w:val="22"/>
          <w:szCs w:val="22"/>
        </w:rPr>
        <w:t xml:space="preserve">+0.75 D</w:t>
      </w:r>
      <w:r>
        <w:rPr>
          <w:rFonts w:ascii="Nunito Sans" w:hAnsi="Nunito Sans"/>
          <w:sz w:val="22"/>
          <w:szCs w:val="22"/>
        </w:rPr>
        <w:t xml:space="preserve"> with a clinical explanation (relaxes accommodation, prevents over-minusing). Skippable; starting MPMVA sphere = objective sphere + fog.</w:t>
      </w:r>
    </w:p>
    <w:p>
      <w:pPr>
        <w:spacing w:after="60"/>
        <w:ind w:left="360"/>
      </w:pPr>
      <w:r>
        <w:rPr>
          <w:rFonts w:ascii="Nunito Sans" w:hAnsi="Nunito Sans"/>
          <w:sz w:val="22"/>
          <w:szCs w:val="22"/>
        </w:rPr>
        <w:t xml:space="preserve">•  </w:t>
      </w:r>
      <w:r>
        <w:rPr>
          <w:rFonts w:ascii="Nunito Sans" w:hAnsi="Nunito Sans"/>
          <w:b/>
          <w:sz w:val="22"/>
          <w:szCs w:val="22"/>
        </w:rPr>
        <w:t xml:space="preserve">Sphere compensation note</w:t>
      </w:r>
      <w:r>
        <w:rPr>
          <w:rFonts w:ascii="Nunito Sans" w:hAnsi="Nunito Sans"/>
          <w:sz w:val="22"/>
          <w:szCs w:val="22"/>
        </w:rPr>
        <w:t xml:space="preserve"> during cylinder power: "For each −0.50 D CYL added, add +0.25 D SPH to maintain the circle of least confusion."</w:t>
      </w:r>
    </w:p>
    <w:p>
      <w:pPr>
        <w:spacing w:after="60"/>
        <w:ind w:left="360"/>
      </w:pPr>
      <w:r>
        <w:rPr>
          <w:rFonts w:ascii="Nunito Sans" w:hAnsi="Nunito Sans"/>
          <w:sz w:val="22"/>
          <w:szCs w:val="22"/>
        </w:rPr>
        <w:t xml:space="preserve">•  </w:t>
      </w:r>
      <w:r>
        <w:rPr>
          <w:rFonts w:ascii="Nunito Sans" w:hAnsi="Nunito Sans"/>
          <w:b/>
          <w:sz w:val="22"/>
          <w:szCs w:val="22"/>
        </w:rPr>
        <w:t xml:space="preserve">Rx format discipline:</w:t>
      </w:r>
      <w:r>
        <w:rPr>
          <w:rFonts w:ascii="Nunito Sans" w:hAnsi="Nunito Sans"/>
          <w:sz w:val="22"/>
          <w:szCs w:val="22"/>
        </w:rPr>
        <w:t xml:space="preserve"> SPH / CYL always signed + 2 dp; AXIS integer + °; ADD signed with D or "—". No exceptions.</w:t>
      </w:r>
    </w:p>
    <w:p>
      <w:pPr>
        <w:spacing w:after="60"/>
        <w:ind w:left="360"/>
      </w:pPr>
      <w:r>
        <w:rPr>
          <w:rFonts w:ascii="Nunito Sans" w:hAnsi="Nunito Sans"/>
          <w:sz w:val="22"/>
          <w:szCs w:val="22"/>
        </w:rPr>
        <w:t xml:space="preserve">•  </w:t>
      </w:r>
      <w:r>
        <w:rPr>
          <w:rFonts w:ascii="Nunito Sans" w:hAnsi="Nunito Sans"/>
          <w:b/>
          <w:sz w:val="22"/>
          <w:szCs w:val="22"/>
        </w:rPr>
        <w:t xml:space="preserve">Monocular discipline:</w:t>
      </w:r>
      <w:r>
        <w:rPr>
          <w:rFonts w:ascii="Nunito Sans" w:hAnsi="Nunito Sans"/>
          <w:sz w:val="22"/>
          <w:szCs w:val="22"/>
        </w:rPr>
        <w:t xml:space="preserve"> no OU averaging. The objective stage runs OD then OS automatically via breadcrumb + transition modal; the subjective stage refines per eye.</w:t>
      </w:r>
    </w:p>
    <w:p>
      <w:pPr>
        <w:spacing w:after="60"/>
        <w:ind w:left="360"/>
      </w:pPr>
      <w:r>
        <w:rPr>
          <w:rFonts w:ascii="Nunito Sans" w:hAnsi="Nunito Sans"/>
          <w:sz w:val="22"/>
          <w:szCs w:val="22"/>
        </w:rPr>
        <w:t xml:space="preserve">•  </w:t>
      </w:r>
      <w:r>
        <w:rPr>
          <w:rFonts w:ascii="Nunito Sans" w:hAnsi="Nunito Sans"/>
          <w:b/>
          <w:sz w:val="22"/>
          <w:szCs w:val="22"/>
        </w:rPr>
        <w:t xml:space="preserve">Optotype selector</w:t>
      </w:r>
      <w:r>
        <w:rPr>
          <w:rFonts w:ascii="Nunito Sans" w:hAnsi="Nunito Sans"/>
          <w:sz w:val="22"/>
          <w:szCs w:val="22"/>
        </w:rPr>
        <w:t xml:space="preserve"> (Letters / Tumbling E / Tumbling C) drawn as geometric SVG optotypes, shared with the standalone Visual Acuity test — for pediatric, non-literate, or non-Latin-script patients who report orientation rather than naming a glyph. Additive VA notation (e.g. 20/25 +4) surfaced as best VA so far.</w:t>
      </w:r>
    </w:p>
    <w:p>
      <w:pPr>
        <w:spacing w:after="60"/>
        <w:ind w:left="360"/>
      </w:pPr>
      <w:r>
        <w:rPr>
          <w:rFonts w:ascii="Nunito Sans" w:hAnsi="Nunito Sans"/>
          <w:sz w:val="22"/>
          <w:szCs w:val="22"/>
        </w:rPr>
        <w:t xml:space="preserve">•  </w:t>
      </w:r>
      <w:r>
        <w:rPr>
          <w:rFonts w:ascii="Nunito Sans" w:hAnsi="Nunito Sans"/>
          <w:b/>
          <w:sz w:val="22"/>
          <w:szCs w:val="22"/>
        </w:rPr>
        <w:t xml:space="preserve">Report:</w:t>
      </w:r>
      <w:r>
        <w:rPr>
          <w:rFonts w:ascii="Nunito Sans" w:hAnsi="Nunito Sans"/>
          <w:sz w:val="22"/>
          <w:szCs w:val="22"/>
        </w:rPr>
        <w:t xml:space="preserve"> Final Prescription hero (signed Rx + ADD + BCVA per eye); Objective Results and Subjective Correction two-box (delta from objective → final); wavefront analysis (view rail, 3 mm / 5 mm ring overlay toggle, zoom-scope, color-scale legend); data-only Clinical Summary; </w:t>
      </w:r>
      <w:r>
        <w:rPr>
          <w:rFonts w:ascii="Nunito Sans" w:hAnsi="Nunito Sans"/>
          <w:b/>
          <w:sz w:val="22"/>
          <w:szCs w:val="22"/>
        </w:rPr>
        <w:t xml:space="preserve">Doctor sign-off</w:t>
      </w:r>
      <w:r>
        <w:rPr>
          <w:rFonts w:ascii="Nunito Sans" w:hAnsi="Nunito Sans"/>
          <w:sz w:val="22"/>
          <w:szCs w:val="22"/>
        </w:rPr>
        <w:t xml:space="preserve"> above Certify &amp; close.</w:t>
      </w:r>
    </w:p>
    <w:p>
      <w:pPr>
        <w:spacing w:after="60"/>
        <w:ind w:left="360"/>
      </w:pPr>
      <w:r>
        <w:rPr>
          <w:rFonts w:ascii="Nunito Sans" w:hAnsi="Nunito Sans"/>
          <w:sz w:val="22"/>
          <w:szCs w:val="22"/>
        </w:rPr>
        <w:t xml:space="preserve">•  </w:t>
      </w:r>
      <w:r>
        <w:rPr>
          <w:rFonts w:ascii="Nunito Sans" w:hAnsi="Nunito Sans"/>
          <w:b/>
          <w:sz w:val="22"/>
          <w:szCs w:val="22"/>
        </w:rPr>
        <w:t xml:space="preserve">Certify &amp; close is a system event:</w:t>
      </w:r>
      <w:r>
        <w:rPr>
          <w:rFonts w:ascii="Nunito Sans" w:hAnsi="Nunito Sans"/>
          <w:sz w:val="22"/>
          <w:szCs w:val="22"/>
        </w:rPr>
        <w:t xml:space="preserve"> it certifies and releases the verified Rx to the downstream xoFit fitting/finishing job object. Report sub-label: "Doctor sign-off · releases Rx to job object."</w:t>
      </w:r>
    </w:p>
    <w:p>
      <w:pPr>
        <w:spacing w:before="240" w:after="80"/>
      </w:pPr>
      <w:r>
        <w:rPr>
          <w:rFonts w:ascii="Nunito Sans" w:hAnsi="Nunito Sans"/>
          <w:b/>
          <w:sz w:val="24"/>
          <w:szCs w:val="24"/>
        </w:rPr>
        <w:t xml:space="preserve">Open clinical questions (flagged for engineering)</w:t>
      </w:r>
    </w:p>
    <w:p>
      <w:pPr>
        <w:spacing w:after="60"/>
        <w:ind w:left="360"/>
      </w:pPr>
      <w:r>
        <w:rPr>
          <w:rFonts w:ascii="Nunito Sans" w:hAnsi="Nunito Sans"/>
          <w:sz w:val="22"/>
          <w:szCs w:val="22"/>
        </w:rPr>
        <w:t xml:space="preserve">•  </w:t>
      </w:r>
      <w:r>
        <w:rPr>
          <w:rFonts w:ascii="Nunito Sans" w:hAnsi="Nunito Sans"/>
          <w:b/>
          <w:sz w:val="22"/>
          <w:szCs w:val="22"/>
        </w:rPr>
        <w:t xml:space="preserve">Pass/fail acuity threshold</w:t>
      </w:r>
      <w:r>
        <w:rPr>
          <w:rFonts w:ascii="Nunito Sans" w:hAnsi="Nunito Sans"/>
          <w:sz w:val="22"/>
          <w:szCs w:val="22"/>
        </w:rPr>
        <w:t xml:space="preserve"> for the subjective stage currently "more than half correct" — to be validated against a published standard before lock.</w:t>
      </w:r>
    </w:p>
    <w:p>
      <w:pPr>
        <w:spacing w:after="60"/>
        <w:ind w:left="360"/>
      </w:pPr>
      <w:r>
        <w:rPr>
          <w:rFonts w:ascii="Nunito Sans" w:hAnsi="Nunito Sans"/>
          <w:sz w:val="22"/>
          <w:szCs w:val="22"/>
        </w:rPr>
        <w:t xml:space="preserve">•  </w:t>
      </w:r>
      <w:r>
        <w:rPr>
          <w:rFonts w:ascii="Nunito Sans" w:hAnsi="Nunito Sans"/>
          <w:b/>
          <w:sz w:val="22"/>
          <w:szCs w:val="22"/>
        </w:rPr>
        <w:t xml:space="preserve">Certify → Rx-release wiring:</w:t>
      </w:r>
      <w:r>
        <w:rPr>
          <w:rFonts w:ascii="Nunito Sans" w:hAnsi="Nunito Sans"/>
          <w:sz w:val="22"/>
          <w:szCs w:val="22"/>
        </w:rPr>
        <w:t xml:space="preserve"> the certification event must be implemented as the trigger that releases the Rx downstream (system event, not a UI-only action); couples to the role/permissions model.</w:t>
      </w:r>
    </w:p>
    <w:p>
      <w:pPr>
        <w:spacing w:after="60"/>
        <w:ind w:left="360"/>
      </w:pPr>
      <w:r>
        <w:rPr>
          <w:rFonts w:ascii="Nunito Sans" w:hAnsi="Nunito Sans"/>
          <w:sz w:val="22"/>
          <w:szCs w:val="22"/>
        </w:rPr>
        <w:t xml:space="preserve">•  </w:t>
      </w:r>
      <w:r>
        <w:rPr>
          <w:rFonts w:ascii="Nunito Sans" w:hAnsi="Nunito Sans"/>
          <w:b/>
          <w:sz w:val="22"/>
          <w:szCs w:val="22"/>
        </w:rPr>
        <w:t xml:space="preserve">Patient-facing headset view</w:t>
      </w:r>
      <w:r>
        <w:rPr>
          <w:rFonts w:ascii="Nunito Sans" w:hAnsi="Nunito Sans"/>
          <w:sz w:val="22"/>
          <w:szCs w:val="22"/>
        </w:rPr>
        <w:t xml:space="preserve"> for an objective self-administered mode is out of scope here (this is the tablet / technician-doctor view only) — separate scope to define.</w:t>
      </w:r>
    </w:p>
    <w:p>
      <w:pPr>
        <w:spacing w:after="60"/>
        <w:ind w:left="360"/>
      </w:pPr>
      <w:r>
        <w:rPr>
          <w:rFonts w:ascii="Nunito Sans" w:hAnsi="Nunito Sans"/>
          <w:sz w:val="22"/>
          <w:szCs w:val="22"/>
        </w:rPr>
        <w:t xml:space="preserve">•  </w:t>
      </w:r>
      <w:r>
        <w:rPr>
          <w:rFonts w:ascii="Nunito Sans" w:hAnsi="Nunito Sans"/>
          <w:b/>
          <w:sz w:val="22"/>
          <w:szCs w:val="22"/>
        </w:rPr>
        <w:t xml:space="preserve">Liquid-lens / eye-tracking capability</w:t>
      </w:r>
      <w:r>
        <w:rPr>
          <w:rFonts w:ascii="Nunito Sans" w:hAnsi="Nunito Sans"/>
          <w:sz w:val="22"/>
          <w:szCs w:val="22"/>
        </w:rPr>
        <w:t xml:space="preserve"> confirmation for the objective readiness panel values and green-lock timing.</w:t>
      </w:r>
    </w:p>
    <w:p>
      <w:pPr>
        <w:spacing w:after="0"/>
      </w:pPr>
    </w:p>
    <w:p>
      <w:pPr>
        <w:spacing w:before="240" w:after="80"/>
      </w:pPr>
      <w:r>
        <w:rPr>
          <w:rFonts w:ascii="Nunito Sans" w:hAnsi="Nunito Sans"/>
          <w:b/>
          <w:sz w:val="28"/>
          <w:szCs w:val="28"/>
        </w:rPr>
        <w:t xml:space="preserve">Cross-cutting clinical conventions</w:t>
      </w:r>
    </w:p>
    <w:p>
      <w:pPr>
        <w:spacing w:after="120"/>
      </w:pPr>
      <w:r>
        <w:rPr>
          <w:rFonts w:ascii="Nunito Sans" w:hAnsi="Nunito Sans"/>
          <w:sz w:val="22"/>
          <w:szCs w:val="22"/>
        </w:rPr>
        <w:t xml:space="preserve">These apply consistently across every clinically-faithful test in xoExam.</w:t>
      </w:r>
    </w:p>
    <w:p>
      <w:pPr>
        <w:spacing w:before="240" w:after="80"/>
      </w:pPr>
      <w:r>
        <w:rPr>
          <w:rFonts w:ascii="Nunito Sans" w:hAnsi="Nunito Sans"/>
          <w:b/>
          <w:sz w:val="24"/>
          <w:szCs w:val="24"/>
        </w:rPr>
        <w:t xml:space="preserve">Eye-reference convention</w:t>
      </w:r>
    </w:p>
    <w:p>
      <w:pPr>
        <w:spacing w:after="120"/>
      </w:pPr>
      <w:r>
        <w:rPr>
          <w:rFonts w:ascii="Nunito Sans" w:hAnsi="Nunito Sans"/>
          <w:b/>
          <w:sz w:val="22"/>
          <w:szCs w:val="22"/>
        </w:rPr>
        <w:t xml:space="preserve">OD</w:t>
      </w:r>
      <w:r>
        <w:rPr>
          <w:rFonts w:ascii="Nunito Sans" w:hAnsi="Nunito Sans"/>
          <w:sz w:val="22"/>
          <w:szCs w:val="22"/>
        </w:rPr>
        <w:t xml:space="preserve"> (oculus dexter, right eye) before </w:t>
      </w:r>
      <w:r>
        <w:rPr>
          <w:rFonts w:ascii="Nunito Sans" w:hAnsi="Nunito Sans"/>
          <w:b/>
          <w:sz w:val="22"/>
          <w:szCs w:val="22"/>
        </w:rPr>
        <w:t xml:space="preserve">OS</w:t>
      </w:r>
      <w:r>
        <w:rPr>
          <w:rFonts w:ascii="Nunito Sans" w:hAnsi="Nunito Sans"/>
          <w:sz w:val="22"/>
          <w:szCs w:val="22"/>
        </w:rPr>
        <w:t xml:space="preserve"> (oculus sinister, left eye). Matches universal medical convention used in patient charts, refraction records, Rx forms. The legacy prototype defaulted to OS-first in several tests; corrected to OD-first across the board.</w:t>
      </w:r>
    </w:p>
    <w:p>
      <w:pPr>
        <w:spacing w:before="240" w:after="80"/>
      </w:pPr>
      <w:r>
        <w:rPr>
          <w:rFonts w:ascii="Nunito Sans" w:hAnsi="Nunito Sans"/>
          <w:b/>
          <w:sz w:val="24"/>
          <w:szCs w:val="24"/>
        </w:rPr>
        <w:t xml:space="preserve">Doctor sign-off</w:t>
      </w:r>
    </w:p>
    <w:p>
      <w:pPr>
        <w:spacing w:after="120"/>
      </w:pPr>
      <w:r>
        <w:rPr>
          <w:rFonts w:ascii="Nunito Sans" w:hAnsi="Nunito Sans"/>
          <w:sz w:val="22"/>
          <w:szCs w:val="22"/>
        </w:rPr>
        <w:t xml:space="preserve">Every clinical-fidelity test's report screen surfaces a small "Doctor sign-off" label above the primary "Certify &amp; close" button. Terminology aligned with EHR standards used by Epic, Cerner, NextGen. "Doctor" correctly includes both MDs (ophthalmologists) and ODs (optometrists) as authorized xoExam users. The label is currently a visual cue; role-based gating activates in the post-beta Roles &amp; Remote Operation design pass.</w:t>
      </w:r>
    </w:p>
    <w:p>
      <w:pPr>
        <w:spacing w:before="240" w:after="80"/>
      </w:pPr>
      <w:r>
        <w:rPr>
          <w:rFonts w:ascii="Nunito Sans" w:hAnsi="Nunito Sans"/>
          <w:b/>
          <w:sz w:val="24"/>
          <w:szCs w:val="24"/>
        </w:rPr>
        <w:t xml:space="preserve">Test cancellation</w:t>
      </w:r>
    </w:p>
    <w:p>
      <w:pPr>
        <w:spacing w:after="120"/>
      </w:pPr>
      <w:r>
        <w:rPr>
          <w:rFonts w:ascii="Nunito Sans" w:hAnsi="Nunito Sans"/>
          <w:sz w:val="22"/>
          <w:szCs w:val="22"/>
        </w:rPr>
        <w:t xml:space="preserve">Cancellation during a test requires explicit confirmation: a labeled red "Cancel test" button (not a back arrow) opens a modal warning that all session progress will be lost. The principle: back arrows mean "navigate safely"; destructive actions get explicit labeled buttons.</w:t>
      </w:r>
    </w:p>
    <w:p>
      <w:pPr>
        <w:spacing w:before="240" w:after="80"/>
      </w:pPr>
      <w:r>
        <w:rPr>
          <w:rFonts w:ascii="Nunito Sans" w:hAnsi="Nunito Sans"/>
          <w:b/>
          <w:sz w:val="24"/>
          <w:szCs w:val="24"/>
        </w:rPr>
        <w:t xml:space="preserve">Test naming</w:t>
      </w:r>
    </w:p>
    <w:p>
      <w:pPr>
        <w:spacing w:after="120"/>
      </w:pPr>
      <w:r>
        <w:rPr>
          <w:rFonts w:ascii="Nunito Sans" w:hAnsi="Nunito Sans"/>
          <w:sz w:val="22"/>
          <w:szCs w:val="22"/>
        </w:rPr>
        <w:t xml:space="preserve">UI labels use bare nouns ("Visual Field," "Extraocular Motility," "Wavefront Aberrometry") rather than appending "Test" or "Exam." The surrounding chrome ("Tests" sidebar, "Run new test" button, exam history) establishes context; the suffix would be redundant. Formal report headers retain "Report" or "Examination" for documentation gravity.</w:t>
      </w:r>
    </w:p>
    <w:p>
      <w:pPr>
        <w:spacing w:before="240" w:after="80"/>
      </w:pPr>
      <w:r>
        <w:rPr>
          <w:rFonts w:ascii="Nunito Sans" w:hAnsi="Nunito Sans"/>
          <w:b/>
          <w:sz w:val="24"/>
          <w:szCs w:val="24"/>
        </w:rPr>
        <w:t xml:space="preserve">Reliability and severity color coding</w:t>
      </w:r>
    </w:p>
    <w:p>
      <w:pPr>
        <w:spacing w:after="120"/>
      </w:pPr>
      <w:r>
        <w:rPr>
          <w:rFonts w:ascii="Nunito Sans" w:hAnsi="Nunito Sans"/>
          <w:sz w:val="22"/>
          <w:szCs w:val="22"/>
        </w:rPr>
        <w:t xml:space="preserve">RAG palette (Red / Amber / Green) is reserved for clinical alerts, severity bands, and status indicators only. General UI styling does not use RAG. Severity in EOM grading and in the various Clinical Interpretation cards follows this convention.</w:t>
      </w:r>
    </w:p>
    <w:p>
      <w:pPr>
        <w:spacing w:before="240" w:after="80"/>
      </w:pPr>
      <w:r>
        <w:rPr>
          <w:rFonts w:ascii="Nunito Sans" w:hAnsi="Nunito Sans"/>
          <w:b/>
          <w:sz w:val="24"/>
          <w:szCs w:val="24"/>
        </w:rPr>
        <w:t xml:space="preserve">Session notes</w:t>
      </w:r>
    </w:p>
    <w:p>
      <w:pPr>
        <w:spacing w:after="120"/>
      </w:pPr>
      <w:r>
        <w:rPr>
          <w:rFonts w:ascii="Nunito Sans" w:hAnsi="Nunito Sans"/>
          <w:sz w:val="22"/>
          <w:szCs w:val="22"/>
        </w:rPr>
        <w:t xml:space="preserve">Every clinical-fidelity test includes a Session notes textarea (sidebar during testing, dedicated card in the report). Intended for the clinician's free-text observations alongside the structured data.</w:t>
      </w:r>
    </w:p>
    <w:p>
      <w:pPr>
        <w:spacing w:before="240" w:after="80"/>
      </w:pPr>
      <w:r>
        <w:rPr>
          <w:rFonts w:ascii="Nunito Sans" w:hAnsi="Nunito Sans"/>
          <w:b/>
          <w:sz w:val="24"/>
          <w:szCs w:val="24"/>
        </w:rPr>
        <w:t xml:space="preserve">Patient identity</w:t>
      </w:r>
    </w:p>
    <w:p>
      <w:pPr>
        <w:spacing w:after="120"/>
      </w:pPr>
      <w:r>
        <w:rPr>
          <w:rFonts w:ascii="Nunito Sans" w:hAnsi="Nunito Sans"/>
          <w:sz w:val="22"/>
          <w:szCs w:val="22"/>
        </w:rPr>
        <w:t xml:space="preserve">A patient identity confirmation step (between test selection and Begin test) is not yet implemented. Flagged as a regulatory decision pending with engineering. The current prototype assumes the technician has already confirmed the correct patient is in the headset.</w:t>
      </w:r>
    </w:p>
    <w:p>
      <w:pPr>
        <w:spacing w:after="0"/>
      </w:pPr>
    </w:p>
    <w:p>
      <w:pPr>
        <w:spacing w:before="240" w:after="80"/>
      </w:pPr>
      <w:r>
        <w:rPr>
          <w:rFonts w:ascii="Nunito Sans" w:hAnsi="Nunito Sans"/>
          <w:b/>
          <w:sz w:val="28"/>
          <w:szCs w:val="28"/>
        </w:rPr>
        <w:t xml:space="preserve">Visual-placeholder tests (clinical layer pending)</w:t>
      </w:r>
    </w:p>
    <w:p>
      <w:pPr>
        <w:spacing w:after="120"/>
      </w:pPr>
      <w:r>
        <w:rPr>
          <w:rFonts w:ascii="Nunito Sans" w:hAnsi="Nunito Sans"/>
          <w:sz w:val="22"/>
          <w:szCs w:val="22"/>
        </w:rPr>
        <w:t xml:space="preserve">The following tests are clickable, walk through their basic UI, and integrate with the test catalog and patient profile — but their clinical scoring, scales, and interpretation have </w:t>
      </w:r>
      <w:r>
        <w:rPr>
          <w:rFonts w:ascii="Nunito Sans" w:hAnsi="Nunito Sans"/>
          <w:b/>
          <w:sz w:val="22"/>
          <w:szCs w:val="22"/>
        </w:rPr>
        <w:t xml:space="preserve">not</w:t>
      </w:r>
      <w:r>
        <w:rPr>
          <w:rFonts w:ascii="Nunito Sans" w:hAnsi="Nunito Sans"/>
          <w:sz w:val="22"/>
          <w:szCs w:val="22"/>
        </w:rPr>
        <w:t xml:space="preserve"> yet been reviewed or rebuilt against published clinical standards. Treat their on-screen data as illustrative only.</w:t>
      </w:r>
    </w:p>
    <w:p>
      <w:pPr>
        <w:spacing w:after="60"/>
        <w:ind w:left="360"/>
      </w:pPr>
      <w:r>
        <w:rPr>
          <w:rFonts w:ascii="Nunito Sans" w:hAnsi="Nunito Sans"/>
          <w:sz w:val="22"/>
          <w:szCs w:val="22"/>
        </w:rPr>
        <w:t xml:space="preserve">•  </w:t>
      </w:r>
      <w:r>
        <w:rPr>
          <w:rFonts w:ascii="Nunito Sans" w:hAnsi="Nunito Sans"/>
          <w:sz w:val="22"/>
          <w:szCs w:val="22"/>
        </w:rPr>
        <w:t xml:space="preserve">Refraction </w:t>
      </w:r>
      <w:r>
        <w:rPr>
          <w:rFonts w:ascii="Nunito Sans" w:hAnsi="Nunito Sans"/>
          <w:i/>
          <w:sz w:val="22"/>
          <w:szCs w:val="22"/>
        </w:rPr>
        <w:t xml:space="preserve">(hidden from the catalog and patient launcher in v0.3.0 at CD direction — the combined Wavefront Refraction supersedes it; code retained and restorable)</w:t>
      </w:r>
    </w:p>
    <w:p>
      <w:pPr>
        <w:spacing w:after="60"/>
        <w:ind w:left="360"/>
      </w:pPr>
      <w:r>
        <w:rPr>
          <w:rFonts w:ascii="Nunito Sans" w:hAnsi="Nunito Sans"/>
          <w:sz w:val="22"/>
          <w:szCs w:val="22"/>
        </w:rPr>
        <w:t xml:space="preserve">•  </w:t>
      </w:r>
      <w:r>
        <w:rPr>
          <w:rFonts w:ascii="Nunito Sans" w:hAnsi="Nunito Sans"/>
          <w:sz w:val="22"/>
          <w:szCs w:val="22"/>
        </w:rPr>
        <w:t xml:space="preserve">Accommodation</w:t>
      </w:r>
    </w:p>
    <w:p>
      <w:pPr>
        <w:spacing w:after="60"/>
        <w:ind w:left="360"/>
      </w:pPr>
      <w:r>
        <w:rPr>
          <w:rFonts w:ascii="Nunito Sans" w:hAnsi="Nunito Sans"/>
          <w:sz w:val="22"/>
          <w:szCs w:val="22"/>
        </w:rPr>
        <w:t xml:space="preserve">•  </w:t>
      </w:r>
      <w:r>
        <w:rPr>
          <w:rFonts w:ascii="Nunito Sans" w:hAnsi="Nunito Sans"/>
          <w:sz w:val="22"/>
          <w:szCs w:val="22"/>
        </w:rPr>
        <w:t xml:space="preserve">Keratometry</w:t>
      </w:r>
    </w:p>
    <w:p>
      <w:pPr>
        <w:spacing w:after="60"/>
        <w:ind w:left="360"/>
      </w:pPr>
      <w:r>
        <w:rPr>
          <w:rFonts w:ascii="Nunito Sans" w:hAnsi="Nunito Sans"/>
          <w:sz w:val="22"/>
          <w:szCs w:val="22"/>
        </w:rPr>
        <w:t xml:space="preserve">•  </w:t>
      </w:r>
      <w:r>
        <w:rPr>
          <w:rFonts w:ascii="Nunito Sans" w:hAnsi="Nunito Sans"/>
          <w:sz w:val="22"/>
          <w:szCs w:val="22"/>
        </w:rPr>
        <w:t xml:space="preserve">Confrontation</w:t>
      </w:r>
    </w:p>
    <w:p>
      <w:pPr>
        <w:spacing w:after="60"/>
        <w:ind w:left="360"/>
      </w:pPr>
      <w:r>
        <w:rPr>
          <w:rFonts w:ascii="Nunito Sans" w:hAnsi="Nunito Sans"/>
          <w:sz w:val="22"/>
          <w:szCs w:val="22"/>
        </w:rPr>
        <w:t xml:space="preserve">•  </w:t>
      </w:r>
      <w:r>
        <w:rPr>
          <w:rFonts w:ascii="Nunito Sans" w:hAnsi="Nunito Sans"/>
          <w:sz w:val="22"/>
          <w:szCs w:val="22"/>
        </w:rPr>
        <w:t xml:space="preserve">Esterman Binocular (routes to Visual Field with Esterman protocol pre-selected — clinical fidelity inherited from VF v0.1.8)</w:t>
      </w:r>
    </w:p>
    <w:p>
      <w:pPr>
        <w:spacing w:after="60"/>
        <w:ind w:left="360"/>
      </w:pPr>
      <w:r>
        <w:rPr>
          <w:rFonts w:ascii="Nunito Sans" w:hAnsi="Nunito Sans"/>
          <w:sz w:val="22"/>
          <w:szCs w:val="22"/>
        </w:rPr>
        <w:t xml:space="preserve">•  </w:t>
      </w:r>
      <w:r>
        <w:rPr>
          <w:rFonts w:ascii="Nunito Sans" w:hAnsi="Nunito Sans"/>
          <w:sz w:val="22"/>
          <w:szCs w:val="22"/>
        </w:rPr>
        <w:t xml:space="preserve">Binocular Vision</w:t>
      </w:r>
    </w:p>
    <w:p>
      <w:pPr>
        <w:spacing w:after="60"/>
        <w:ind w:left="360"/>
      </w:pPr>
      <w:r>
        <w:rPr>
          <w:rFonts w:ascii="Nunito Sans" w:hAnsi="Nunito Sans"/>
          <w:sz w:val="22"/>
          <w:szCs w:val="22"/>
        </w:rPr>
        <w:t xml:space="preserve">•  </w:t>
      </w:r>
      <w:r>
        <w:rPr>
          <w:rFonts w:ascii="Nunito Sans" w:hAnsi="Nunito Sans"/>
          <w:sz w:val="22"/>
          <w:szCs w:val="22"/>
        </w:rPr>
        <w:t xml:space="preserve">Convergence</w:t>
      </w:r>
    </w:p>
    <w:p>
      <w:pPr>
        <w:spacing w:after="60"/>
        <w:ind w:left="360"/>
      </w:pPr>
      <w:r>
        <w:rPr>
          <w:rFonts w:ascii="Nunito Sans" w:hAnsi="Nunito Sans"/>
          <w:sz w:val="22"/>
          <w:szCs w:val="22"/>
        </w:rPr>
        <w:t xml:space="preserve">•  </w:t>
      </w:r>
      <w:r>
        <w:rPr>
          <w:rFonts w:ascii="Nunito Sans" w:hAnsi="Nunito Sans"/>
          <w:sz w:val="22"/>
          <w:szCs w:val="22"/>
        </w:rPr>
        <w:t xml:space="preserve">Contrast Sensitivity (Pelli-Robson visual fidelity only; clinical scoring not yet implemented)</w:t>
      </w:r>
    </w:p>
    <w:p>
      <w:pPr>
        <w:spacing w:after="60"/>
        <w:ind w:left="360"/>
      </w:pPr>
      <w:r>
        <w:rPr>
          <w:rFonts w:ascii="Nunito Sans" w:hAnsi="Nunito Sans"/>
          <w:sz w:val="22"/>
          <w:szCs w:val="22"/>
        </w:rPr>
        <w:t xml:space="preserve">•  </w:t>
      </w:r>
      <w:r>
        <w:rPr>
          <w:rFonts w:ascii="Nunito Sans" w:hAnsi="Nunito Sans"/>
          <w:sz w:val="22"/>
          <w:szCs w:val="22"/>
        </w:rPr>
        <w:t xml:space="preserve">Visual Reaction Time</w:t>
      </w:r>
    </w:p>
    <w:p>
      <w:pPr>
        <w:spacing w:after="60"/>
        <w:ind w:left="360"/>
      </w:pPr>
      <w:r>
        <w:rPr>
          <w:rFonts w:ascii="Nunito Sans" w:hAnsi="Nunito Sans"/>
          <w:sz w:val="22"/>
          <w:szCs w:val="22"/>
        </w:rPr>
        <w:t xml:space="preserve">•  </w:t>
      </w:r>
      <w:r>
        <w:rPr>
          <w:rFonts w:ascii="Nunito Sans" w:hAnsi="Nunito Sans"/>
          <w:sz w:val="22"/>
          <w:szCs w:val="22"/>
        </w:rPr>
        <w:t xml:space="preserve">Eye Tracking Accuracy</w:t>
      </w:r>
    </w:p>
    <w:p>
      <w:pPr>
        <w:spacing w:after="60"/>
        <w:ind w:left="360"/>
      </w:pPr>
      <w:r>
        <w:rPr>
          <w:rFonts w:ascii="Nunito Sans" w:hAnsi="Nunito Sans"/>
          <w:sz w:val="22"/>
          <w:szCs w:val="22"/>
        </w:rPr>
        <w:t xml:space="preserve">•  </w:t>
      </w:r>
      <w:r>
        <w:rPr>
          <w:rFonts w:ascii="Nunito Sans" w:hAnsi="Nunito Sans"/>
          <w:sz w:val="22"/>
          <w:szCs w:val="22"/>
        </w:rPr>
        <w:t xml:space="preserve">Fixation Stability</w:t>
      </w:r>
    </w:p>
    <w:p>
      <w:pPr>
        <w:spacing w:after="60"/>
        <w:ind w:left="360"/>
      </w:pPr>
      <w:r>
        <w:rPr>
          <w:rFonts w:ascii="Nunito Sans" w:hAnsi="Nunito Sans"/>
          <w:sz w:val="22"/>
          <w:szCs w:val="22"/>
        </w:rPr>
        <w:t xml:space="preserve">•  </w:t>
      </w:r>
      <w:r>
        <w:rPr>
          <w:rFonts w:ascii="Nunito Sans" w:hAnsi="Nunito Sans"/>
          <w:sz w:val="22"/>
          <w:szCs w:val="22"/>
        </w:rPr>
        <w:t xml:space="preserve">Tear Film</w:t>
      </w:r>
    </w:p>
    <w:p>
      <w:pPr>
        <w:spacing w:after="60"/>
        <w:ind w:left="360"/>
      </w:pPr>
      <w:r>
        <w:rPr>
          <w:rFonts w:ascii="Nunito Sans" w:hAnsi="Nunito Sans"/>
          <w:sz w:val="22"/>
          <w:szCs w:val="22"/>
        </w:rPr>
        <w:t xml:space="preserve">•  </w:t>
      </w:r>
      <w:r>
        <w:rPr>
          <w:rFonts w:ascii="Nunito Sans" w:hAnsi="Nunito Sans"/>
          <w:sz w:val="22"/>
          <w:szCs w:val="22"/>
        </w:rPr>
        <w:t xml:space="preserve">AI Pattern Recognition</w:t>
      </w:r>
    </w:p>
    <w:p>
      <w:pPr>
        <w:spacing w:after="120"/>
      </w:pPr>
      <w:r>
        <w:rPr>
          <w:rFonts w:ascii="Nunito Sans" w:hAnsi="Nunito Sans"/>
          <w:sz w:val="22"/>
          <w:szCs w:val="22"/>
        </w:rPr>
        <w:t xml:space="preserve">These will be brought to clinical fidelity in priority order. The clinical evaluation team's input on which of the remaining tests to prioritize next is welcomed.</w:t>
      </w:r>
    </w:p>
    <w:p>
      <w:pPr>
        <w:spacing w:after="0"/>
      </w:pPr>
    </w:p>
    <w:p>
      <w:pPr>
        <w:spacing w:before="240" w:after="80"/>
      </w:pPr>
      <w:r>
        <w:rPr>
          <w:rFonts w:ascii="Nunito Sans" w:hAnsi="Nunito Sans"/>
          <w:b/>
          <w:sz w:val="28"/>
          <w:szCs w:val="28"/>
        </w:rPr>
        <w:t xml:space="preserve">What this document does not cover</w:t>
      </w:r>
    </w:p>
    <w:p>
      <w:pPr>
        <w:spacing w:after="60"/>
        <w:ind w:left="360"/>
      </w:pPr>
      <w:r>
        <w:rPr>
          <w:rFonts w:ascii="Nunito Sans" w:hAnsi="Nunito Sans"/>
          <w:sz w:val="22"/>
          <w:szCs w:val="22"/>
        </w:rPr>
        <w:t xml:space="preserve">•  </w:t>
      </w:r>
      <w:r>
        <w:rPr>
          <w:rFonts w:ascii="Nunito Sans" w:hAnsi="Nunito Sans"/>
          <w:b/>
          <w:sz w:val="22"/>
          <w:szCs w:val="22"/>
        </w:rPr>
        <w:t xml:space="preserve">Instrument calibration.</w:t>
      </w:r>
      <w:r>
        <w:rPr>
          <w:rFonts w:ascii="Nunito Sans" w:hAnsi="Nunito Sans"/>
          <w:sz w:val="22"/>
          <w:szCs w:val="22"/>
        </w:rPr>
        <w:t xml:space="preserve"> This document describes the design intent of the UI. Whether the production headset actually delivers calibrated stimulus presentation, accurate color reproduction, valid threshold measurements, etc., is an engineering and regulatory question outside Method's scope.</w:t>
      </w:r>
    </w:p>
    <w:p>
      <w:pPr>
        <w:spacing w:after="60"/>
        <w:ind w:left="360"/>
      </w:pPr>
      <w:r>
        <w:rPr>
          <w:rFonts w:ascii="Nunito Sans" w:hAnsi="Nunito Sans"/>
          <w:sz w:val="22"/>
          <w:szCs w:val="22"/>
        </w:rPr>
        <w:t xml:space="preserve">•  </w:t>
      </w:r>
      <w:r>
        <w:rPr>
          <w:rFonts w:ascii="Nunito Sans" w:hAnsi="Nunito Sans"/>
          <w:b/>
          <w:sz w:val="22"/>
          <w:szCs w:val="22"/>
        </w:rPr>
        <w:t xml:space="preserve">Regulatory clearance.</w:t>
      </w:r>
      <w:r>
        <w:rPr>
          <w:rFonts w:ascii="Nunito Sans" w:hAnsi="Nunito Sans"/>
          <w:sz w:val="22"/>
          <w:szCs w:val="22"/>
        </w:rPr>
        <w:t xml:space="preserve"> Method's UI/UX prototype is not a medical device and has not been cleared by FDA, MDR, or any other regulatory body.</w:t>
      </w:r>
    </w:p>
    <w:p>
      <w:pPr>
        <w:spacing w:after="60"/>
        <w:ind w:left="360"/>
      </w:pPr>
      <w:r>
        <w:rPr>
          <w:rFonts w:ascii="Nunito Sans" w:hAnsi="Nunito Sans"/>
          <w:sz w:val="22"/>
          <w:szCs w:val="22"/>
        </w:rPr>
        <w:t xml:space="preserve">•  </w:t>
      </w:r>
      <w:r>
        <w:rPr>
          <w:rFonts w:ascii="Nunito Sans" w:hAnsi="Nunito Sans"/>
          <w:b/>
          <w:sz w:val="22"/>
          <w:szCs w:val="22"/>
        </w:rPr>
        <w:t xml:space="preserve">Clinical validation.</w:t>
      </w:r>
      <w:r>
        <w:rPr>
          <w:rFonts w:ascii="Nunito Sans" w:hAnsi="Nunito Sans"/>
          <w:sz w:val="22"/>
          <w:szCs w:val="22"/>
        </w:rPr>
        <w:t xml:space="preserve"> This is a transparency document, not a clinical validation report.</w:t>
      </w:r>
    </w:p>
    <w:p>
      <w:pPr>
        <w:spacing w:after="60"/>
        <w:ind w:left="360"/>
      </w:pPr>
      <w:r>
        <w:rPr>
          <w:rFonts w:ascii="Nunito Sans" w:hAnsi="Nunito Sans"/>
          <w:sz w:val="22"/>
          <w:szCs w:val="22"/>
        </w:rPr>
        <w:t xml:space="preserve">•  </w:t>
      </w:r>
      <w:r>
        <w:rPr>
          <w:rFonts w:ascii="Nunito Sans" w:hAnsi="Nunito Sans"/>
          <w:b/>
          <w:sz w:val="22"/>
          <w:szCs w:val="22"/>
        </w:rPr>
        <w:t xml:space="preserve">Per-patient outcomes.</w:t>
      </w:r>
      <w:r>
        <w:rPr>
          <w:rFonts w:ascii="Nunito Sans" w:hAnsi="Nunito Sans"/>
          <w:sz w:val="22"/>
          <w:szCs w:val="22"/>
        </w:rPr>
        <w:t xml:space="preserve"> Every example value shown in the prototype is mock data. Real patient data will populate the same fields in production.</w:t>
      </w:r>
    </w:p>
    <w:p>
      <w:pPr>
        <w:spacing w:after="0"/>
      </w:pPr>
    </w:p>
    <w:p>
      <w:pPr>
        <w:spacing w:before="240" w:after="80"/>
      </w:pPr>
      <w:r>
        <w:rPr>
          <w:rFonts w:ascii="Nunito Sans" w:hAnsi="Nunito Sans"/>
          <w:b/>
          <w:sz w:val="28"/>
          <w:szCs w:val="28"/>
        </w:rPr>
        <w:t xml:space="preserve">Questions or corrections</w:t>
      </w:r>
    </w:p>
    <w:p>
      <w:pPr>
        <w:spacing w:after="120"/>
      </w:pPr>
      <w:r>
        <w:rPr>
          <w:rFonts w:ascii="Nunito Sans" w:hAnsi="Nunito Sans"/>
          <w:sz w:val="22"/>
          <w:szCs w:val="22"/>
        </w:rPr>
        <w:t xml:space="preserve">This document is updated at each clinical-fidelity milestone. If the clinical evaluation team identifies a deviation from current published standards, please flag it for the next revision. Contact Method Marketing Agency through the standard project channels.</w:t>
      </w:r>
    </w:p>
    <w:p>
      <w:pPr>
        <w:spacing w:after="120"/>
      </w:pPr>
      <w:r>
        <w:rPr>
          <w:rFonts w:ascii="Nunito Sans" w:hAnsi="Nunito Sans"/>
          <w:i/>
          <w:sz w:val="22"/>
          <w:szCs w:val="22"/>
        </w:rPr>
        <w:t xml:space="preserve">Method Marketing Agency · xoExam UI/UX Clinical Standards Reference · v0.3.0 · July 10, 2026</w:t>
      </w:r>
    </w:p>
    <w:sectPr>
      <w:pgSz w:w="12240" w:h="15840"/>
      <w:pgMar w:top="1440" w:right="1440" w:bottom="1440" w:left="1440" w:header="720" w:footer="720" w:gutter="0"/>
    </w:sectPr>
  </w:body>
</w:document>
</file>