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28"/>
          <w:szCs w:val="28"/>
        </w:rPr>
        <w:t xml:space="preserve">ОТЧЁТ О РАСЧЁТЕ ПРОДОЛЖИТЕЛЬНОСТИ ИНСОЛЯЦИИ</w:t>
      </w:r>
    </w:p>
    <w:p>
      <w:pPr>
        <w:spacing w:after="200"/>
        <w:jc w:val="center"/>
      </w:pPr>
      <w:r>
        <w:rPr>
          <w:i/>
          <w:iCs/>
          <w:color w:val="444444"/>
          <w:sz w:val="20"/>
          <w:szCs w:val="20"/>
        </w:rPr>
        <w:t xml:space="preserve">Земельный участок · расчёт непрерывной инсоляции контрольных точек территории</w:t>
      </w:r>
    </w:p>
    <w:p>
      <w:pPr>
        <w:pStyle w:val="Heading1"/>
        <w:spacing w:after="100" w:before="240"/>
      </w:pPr>
      <w:r>
        <w:rPr>
          <w:b/>
          <w:bCs/>
        </w:rPr>
        <w:t xml:space="preserve">1. Общие сведения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00"/>
      </w:tblGrid>
      <w:tr>
        <w:tc>
          <w:tcPr>
            <w:tcW w:type="dxa" w:w="3400"/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Объект (адрес)</w:t>
            </w:r>
          </w:p>
        </w:tc>
        <w:tc>
          <w:tcPr>
            <w:tcW w:type="dxa" w:w="56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Самарская обл. (образец)</w:t>
            </w:r>
          </w:p>
        </w:tc>
      </w:tr>
      <w:tr>
        <w:tc>
          <w:tcPr>
            <w:tcW w:type="dxa" w:w="3400"/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Кадастровый номер</w:t>
            </w:r>
          </w:p>
        </w:tc>
        <w:tc>
          <w:tcPr>
            <w:tcW w:type="dxa" w:w="56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400"/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Заказчик</w:t>
            </w:r>
          </w:p>
        </w:tc>
        <w:tc>
          <w:tcPr>
            <w:tcW w:type="dxa" w:w="56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Образец отчёта</w:t>
            </w:r>
          </w:p>
        </w:tc>
      </w:tr>
      <w:tr>
        <w:tc>
          <w:tcPr>
            <w:tcW w:type="dxa" w:w="3400"/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Исполнитель</w:t>
            </w:r>
          </w:p>
        </w:tc>
        <w:tc>
          <w:tcPr>
            <w:tcW w:type="dxa" w:w="56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Сервис моделирования инсоляции</w:t>
            </w:r>
          </w:p>
        </w:tc>
      </w:tr>
      <w:tr>
        <w:tc>
          <w:tcPr>
            <w:tcW w:type="dxa" w:w="3400"/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Дата составления</w:t>
            </w:r>
          </w:p>
        </w:tc>
        <w:tc>
          <w:tcPr>
            <w:tcW w:type="dxa" w:w="56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17.07.2026</w:t>
            </w:r>
          </w:p>
        </w:tc>
      </w:tr>
      <w:tr>
        <w:tc>
          <w:tcPr>
            <w:tcW w:type="dxa" w:w="3400"/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Нормативная база</w:t>
            </w:r>
          </w:p>
        </w:tc>
        <w:tc>
          <w:tcPr>
            <w:tcW w:type="dxa" w:w="56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СанПиН 1.2.3685-21 «Гигиенические нормативы…», требования к продолжительности инсоляции</w:t>
            </w:r>
          </w:p>
        </w:tc>
      </w:tr>
    </w:tbl>
    <w:p>
      <w:pPr>
        <w:pStyle w:val="Heading1"/>
        <w:spacing w:after="100" w:before="240"/>
      </w:pPr>
      <w:r>
        <w:rPr>
          <w:b/>
          <w:bCs/>
        </w:rPr>
        <w:t xml:space="preserve">2. Исходные данные и параметры расчёта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00"/>
      </w:tblGrid>
      <w:tr>
        <w:tc>
          <w:tcPr>
            <w:tcW w:type="dxa" w:w="3400"/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Координаты центра участка</w:t>
            </w:r>
          </w:p>
        </w:tc>
        <w:tc>
          <w:tcPr>
            <w:tcW w:type="dxa" w:w="56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Ш 53.58577°, Д 49.08863°</w:t>
            </w:r>
          </w:p>
        </w:tc>
      </w:tr>
      <w:tr>
        <w:tc>
          <w:tcPr>
            <w:tcW w:type="dxa" w:w="3400"/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Часовой пояс</w:t>
            </w:r>
          </w:p>
        </w:tc>
        <w:tc>
          <w:tcPr>
            <w:tcW w:type="dxa" w:w="56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UTC+4</w:t>
            </w:r>
          </w:p>
        </w:tc>
      </w:tr>
      <w:tr>
        <w:tc>
          <w:tcPr>
            <w:tcW w:type="dxa" w:w="3400"/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Площадь участка</w:t>
            </w:r>
          </w:p>
        </w:tc>
        <w:tc>
          <w:tcPr>
            <w:tcW w:type="dxa" w:w="56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991.7 м²</w:t>
            </w:r>
          </w:p>
        </w:tc>
      </w:tr>
      <w:tr>
        <w:tc>
          <w:tcPr>
            <w:tcW w:type="dxa" w:w="3400"/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Климатическая зона инсоляции</w:t>
            </w:r>
          </w:p>
        </w:tc>
        <w:tc>
          <w:tcPr>
            <w:tcW w:type="dxa" w:w="56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центральная (48°–58° с.ш.)</w:t>
            </w:r>
          </w:p>
        </w:tc>
      </w:tr>
      <w:tr>
        <w:tc>
          <w:tcPr>
            <w:tcW w:type="dxa" w:w="3400"/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Нормируемый период</w:t>
            </w:r>
          </w:p>
        </w:tc>
        <w:tc>
          <w:tcPr>
            <w:tcW w:type="dxa" w:w="56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22 марта – 22 сентября</w:t>
            </w:r>
          </w:p>
        </w:tc>
      </w:tr>
      <w:tr>
        <w:tc>
          <w:tcPr>
            <w:tcW w:type="dxa" w:w="3400"/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Требуемая непрерывная инсоляция</w:t>
            </w:r>
          </w:p>
        </w:tc>
        <w:tc>
          <w:tcPr>
            <w:tcW w:type="dxa" w:w="56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не менее 2 ч в сутки</w:t>
            </w:r>
          </w:p>
        </w:tc>
      </w:tr>
      <w:tr>
        <w:tc>
          <w:tcPr>
            <w:tcW w:type="dxa" w:w="3400"/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Расчётная дата (граница периода)</w:t>
            </w:r>
          </w:p>
        </w:tc>
        <w:tc>
          <w:tcPr>
            <w:tcW w:type="dxa" w:w="56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22 марта 2026</w:t>
            </w:r>
          </w:p>
        </w:tc>
      </w:tr>
      <w:tr>
        <w:tc>
          <w:tcPr>
            <w:tcW w:type="dxa" w:w="3400"/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Восход / заход / полдень</w:t>
            </w:r>
          </w:p>
        </w:tc>
        <w:tc>
          <w:tcPr>
            <w:tcW w:type="dxa" w:w="56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06:43 / 19:00 / 12:51</w:t>
            </w:r>
          </w:p>
        </w:tc>
      </w:tr>
      <w:tr>
        <w:tc>
          <w:tcPr>
            <w:tcW w:type="dxa" w:w="3400"/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Долгота дня</w:t>
            </w:r>
          </w:p>
        </w:tc>
        <w:tc>
          <w:tcPr>
            <w:tcW w:type="dxa" w:w="56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12.3 ч</w:t>
            </w:r>
          </w:p>
        </w:tc>
      </w:tr>
      <w:tr>
        <w:tc>
          <w:tcPr>
            <w:tcW w:type="dxa" w:w="3400"/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Высота солнца в полдень</w:t>
            </w:r>
          </w:p>
        </w:tc>
        <w:tc>
          <w:tcPr>
            <w:tcW w:type="dxa" w:w="56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36.9°</w:t>
            </w:r>
          </w:p>
        </w:tc>
      </w:tr>
      <w:tr>
        <w:tc>
          <w:tcPr>
            <w:tcW w:type="dxa" w:w="3400"/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Затеняющий объект (сценарий)</w:t>
            </w:r>
          </w:p>
        </w:tc>
        <w:tc>
          <w:tcPr>
            <w:tcW w:type="dxa" w:w="56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жилой дом 9×9 м, высота 6 м</w:t>
            </w:r>
          </w:p>
        </w:tc>
      </w:tr>
    </w:tbl>
    <w:p>
      <w:pPr>
        <w:pStyle w:val="Heading1"/>
        <w:spacing w:after="100" w:before="240"/>
      </w:pPr>
      <w:r>
        <w:rPr>
          <w:b/>
          <w:bCs/>
        </w:rPr>
        <w:t xml:space="preserve">3. Методика расчёта</w:t>
      </w:r>
    </w:p>
    <w:p>
      <w:pPr>
        <w:spacing w:after="100"/>
      </w:pPr>
      <w:r>
        <w:rPr>
          <w:sz w:val="22"/>
          <w:szCs w:val="22"/>
        </w:rPr>
        <w:t xml:space="preserve">Положение Солнца (азимут и высота) рассчитано по астрономическому алгоритму (Meeus/SunCalc) для координат участка на нормативную расчётную дату. Для каждой контрольной точки на высоте 1,5 м с шагом 5 минут от восхода до захода определяется наличие прямого солнечного луча с учётом затенения жилым домом (и иными объектами застройки при их наличии). Суммируется общая продолжительность и максимальная непрерывная продолжительность инсоляции; последняя сравнивается с нормируемым значением.</w:t>
      </w:r>
    </w:p>
    <w:p>
      <w:pPr>
        <w:pStyle w:val="Heading1"/>
        <w:spacing w:after="100" w:before="240"/>
      </w:pPr>
      <w:r>
        <w:rPr>
          <w:b/>
          <w:bCs/>
        </w:rPr>
        <w:t xml:space="preserve">4. Результаты по контрольным точкам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300"/>
        <w:gridCol w:w="1950"/>
        <w:gridCol w:w="2050"/>
        <w:gridCol w:w="2000"/>
      </w:tblGrid>
      <w:tr>
        <w:trPr>
          <w:tblHeader/>
        </w:trPr>
        <w:tc>
          <w:tcPr>
            <w:tcW w:type="dxa" w:w="700"/>
            <w:shd w:fill="E7EDE7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2300"/>
            <w:shd w:fill="E7EDE7" w:color="auto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Координаты E; N, м</w:t>
            </w:r>
          </w:p>
        </w:tc>
        <w:tc>
          <w:tcPr>
            <w:tcW w:type="dxa" w:w="1950"/>
            <w:shd w:fill="E7EDE7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Инсоляция всего, ч</w:t>
            </w:r>
          </w:p>
        </w:tc>
        <w:tc>
          <w:tcPr>
            <w:tcW w:type="dxa" w:w="2050"/>
            <w:shd w:fill="E7EDE7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Непрерывно (макс.), ч</w:t>
            </w:r>
          </w:p>
        </w:tc>
        <w:tc>
          <w:tcPr>
            <w:tcW w:type="dxa" w:w="2000"/>
            <w:shd w:fill="E7EDE7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Соответствие ≥2 ч</w:t>
            </w:r>
          </w:p>
        </w:tc>
      </w:tr>
      <w:tr>
        <w:tc>
          <w:tcPr>
            <w:tcW w:type="dxa" w:w="7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3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-14.3; -8.8</w:t>
            </w:r>
          </w:p>
        </w:tc>
        <w:tc>
          <w:tcPr>
            <w:tcW w:type="dxa" w:w="195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12.1</w:t>
            </w:r>
          </w:p>
        </w:tc>
        <w:tc>
          <w:tcPr>
            <w:tcW w:type="dxa" w:w="205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12.1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b/>
                <w:bCs/>
                <w:color w:val="1F7D38"/>
                <w:sz w:val="20"/>
                <w:szCs w:val="20"/>
              </w:rPr>
              <w:t xml:space="preserve">соответствует</w:t>
            </w:r>
          </w:p>
        </w:tc>
      </w:tr>
      <w:tr>
        <w:tc>
          <w:tcPr>
            <w:tcW w:type="dxa" w:w="7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3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-14.3; -3</w:t>
            </w:r>
          </w:p>
        </w:tc>
        <w:tc>
          <w:tcPr>
            <w:tcW w:type="dxa" w:w="195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11.5</w:t>
            </w:r>
          </w:p>
        </w:tc>
        <w:tc>
          <w:tcPr>
            <w:tcW w:type="dxa" w:w="205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11.5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b/>
                <w:bCs/>
                <w:color w:val="1F7D38"/>
                <w:sz w:val="20"/>
                <w:szCs w:val="20"/>
              </w:rPr>
              <w:t xml:space="preserve">соответствует</w:t>
            </w:r>
          </w:p>
        </w:tc>
      </w:tr>
      <w:tr>
        <w:tc>
          <w:tcPr>
            <w:tcW w:type="dxa" w:w="7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3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-14.3; 2.9</w:t>
            </w:r>
          </w:p>
        </w:tc>
        <w:tc>
          <w:tcPr>
            <w:tcW w:type="dxa" w:w="195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9.5</w:t>
            </w:r>
          </w:p>
        </w:tc>
        <w:tc>
          <w:tcPr>
            <w:tcW w:type="dxa" w:w="205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9.5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b/>
                <w:bCs/>
                <w:color w:val="1F7D38"/>
                <w:sz w:val="20"/>
                <w:szCs w:val="20"/>
              </w:rPr>
              <w:t xml:space="preserve">соответствует</w:t>
            </w:r>
          </w:p>
        </w:tc>
      </w:tr>
      <w:tr>
        <w:tc>
          <w:tcPr>
            <w:tcW w:type="dxa" w:w="7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3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-14.3; 8.8</w:t>
            </w:r>
          </w:p>
        </w:tc>
        <w:tc>
          <w:tcPr>
            <w:tcW w:type="dxa" w:w="195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10.9</w:t>
            </w:r>
          </w:p>
        </w:tc>
        <w:tc>
          <w:tcPr>
            <w:tcW w:type="dxa" w:w="205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9.7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b/>
                <w:bCs/>
                <w:color w:val="1F7D38"/>
                <w:sz w:val="20"/>
                <w:szCs w:val="20"/>
              </w:rPr>
              <w:t xml:space="preserve">соответствует</w:t>
            </w:r>
          </w:p>
        </w:tc>
      </w:tr>
      <w:tr>
        <w:tc>
          <w:tcPr>
            <w:tcW w:type="dxa" w:w="7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3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-4.8; -8.8</w:t>
            </w:r>
          </w:p>
        </w:tc>
        <w:tc>
          <w:tcPr>
            <w:tcW w:type="dxa" w:w="195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12.1</w:t>
            </w:r>
          </w:p>
        </w:tc>
        <w:tc>
          <w:tcPr>
            <w:tcW w:type="dxa" w:w="205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12.1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b/>
                <w:bCs/>
                <w:color w:val="1F7D38"/>
                <w:sz w:val="20"/>
                <w:szCs w:val="20"/>
              </w:rPr>
              <w:t xml:space="preserve">соответствует</w:t>
            </w:r>
          </w:p>
        </w:tc>
      </w:tr>
      <w:tr>
        <w:tc>
          <w:tcPr>
            <w:tcW w:type="dxa" w:w="7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3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-4.8; -3</w:t>
            </w:r>
          </w:p>
        </w:tc>
        <w:tc>
          <w:tcPr>
            <w:tcW w:type="dxa" w:w="195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0.0</w:t>
            </w:r>
          </w:p>
        </w:tc>
        <w:tc>
          <w:tcPr>
            <w:tcW w:type="dxa" w:w="205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0.0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 xml:space="preserve">не соответствует</w:t>
            </w:r>
          </w:p>
        </w:tc>
      </w:tr>
      <w:tr>
        <w:tc>
          <w:tcPr>
            <w:tcW w:type="dxa" w:w="7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3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-4.8; 2.9</w:t>
            </w:r>
          </w:p>
        </w:tc>
        <w:tc>
          <w:tcPr>
            <w:tcW w:type="dxa" w:w="195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5.9</w:t>
            </w:r>
          </w:p>
        </w:tc>
        <w:tc>
          <w:tcPr>
            <w:tcW w:type="dxa" w:w="205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5.9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b/>
                <w:bCs/>
                <w:color w:val="1F7D38"/>
                <w:sz w:val="20"/>
                <w:szCs w:val="20"/>
              </w:rPr>
              <w:t xml:space="preserve">соответствует</w:t>
            </w:r>
          </w:p>
        </w:tc>
      </w:tr>
      <w:tr>
        <w:tc>
          <w:tcPr>
            <w:tcW w:type="dxa" w:w="7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3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-4.8; 8.8</w:t>
            </w:r>
          </w:p>
        </w:tc>
        <w:tc>
          <w:tcPr>
            <w:tcW w:type="dxa" w:w="195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8.6</w:t>
            </w:r>
          </w:p>
        </w:tc>
        <w:tc>
          <w:tcPr>
            <w:tcW w:type="dxa" w:w="205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6.4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b/>
                <w:bCs/>
                <w:color w:val="1F7D38"/>
                <w:sz w:val="20"/>
                <w:szCs w:val="20"/>
              </w:rPr>
              <w:t xml:space="preserve">соответствует</w:t>
            </w:r>
          </w:p>
        </w:tc>
      </w:tr>
      <w:tr>
        <w:tc>
          <w:tcPr>
            <w:tcW w:type="dxa" w:w="7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23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4.8; -8.8</w:t>
            </w:r>
          </w:p>
        </w:tc>
        <w:tc>
          <w:tcPr>
            <w:tcW w:type="dxa" w:w="195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12.1</w:t>
            </w:r>
          </w:p>
        </w:tc>
        <w:tc>
          <w:tcPr>
            <w:tcW w:type="dxa" w:w="205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12.1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b/>
                <w:bCs/>
                <w:color w:val="1F7D38"/>
                <w:sz w:val="20"/>
                <w:szCs w:val="20"/>
              </w:rPr>
              <w:t xml:space="preserve">соответствует</w:t>
            </w:r>
          </w:p>
        </w:tc>
      </w:tr>
      <w:tr>
        <w:tc>
          <w:tcPr>
            <w:tcW w:type="dxa" w:w="7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3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4.8; -3</w:t>
            </w:r>
          </w:p>
        </w:tc>
        <w:tc>
          <w:tcPr>
            <w:tcW w:type="dxa" w:w="195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7.4</w:t>
            </w:r>
          </w:p>
        </w:tc>
        <w:tc>
          <w:tcPr>
            <w:tcW w:type="dxa" w:w="205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7.4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b/>
                <w:bCs/>
                <w:color w:val="1F7D38"/>
                <w:sz w:val="20"/>
                <w:szCs w:val="20"/>
              </w:rPr>
              <w:t xml:space="preserve">соответствует</w:t>
            </w:r>
          </w:p>
        </w:tc>
      </w:tr>
      <w:tr>
        <w:tc>
          <w:tcPr>
            <w:tcW w:type="dxa" w:w="7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23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4.8; 2.9</w:t>
            </w:r>
          </w:p>
        </w:tc>
        <w:tc>
          <w:tcPr>
            <w:tcW w:type="dxa" w:w="195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0.0</w:t>
            </w:r>
          </w:p>
        </w:tc>
        <w:tc>
          <w:tcPr>
            <w:tcW w:type="dxa" w:w="205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0.0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 xml:space="preserve">не соответствует</w:t>
            </w:r>
          </w:p>
        </w:tc>
      </w:tr>
      <w:tr>
        <w:tc>
          <w:tcPr>
            <w:tcW w:type="dxa" w:w="7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23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4.8; 8.8</w:t>
            </w:r>
          </w:p>
        </w:tc>
        <w:tc>
          <w:tcPr>
            <w:tcW w:type="dxa" w:w="195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7.8</w:t>
            </w:r>
          </w:p>
        </w:tc>
        <w:tc>
          <w:tcPr>
            <w:tcW w:type="dxa" w:w="205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5.8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b/>
                <w:bCs/>
                <w:color w:val="1F7D38"/>
                <w:sz w:val="20"/>
                <w:szCs w:val="20"/>
              </w:rPr>
              <w:t xml:space="preserve">соответствует</w:t>
            </w:r>
          </w:p>
        </w:tc>
      </w:tr>
      <w:tr>
        <w:tc>
          <w:tcPr>
            <w:tcW w:type="dxa" w:w="7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23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14.3; -8.8</w:t>
            </w:r>
          </w:p>
        </w:tc>
        <w:tc>
          <w:tcPr>
            <w:tcW w:type="dxa" w:w="195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12.1</w:t>
            </w:r>
          </w:p>
        </w:tc>
        <w:tc>
          <w:tcPr>
            <w:tcW w:type="dxa" w:w="205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12.1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b/>
                <w:bCs/>
                <w:color w:val="1F7D38"/>
                <w:sz w:val="20"/>
                <w:szCs w:val="20"/>
              </w:rPr>
              <w:t xml:space="preserve">соответствует</w:t>
            </w:r>
          </w:p>
        </w:tc>
      </w:tr>
      <w:tr>
        <w:tc>
          <w:tcPr>
            <w:tcW w:type="dxa" w:w="7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23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14.3; -3</w:t>
            </w:r>
          </w:p>
        </w:tc>
        <w:tc>
          <w:tcPr>
            <w:tcW w:type="dxa" w:w="195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11.0</w:t>
            </w:r>
          </w:p>
        </w:tc>
        <w:tc>
          <w:tcPr>
            <w:tcW w:type="dxa" w:w="205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11.0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b/>
                <w:bCs/>
                <w:color w:val="1F7D38"/>
                <w:sz w:val="20"/>
                <w:szCs w:val="20"/>
              </w:rPr>
              <w:t xml:space="preserve">соответствует</w:t>
            </w:r>
          </w:p>
        </w:tc>
      </w:tr>
      <w:tr>
        <w:tc>
          <w:tcPr>
            <w:tcW w:type="dxa" w:w="7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23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14.3; 2.9</w:t>
            </w:r>
          </w:p>
        </w:tc>
        <w:tc>
          <w:tcPr>
            <w:tcW w:type="dxa" w:w="195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9.6</w:t>
            </w:r>
          </w:p>
        </w:tc>
        <w:tc>
          <w:tcPr>
            <w:tcW w:type="dxa" w:w="205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9.6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b/>
                <w:bCs/>
                <w:color w:val="1F7D38"/>
                <w:sz w:val="20"/>
                <w:szCs w:val="20"/>
              </w:rPr>
              <w:t xml:space="preserve">соответствует</w:t>
            </w:r>
          </w:p>
        </w:tc>
      </w:tr>
      <w:tr>
        <w:tc>
          <w:tcPr>
            <w:tcW w:type="dxa" w:w="7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23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14.3; 8.8</w:t>
            </w:r>
          </w:p>
        </w:tc>
        <w:tc>
          <w:tcPr>
            <w:tcW w:type="dxa" w:w="195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10.5</w:t>
            </w:r>
          </w:p>
        </w:tc>
        <w:tc>
          <w:tcPr>
            <w:tcW w:type="dxa" w:w="205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9.4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b/>
                <w:bCs/>
                <w:color w:val="1F7D38"/>
                <w:sz w:val="20"/>
                <w:szCs w:val="20"/>
              </w:rPr>
              <w:t xml:space="preserve">соответствует</w:t>
            </w:r>
          </w:p>
        </w:tc>
      </w:tr>
    </w:tbl>
    <w:p>
      <w:pPr>
        <w:spacing w:after="0" w:before="80"/>
      </w:pPr>
      <w:r>
        <w:rPr>
          <w:i/>
          <w:iCs/>
          <w:color w:val="666666"/>
          <w:sz w:val="18"/>
          <w:szCs w:val="18"/>
        </w:rPr>
        <w:t xml:space="preserve">Контрольные точки — узлы регулярной сетки в границах участка (координаты E — восток, N — север от центра участка).</w:t>
      </w:r>
    </w:p>
    <w:p>
      <w:pPr>
        <w:pStyle w:val="Heading1"/>
        <w:spacing w:after="100" w:before="240"/>
      </w:pPr>
      <w:r>
        <w:rPr>
          <w:b/>
          <w:bCs/>
        </w:rPr>
        <w:t xml:space="preserve">5. Заключение</w:t>
      </w:r>
    </w:p>
    <w:p>
      <w:pPr>
        <w:pBdr>
          <w:top w:val="single" w:color="1E5C3D" w:sz="6"/>
          <w:bottom w:val="single" w:color="1E5C3D" w:sz="6"/>
          <w:left w:val="single" w:color="1E5C3D" w:sz="6"/>
          <w:right w:val="single" w:color="1E5C3D" w:sz="6"/>
        </w:pBdr>
        <w:spacing w:after="120"/>
      </w:pPr>
      <w:r>
        <w:rPr>
          <w:sz w:val="22"/>
          <w:szCs w:val="22"/>
        </w:rPr>
        <w:t xml:space="preserve">Нормируемую непрерывную инсоляцию (не менее 2 ч в сутки) обеспечивают 14 из 16 контрольных точек (88 %). Точки, расположенные в зоне затенения жилым домом, требованиям не удовлетворяют; при необходимости требуется корректировка размещения/высоты застройки.</w:t>
      </w:r>
    </w:p>
    <w:p>
      <w:pPr>
        <w:spacing w:before="400"/>
      </w:pPr>
      <w:r>
        <w:rPr>
          <w:sz w:val="22"/>
          <w:szCs w:val="22"/>
        </w:rPr>
        <w:t xml:space="preserve">Исполнитель: ______________________________ /                          /</w:t>
      </w:r>
    </w:p>
    <w:p>
      <w:pPr>
        <w:spacing w:before="200"/>
      </w:pPr>
      <w:r>
        <w:rPr>
          <w:sz w:val="22"/>
          <w:szCs w:val="22"/>
        </w:rPr>
        <w:t xml:space="preserve">Дата: 17.07.2026</w:t>
      </w:r>
    </w:p>
    <w:p>
      <w:pPr>
        <w:spacing w:before="300"/>
      </w:pPr>
      <w:r>
        <w:rPr>
          <w:i/>
          <w:iCs/>
          <w:color w:val="777777"/>
          <w:sz w:val="16"/>
          <w:szCs w:val="16"/>
        </w:rPr>
        <w:t xml:space="preserve">Расчёт носит модельный характер и основан на введённых геометрических данных участка и застройки. Документ не заменяет заключение аккредитованной организации; для официальной экспертизы требуется расчёт по фактическим окнам жилых помещений и утверждённой методике.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2026-07-17T16:45:06.902Z</dcterms:created>
  <dcterms:modified xsi:type="dcterms:W3CDTF">2026-07-17T16:45:06.902Z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