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pacing w:before="0" w:after="160"/>
        <w:contextualSpacing/>
        <w:rPr/>
      </w:pPr>
      <w:r>
        <w:rPr>
          <w:rFonts w:cs="Arial"/>
          <w:szCs w:val="24"/>
        </w:rPr>
        <w:t>Verificar se   o(a) reclamante realizou o seu mister em condições insalubres nos termos estabelecidos a partir da NR  16. Portaria 3214/78 do MTb.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23</Words>
  <Characters>121</Characters>
  <CharactersWithSpaces>146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2026-04-20T10:00:20Z</dcterms:created>
  <dc:creator/>
  <dc:description/>
  <dc:language>pt-BR</dc:language>
  <cp:lastModifiedBy/>
  <dcterms:modified xsi:type="dcterms:W3CDTF">2026-04-21T09:54:12Z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