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>Anexo 11 – Avaliação Quantitativa do limite de tolerância à</w:t>
      </w:r>
      <w:r>
        <w:rPr>
          <w:rFonts w:cs="Arial"/>
          <w:szCs w:val="24"/>
        </w:rPr>
        <w:t xml:space="preserve"> exposição de </w:t>
      </w:r>
      <w:r>
        <w:rPr>
          <w:rFonts w:cs="Arial"/>
          <w:szCs w:val="24"/>
        </w:rPr>
        <w:t xml:space="preserve">Agentes Químicos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13</Words>
  <Characters>76</Characters>
  <CharactersWithSpaces>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2026-04-20T10:13:07Z</dcterms:created>
  <dc:creator/>
  <dc:description/>
  <dc:language>pt-BR</dc:language>
  <cp:lastModifiedBy/>
  <dcterms:modified xsi:type="dcterms:W3CDTF">2026-04-20T10:36:41Z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