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hyperlink r:id="rId2" w:tgtFrame="_blank"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Anexo 12 - </w:t>
        </w:r>
        <w:r>
          <w:rPr>
            <w:rStyle w:val="Hyperlink"/>
            <w:rFonts w:cs="Arial"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szCs w:val="24"/>
            <w:u w:val="none"/>
            <w:shd w:fill="auto" w:val="clear"/>
          </w:rPr>
          <w:t>Avaliação Quantitativa de limites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 de tolerância para 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>P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oeiras </w:t>
        </w:r>
      </w:hyperlink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M</w:t>
      </w:r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inerais</w:t>
      </w:r>
    </w:p>
    <w:p>
      <w:pPr>
        <w:pStyle w:val="Normal"/>
        <w:bidi w:val="0"/>
        <w:jc w:val="left"/>
        <w:rPr>
          <w:rFonts w:ascii="rawline;helvetica;arial;sans-serif" w:hAnsi="rawline;helvetica;arial;sans-serif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</w:pPr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awline">
    <w:altName w:val="helvetic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2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</Words>
  <Characters>69</Characters>
  <CharactersWithSpaces>80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2026-04-20T10:14:44Z</dcterms:created>
  <dc:creator/>
  <dc:description/>
  <dc:language>pt-BR</dc:language>
  <cp:lastModifiedBy/>
  <dcterms:modified xsi:type="dcterms:W3CDTF">2026-04-20T10:43:33Z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