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090B"/>
          <w:sz w:val="44"/>
        </w:rPr>
        <w:t>MÉTRO-TAXI</w:t>
      </w:r>
    </w:p>
    <w:p>
      <w:pPr>
        <w:jc w:val="center"/>
      </w:pPr>
      <w:r>
        <w:rPr>
          <w:color w:val="3F3F3F"/>
          <w:sz w:val="26"/>
        </w:rPr>
        <w:t>Note de synthèse</w:t>
      </w:r>
    </w:p>
    <w:p>
      <w:pPr>
        <w:jc w:val="center"/>
      </w:pPr>
      <w:r>
        <w:rPr>
          <w:i/>
          <w:color w:val="6B6B6B"/>
          <w:sz w:val="20"/>
        </w:rPr>
        <w:t>Préparation du call — Jeudi 21 mai 2026</w:t>
      </w:r>
    </w:p>
    <w:p>
      <w:pPr>
        <w:pBdr>
          <w:bottom w:val="single" w:sz="18" w:space="1" w:color="C8A608"/>
        </w:pBdr>
      </w:pPr>
    </w:p>
    <w:p>
      <w:pPr>
        <w:jc w:val="center"/>
      </w:pPr>
      <w:r>
        <w:rPr>
          <w:b/>
          <w:color w:val="09090B"/>
          <w:sz w:val="20"/>
        </w:rPr>
        <w:t>Judée Souleymane Nazim — Fondateur</w:t>
      </w:r>
    </w:p>
    <w:p>
      <w:pPr>
        <w:jc w:val="center"/>
      </w:pPr>
      <w:r>
        <w:rPr>
          <w:color w:val="3F3F3F"/>
          <w:sz w:val="18"/>
        </w:rPr>
        <w:t>contact@metro-taxi.com   ·   +33 6 68 55 00 19   ·   metro-taxi.com</w:t>
      </w:r>
    </w:p>
    <w:p/>
    <w:p>
      <w:pPr>
        <w:spacing w:before="160" w:after="120"/>
      </w:pPr>
      <w:r>
        <w:rPr>
          <w:b/>
          <w:color w:val="C8A608"/>
          <w:sz w:val="26"/>
        </w:rPr>
        <w:t xml:space="preserve">1.  </w:t>
      </w:r>
      <w:r>
        <w:rPr>
          <w:b/>
          <w:color w:val="09090B"/>
          <w:sz w:val="24"/>
        </w:rPr>
        <w:t>Présentation de Métro-Taxi</w:t>
      </w:r>
    </w:p>
    <w:p>
      <w:pPr>
        <w:spacing w:after="80" w:line="324" w:lineRule="auto"/>
      </w:pPr>
      <w:r>
        <w:rPr>
          <w:color w:val="09090B"/>
          <w:sz w:val="21"/>
        </w:rPr>
        <w:t xml:space="preserve">Métro-Taxi est une plateforme française de </w:t>
      </w:r>
      <w:r>
        <w:rPr>
          <w:b/>
          <w:color w:val="09090B"/>
          <w:sz w:val="21"/>
        </w:rPr>
        <w:t>covoiturage VTC par abonnement</w:t>
      </w:r>
      <w:r>
        <w:rPr>
          <w:color w:val="09090B"/>
          <w:sz w:val="21"/>
        </w:rPr>
        <w:t xml:space="preserve">, lancée en mai 2026. La société propose aux usagers </w:t>
      </w:r>
      <w:r>
        <w:rPr>
          <w:b/>
          <w:color w:val="09090B"/>
          <w:sz w:val="21"/>
        </w:rPr>
        <w:t>franciliens et nationaux</w:t>
      </w:r>
      <w:r>
        <w:rPr>
          <w:color w:val="09090B"/>
          <w:sz w:val="21"/>
        </w:rPr>
        <w:t xml:space="preserve"> un accès illimité au transport VTC via un forfait, tout en garantissant une </w:t>
      </w:r>
      <w:r>
        <w:rPr>
          <w:b/>
          <w:color w:val="09090B"/>
          <w:sz w:val="21"/>
        </w:rPr>
        <w:t>rémunération kilométrique transparente</w:t>
      </w:r>
      <w:r>
        <w:rPr>
          <w:color w:val="09090B"/>
          <w:sz w:val="21"/>
        </w:rPr>
        <w:t xml:space="preserve"> aux chauffeurs VTC indépendants partenaires.</w:t>
      </w:r>
    </w:p>
    <w:p>
      <w:pPr>
        <w:spacing w:before="120" w:after="40"/>
      </w:pPr>
      <w:r>
        <w:rPr>
          <w:b/>
          <w:color w:val="3F3F3F"/>
          <w:sz w:val="21"/>
        </w:rPr>
        <w:t>Modèle économique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 xml:space="preserve">Abonnés Métro-Taxi : forfait </w:t>
      </w:r>
      <w:r>
        <w:rPr>
          <w:b/>
          <w:color w:val="09090B"/>
          <w:sz w:val="21"/>
        </w:rPr>
        <w:t>6,99 €</w:t>
      </w:r>
      <w:r>
        <w:rPr>
          <w:color w:val="09090B"/>
          <w:sz w:val="21"/>
        </w:rPr>
        <w:t xml:space="preserve"> pour 24 h (5 trajets maximum), </w:t>
      </w:r>
      <w:r>
        <w:rPr>
          <w:b/>
          <w:color w:val="09090B"/>
          <w:sz w:val="21"/>
        </w:rPr>
        <w:t>16,99 €</w:t>
      </w:r>
      <w:r>
        <w:rPr>
          <w:color w:val="09090B"/>
          <w:sz w:val="21"/>
        </w:rPr>
        <w:t xml:space="preserve"> par semaine ou </w:t>
      </w:r>
      <w:r>
        <w:rPr>
          <w:b/>
          <w:color w:val="09090B"/>
          <w:sz w:val="21"/>
        </w:rPr>
        <w:t>53,99 €</w:t>
      </w:r>
      <w:r>
        <w:rPr>
          <w:color w:val="09090B"/>
          <w:sz w:val="21"/>
        </w:rPr>
        <w:t xml:space="preserve"> par mois (trajets illimités).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 xml:space="preserve">Chauffeurs partenaires : rémunérés </w:t>
      </w:r>
      <w:r>
        <w:rPr>
          <w:b/>
          <w:color w:val="09090B"/>
          <w:sz w:val="21"/>
        </w:rPr>
        <w:t>1,50 €/km</w:t>
      </w:r>
      <w:r>
        <w:rPr>
          <w:color w:val="09090B"/>
          <w:sz w:val="21"/>
        </w:rPr>
        <w:t xml:space="preserve"> dès qu'au moins un abonné est à bord. Aucune commission prélevée par la plateforme (modèle </w:t>
      </w:r>
      <w:r>
        <w:rPr>
          <w:b/>
          <w:color w:val="09090B"/>
          <w:sz w:val="21"/>
        </w:rPr>
        <w:t>0 %</w:t>
      </w:r>
      <w:r>
        <w:rPr>
          <w:color w:val="09090B"/>
          <w:sz w:val="21"/>
        </w:rPr>
        <w:t>).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 xml:space="preserve">Versements chauffeurs : virement SEPA mensuel, </w:t>
      </w:r>
      <w:r>
        <w:rPr>
          <w:b/>
          <w:color w:val="09090B"/>
          <w:sz w:val="21"/>
        </w:rPr>
        <w:t>le 10 de chaque mois</w:t>
      </w:r>
      <w:r>
        <w:rPr>
          <w:color w:val="09090B"/>
          <w:sz w:val="21"/>
        </w:rPr>
        <w:t>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Algorithme propriétaire de mutualisation (jusqu'à 4 abonnés/berline, 5/monospace, 7/van) garantissant la rentabilité par trajet.</w:t>
      </w:r>
    </w:p>
    <w:p>
      <w:pPr>
        <w:spacing w:before="120" w:after="40"/>
      </w:pPr>
      <w:r>
        <w:rPr>
          <w:b/>
          <w:color w:val="3F3F3F"/>
          <w:sz w:val="21"/>
        </w:rPr>
        <w:t>État d'avancement (mai 2026)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Plateforme en production sur metro-taxi.com (PWA installable).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</w:r>
      <w:r>
        <w:rPr>
          <w:b/>
          <w:color w:val="09090B"/>
          <w:sz w:val="21"/>
        </w:rPr>
        <w:t>25 chauffeurs VTC partenaires</w:t>
      </w:r>
      <w:r>
        <w:rPr>
          <w:color w:val="09090B"/>
          <w:sz w:val="21"/>
        </w:rPr>
        <w:t xml:space="preserve"> inscrits à ce jour (croissance organique par démarchage terrain : gares parisiennes, aéroports CDG).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Premiers contacts B2B engagés avec des patrons de flotte VTC (programme « Patron VTC » dédié).</w:t>
      </w:r>
    </w:p>
    <w:p>
      <w:pPr>
        <w:spacing w:before="160" w:after="120"/>
      </w:pPr>
      <w:r>
        <w:rPr>
          <w:b/>
          <w:color w:val="C8A608"/>
          <w:sz w:val="26"/>
        </w:rPr>
        <w:t xml:space="preserve">2.  </w:t>
      </w:r>
      <w:r>
        <w:rPr>
          <w:b/>
          <w:color w:val="09090B"/>
          <w:sz w:val="24"/>
        </w:rPr>
        <w:t>Sujets juridiques pour l'échange du 21 mai</w:t>
      </w:r>
    </w:p>
    <w:p>
      <w:pPr>
        <w:spacing w:before="80" w:after="40"/>
      </w:pPr>
      <w:r>
        <w:rPr>
          <w:b/>
          <w:color w:val="09090B"/>
          <w:sz w:val="22"/>
        </w:rPr>
        <w:t>A. Conditions Générales de Partenariat (CGP)</w:t>
      </w:r>
    </w:p>
    <w:p>
      <w:pPr>
        <w:spacing w:after="80" w:line="324" w:lineRule="auto"/>
      </w:pPr>
      <w:r>
        <w:rPr>
          <w:color w:val="09090B"/>
          <w:sz w:val="21"/>
        </w:rPr>
        <w:t xml:space="preserve">Métro-Taxi formalise sa relation avec les chauffeurs VTC indépendants par des </w:t>
      </w:r>
      <w:r>
        <w:rPr>
          <w:b/>
          <w:color w:val="09090B"/>
          <w:sz w:val="21"/>
        </w:rPr>
        <w:t>Conditions Générales de Partenariat</w:t>
      </w:r>
      <w:r>
        <w:rPr>
          <w:color w:val="09090B"/>
          <w:sz w:val="21"/>
        </w:rPr>
        <w:t xml:space="preserve"> (</w:t>
      </w:r>
      <w:r>
        <w:rPr>
          <w:b/>
          <w:color w:val="09090B"/>
          <w:sz w:val="21"/>
        </w:rPr>
        <w:t>et non par un contrat de travail</w:t>
      </w:r>
      <w:r>
        <w:rPr>
          <w:color w:val="09090B"/>
          <w:sz w:val="21"/>
        </w:rPr>
        <w:t>). Nous souhaitons soumettre ce document à votre validation, afin d'en sécuriser la rédaction et la portée juridique.</w:t>
      </w:r>
    </w:p>
    <w:p>
      <w:pPr>
        <w:spacing w:before="120" w:after="40"/>
      </w:pPr>
      <w:r>
        <w:rPr>
          <w:b/>
          <w:color w:val="09090B"/>
          <w:sz w:val="22"/>
        </w:rPr>
        <w:t>B. Risque de requalification</w:t>
      </w:r>
    </w:p>
    <w:p>
      <w:pPr>
        <w:spacing w:after="80" w:line="324" w:lineRule="auto"/>
      </w:pPr>
      <w:r>
        <w:rPr>
          <w:color w:val="09090B"/>
          <w:sz w:val="21"/>
        </w:rPr>
        <w:t xml:space="preserve">Sujet central de notre démarche : prévenir tout risque de </w:t>
      </w:r>
      <w:r>
        <w:rPr>
          <w:b/>
          <w:color w:val="09090B"/>
          <w:sz w:val="21"/>
        </w:rPr>
        <w:t>requalification</w:t>
      </w:r>
      <w:r>
        <w:rPr>
          <w:color w:val="09090B"/>
          <w:sz w:val="21"/>
        </w:rPr>
        <w:t xml:space="preserve"> de la relation chauffeur-plateforme en contrat de travail (jurisprudence Uber, Take Eat Easy). Notre modèle a été construit en intégrant les critères classiques d'</w:t>
      </w:r>
      <w:r>
        <w:rPr>
          <w:b/>
          <w:color w:val="09090B"/>
          <w:sz w:val="21"/>
        </w:rPr>
        <w:t>indépendance</w:t>
      </w:r>
      <w:r>
        <w:rPr>
          <w:color w:val="09090B"/>
          <w:sz w:val="21"/>
        </w:rPr>
        <w:t xml:space="preserve"> (libre acceptation, libre tarification implicite via le forfait, absence de subordination, absence d'exclusivité). Nous souhaitons votre validation experte de cet équilibre.</w:t>
      </w:r>
    </w:p>
    <w:p>
      <w:pPr>
        <w:spacing w:before="120" w:after="40"/>
      </w:pPr>
      <w:r>
        <w:rPr>
          <w:b/>
          <w:color w:val="09090B"/>
          <w:sz w:val="22"/>
        </w:rPr>
        <w:t>C. Conformité réglementaire</w:t>
      </w:r>
    </w:p>
    <w:p>
      <w:pPr>
        <w:spacing w:after="80" w:line="324" w:lineRule="auto"/>
      </w:pPr>
      <w:r>
        <w:rPr>
          <w:color w:val="09090B"/>
          <w:sz w:val="21"/>
        </w:rPr>
        <w:t>Notre modèle d'abonnement appliqué au transport VTC soulève plusieurs questions réglementaires que nous souhaitons clarifier :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 xml:space="preserve">Compatibilité du forfait abonné avec les obligations de tarification VTC issues de la </w:t>
      </w:r>
      <w:r>
        <w:rPr>
          <w:b/>
          <w:color w:val="09090B"/>
          <w:sz w:val="21"/>
        </w:rPr>
        <w:t>loi Grandguillaume</w:t>
      </w:r>
      <w:r>
        <w:rPr>
          <w:color w:val="09090B"/>
          <w:sz w:val="21"/>
        </w:rPr>
        <w:t xml:space="preserve"> (2016).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Conformité du traitement des paiements abonnés et reversement aux chauffeurs.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Obligations de signalétique, registre VTC, attestations.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Protection de la marque « Métro-Taxi » et de l'algorithme propriétaire.</w:t>
      </w:r>
    </w:p>
    <w:p>
      <w:pPr>
        <w:spacing w:before="160" w:after="120"/>
      </w:pPr>
      <w:r>
        <w:rPr>
          <w:b/>
          <w:color w:val="C8A608"/>
          <w:sz w:val="26"/>
        </w:rPr>
        <w:t xml:space="preserve">3.  </w:t>
      </w:r>
      <w:r>
        <w:rPr>
          <w:b/>
          <w:color w:val="09090B"/>
          <w:sz w:val="24"/>
        </w:rPr>
        <w:t>Calendrier et enjeux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Phase actuelle : distribution terrain auprès des chauffeurs VTC franciliens (gares, aéroports CDG, hubs de banlieue). Acquisition organique en cours.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 xml:space="preserve">Court terme (T2 2026) : </w:t>
      </w:r>
      <w:r>
        <w:rPr>
          <w:b/>
          <w:color w:val="09090B"/>
          <w:sz w:val="21"/>
        </w:rPr>
        <w:t>sécurisation juridique du modèle</w:t>
      </w:r>
      <w:r>
        <w:rPr>
          <w:color w:val="09090B"/>
          <w:sz w:val="21"/>
        </w:rPr>
        <w:t>, finalisation des CGP, validation de la conformité.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Moyen terme (</w:t>
      </w:r>
      <w:r>
        <w:rPr>
          <w:b/>
          <w:color w:val="09090B"/>
          <w:sz w:val="21"/>
        </w:rPr>
        <w:t>T3 2026</w:t>
      </w:r>
      <w:r>
        <w:rPr>
          <w:color w:val="09090B"/>
          <w:sz w:val="21"/>
        </w:rPr>
        <w:t xml:space="preserve">) : passage à l'échelle (objectif </w:t>
      </w:r>
      <w:r>
        <w:rPr>
          <w:b/>
          <w:color w:val="09090B"/>
          <w:sz w:val="21"/>
        </w:rPr>
        <w:t>150 chauffeurs VTC partenaires</w:t>
      </w:r>
      <w:r>
        <w:rPr>
          <w:color w:val="09090B"/>
          <w:sz w:val="21"/>
        </w:rPr>
        <w:t>), premiers partenariats B2B avec des flottes VTC, ouverture progressive aux usagers grand public.</w:t>
      </w:r>
    </w:p>
    <w:p>
      <w:pPr>
        <w:pStyle w:val="ListBullet"/>
        <w:spacing w:after="60" w:line="312" w:lineRule="auto"/>
        <w:ind w:left="340"/>
      </w:pPr>
      <w:r>
        <w:rPr>
          <w:color w:val="09090B"/>
          <w:sz w:val="21"/>
        </w:rPr>
        <w:t>Long terme (2027+) : développement national, structuration corporate.</w:t>
      </w:r>
    </w:p>
    <w:p>
      <w:pPr>
        <w:spacing w:before="120"/>
      </w:pPr>
      <w:r>
        <w:rPr>
          <w:i/>
          <w:color w:val="3F3F3F"/>
          <w:sz w:val="21"/>
        </w:rPr>
        <w:t>Nous souhaitons engager une collaboration durable avec Parallel Avocats pour accompagner cette montée en puissance dans un cadre juridique sécurisé. Le call du 21 mai vise à identifier le ou les conseils dédiés au sein de votre cabinet et à prioriser ensemble les premières actions.</w:t>
      </w:r>
    </w:p>
    <w:p>
      <w:pPr>
        <w:pBdr>
          <w:bottom w:val="single" w:sz="18" w:space="1" w:color="C8A608"/>
        </w:pBdr>
      </w:pPr>
    </w:p>
    <w:p>
      <w:pPr>
        <w:jc w:val="center"/>
      </w:pPr>
      <w:r>
        <w:rPr>
          <w:i/>
          <w:color w:val="6B6B6B"/>
          <w:sz w:val="16"/>
        </w:rPr>
        <w:t>Document préparé le 20 mai 2026  ·  Confidentiel — Usage Parallel Avocats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