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C6AD" w14:textId="48493DC1" w:rsidR="00571679" w:rsidRDefault="00571679" w:rsidP="00197A22">
      <w:pPr>
        <w:spacing w:after="0" w:line="276" w:lineRule="auto"/>
        <w:rPr>
          <w:rFonts w:ascii="Seaford" w:hAnsi="Seaford"/>
          <w:b/>
          <w:bCs/>
        </w:rPr>
      </w:pPr>
      <w:r>
        <w:rPr>
          <w:rFonts w:ascii="Seaford" w:hAnsi="Seaford"/>
          <w:b/>
          <w:bCs/>
        </w:rPr>
        <w:t>The Classical Linear Regression model</w:t>
      </w:r>
    </w:p>
    <w:p w14:paraId="3CD2E643" w14:textId="1B873CEA" w:rsidR="00571679" w:rsidRPr="00571679" w:rsidRDefault="00571679" w:rsidP="00571679">
      <w:pPr>
        <w:pStyle w:val="ListParagraph"/>
        <w:numPr>
          <w:ilvl w:val="0"/>
          <w:numId w:val="1"/>
        </w:numPr>
        <w:spacing w:after="0" w:line="276" w:lineRule="auto"/>
        <w:rPr>
          <w:rFonts w:ascii="Seaford" w:hAnsi="Seaford"/>
        </w:rPr>
      </w:pPr>
      <w:r w:rsidRPr="00571679">
        <w:rPr>
          <w:rFonts w:ascii="Seaford" w:hAnsi="Seaford"/>
        </w:rPr>
        <w:t>Some conclusions</w:t>
      </w:r>
    </w:p>
    <w:p w14:paraId="02D0C141" w14:textId="77777777" w:rsidR="00571679" w:rsidRDefault="00571679" w:rsidP="00197A22">
      <w:pPr>
        <w:spacing w:after="0" w:line="276" w:lineRule="auto"/>
        <w:rPr>
          <w:rFonts w:ascii="Seaford" w:hAnsi="Seaford"/>
          <w:b/>
          <w:bCs/>
        </w:rPr>
      </w:pPr>
    </w:p>
    <w:p w14:paraId="190CFABB" w14:textId="33F2C087" w:rsidR="00197A22" w:rsidRPr="00571679" w:rsidRDefault="00197A22" w:rsidP="00197A22">
      <w:pPr>
        <w:spacing w:after="0" w:line="276" w:lineRule="auto"/>
        <w:rPr>
          <w:rFonts w:ascii="Seaford" w:hAnsi="Seaford"/>
        </w:rPr>
      </w:pPr>
      <w:r w:rsidRPr="00571679">
        <w:rPr>
          <w:rFonts w:ascii="Seaford" w:hAnsi="Seaford"/>
        </w:rPr>
        <w:t xml:space="preserve">Textbooks as </w:t>
      </w:r>
      <w:proofErr w:type="spellStart"/>
      <w:r w:rsidRPr="00571679">
        <w:rPr>
          <w:rFonts w:ascii="Seaford" w:hAnsi="Seaford"/>
        </w:rPr>
        <w:t>Catalogs</w:t>
      </w:r>
      <w:proofErr w:type="spellEnd"/>
    </w:p>
    <w:p w14:paraId="21FB86B1" w14:textId="77777777" w:rsidR="00197A22" w:rsidRDefault="00197A22" w:rsidP="00197A22">
      <w:pPr>
        <w:spacing w:after="0" w:line="276" w:lineRule="auto"/>
        <w:rPr>
          <w:rFonts w:ascii="Seaford" w:hAnsi="Seaford"/>
        </w:rPr>
      </w:pPr>
    </w:p>
    <w:p w14:paraId="496AF4F7" w14:textId="77777777" w:rsidR="00197A22" w:rsidRDefault="00197A22" w:rsidP="00197A22">
      <w:pPr>
        <w:spacing w:after="0" w:line="276" w:lineRule="auto"/>
        <w:rPr>
          <w:rFonts w:ascii="Seaford" w:hAnsi="Seaford"/>
        </w:rPr>
      </w:pPr>
      <w:r>
        <w:rPr>
          <w:rFonts w:ascii="Seaford" w:hAnsi="Seaford"/>
        </w:rPr>
        <w:t xml:space="preserve">There are no super estimators – some estimators have desirable properties under some circumstance. Textbook can be characterized as a </w:t>
      </w:r>
      <w:proofErr w:type="spellStart"/>
      <w:r>
        <w:rPr>
          <w:rFonts w:ascii="Seaford" w:hAnsi="Seaford"/>
        </w:rPr>
        <w:t>catelog</w:t>
      </w:r>
      <w:proofErr w:type="spellEnd"/>
      <w:r>
        <w:rPr>
          <w:rFonts w:ascii="Seaford" w:hAnsi="Seaford"/>
        </w:rPr>
        <w:t xml:space="preserve"> of which estimators are more desirable in what estimating situations.</w:t>
      </w:r>
    </w:p>
    <w:p w14:paraId="27447835" w14:textId="77777777" w:rsidR="00197A22" w:rsidRDefault="00197A22" w:rsidP="00197A22">
      <w:pPr>
        <w:spacing w:after="0" w:line="276" w:lineRule="auto"/>
        <w:rPr>
          <w:rFonts w:ascii="Seaford" w:hAnsi="Seaford"/>
        </w:rPr>
      </w:pPr>
    </w:p>
    <w:p w14:paraId="627E0A58" w14:textId="7612F514" w:rsidR="00197A22" w:rsidRDefault="00197A22" w:rsidP="00197A22">
      <w:pPr>
        <w:spacing w:after="0" w:line="276" w:lineRule="auto"/>
        <w:rPr>
          <w:rFonts w:ascii="Seaford" w:hAnsi="Seaford"/>
        </w:rPr>
      </w:pPr>
      <w:r>
        <w:rPr>
          <w:rFonts w:ascii="Seaford" w:hAnsi="Seaford"/>
        </w:rPr>
        <w:t xml:space="preserve">The </w:t>
      </w:r>
      <w:proofErr w:type="spellStart"/>
      <w:r>
        <w:rPr>
          <w:rFonts w:ascii="Seaford" w:hAnsi="Seaford"/>
        </w:rPr>
        <w:t>catalog</w:t>
      </w:r>
      <w:proofErr w:type="spellEnd"/>
      <w:r>
        <w:rPr>
          <w:rFonts w:ascii="Seaford" w:hAnsi="Seaford"/>
        </w:rPr>
        <w:t xml:space="preserve"> is centred around the CLR model, classical linear regression model. The OLS estimator is the optimal estimator under five assumptions.</w:t>
      </w:r>
    </w:p>
    <w:p w14:paraId="505100D8" w14:textId="77777777" w:rsidR="00197A22" w:rsidRDefault="00197A22" w:rsidP="00197A22">
      <w:pPr>
        <w:spacing w:after="0" w:line="276" w:lineRule="auto"/>
        <w:rPr>
          <w:rFonts w:ascii="Seaford" w:hAnsi="Seaford"/>
        </w:rPr>
      </w:pPr>
    </w:p>
    <w:p w14:paraId="54D23FAB" w14:textId="03FC2E02" w:rsidR="00197A22" w:rsidRDefault="00197A22" w:rsidP="00197A22">
      <w:pPr>
        <w:spacing w:after="0" w:line="276" w:lineRule="auto"/>
        <w:rPr>
          <w:rFonts w:ascii="Seaford" w:hAnsi="Seaford"/>
        </w:rPr>
      </w:pPr>
      <w:r>
        <w:rPr>
          <w:rFonts w:ascii="Seaford" w:hAnsi="Seaford"/>
        </w:rPr>
        <w:t>1.</w:t>
      </w:r>
      <w:r>
        <w:rPr>
          <w:rFonts w:ascii="Seaford" w:hAnsi="Seaford"/>
        </w:rPr>
        <w:tab/>
        <w:t>linear relationship</w:t>
      </w:r>
    </w:p>
    <w:p w14:paraId="7C7DB23A" w14:textId="7C1D0F82" w:rsidR="00197A22" w:rsidRDefault="00197A22" w:rsidP="00197A22">
      <w:pPr>
        <w:spacing w:after="0" w:line="276" w:lineRule="auto"/>
        <w:rPr>
          <w:rFonts w:ascii="Seaford" w:hAnsi="Seaford"/>
        </w:rPr>
      </w:pPr>
      <w:r>
        <w:rPr>
          <w:rFonts w:ascii="Seaford" w:hAnsi="Seaford"/>
        </w:rPr>
        <w:tab/>
        <w:t>a.</w:t>
      </w:r>
      <w:r>
        <w:rPr>
          <w:rFonts w:ascii="Seaford" w:hAnsi="Seaford"/>
        </w:rPr>
        <w:tab/>
        <w:t>wrong regressors</w:t>
      </w:r>
    </w:p>
    <w:p w14:paraId="01E8E90A" w14:textId="3C8B3A4C" w:rsidR="00197A22" w:rsidRDefault="00197A22" w:rsidP="00197A22">
      <w:pPr>
        <w:spacing w:after="0" w:line="276" w:lineRule="auto"/>
        <w:rPr>
          <w:rFonts w:ascii="Seaford" w:hAnsi="Seaford"/>
        </w:rPr>
      </w:pPr>
      <w:r>
        <w:rPr>
          <w:rFonts w:ascii="Seaford" w:hAnsi="Seaford"/>
        </w:rPr>
        <w:tab/>
        <w:t>b.</w:t>
      </w:r>
      <w:r>
        <w:rPr>
          <w:rFonts w:ascii="Seaford" w:hAnsi="Seaford"/>
        </w:rPr>
        <w:tab/>
        <w:t>nonlinearity</w:t>
      </w:r>
    </w:p>
    <w:p w14:paraId="44483812" w14:textId="40A30DD2" w:rsidR="00197A22" w:rsidRDefault="00197A22" w:rsidP="00197A22">
      <w:pPr>
        <w:spacing w:after="0" w:line="276" w:lineRule="auto"/>
        <w:rPr>
          <w:rFonts w:ascii="Seaford" w:hAnsi="Seaford"/>
        </w:rPr>
      </w:pPr>
      <w:r>
        <w:rPr>
          <w:rFonts w:ascii="Seaford" w:hAnsi="Seaford"/>
        </w:rPr>
        <w:tab/>
        <w:t>c.</w:t>
      </w:r>
      <w:r>
        <w:rPr>
          <w:rFonts w:ascii="Seaford" w:hAnsi="Seaford"/>
        </w:rPr>
        <w:tab/>
        <w:t>changing parameters</w:t>
      </w:r>
    </w:p>
    <w:p w14:paraId="4A560EE0" w14:textId="08107B22" w:rsidR="00197A22" w:rsidRDefault="00197A22" w:rsidP="00197A22">
      <w:pPr>
        <w:spacing w:after="0" w:line="276" w:lineRule="auto"/>
        <w:ind w:left="720" w:hanging="720"/>
        <w:rPr>
          <w:rFonts w:ascii="Seaford" w:hAnsi="Seaford"/>
        </w:rPr>
      </w:pPr>
      <w:r>
        <w:rPr>
          <w:rFonts w:ascii="Seaford" w:hAnsi="Seaford"/>
        </w:rPr>
        <w:t>2.</w:t>
      </w:r>
      <w:r>
        <w:rPr>
          <w:rFonts w:ascii="Seaford" w:hAnsi="Seaford"/>
        </w:rPr>
        <w:tab/>
        <w:t>zero value for the unconditional expected value of the error term – this leads to biased intercept term.</w:t>
      </w:r>
    </w:p>
    <w:p w14:paraId="48CBD044" w14:textId="77777777" w:rsidR="00197A22" w:rsidRDefault="00197A22" w:rsidP="00197A22">
      <w:pPr>
        <w:spacing w:after="0" w:line="276" w:lineRule="auto"/>
        <w:rPr>
          <w:rFonts w:ascii="Seaford" w:hAnsi="Seaford"/>
        </w:rPr>
      </w:pPr>
      <w:r>
        <w:rPr>
          <w:rFonts w:ascii="Seaford" w:hAnsi="Seaford"/>
        </w:rPr>
        <w:t>3.</w:t>
      </w:r>
      <w:r>
        <w:rPr>
          <w:rFonts w:ascii="Seaford" w:hAnsi="Seaford"/>
        </w:rPr>
        <w:tab/>
        <w:t>spherical variance-covariance matrix for the error terms.</w:t>
      </w:r>
    </w:p>
    <w:p w14:paraId="7B5071D5" w14:textId="00172FD7" w:rsidR="00197A22" w:rsidRDefault="00197A22" w:rsidP="00197A22">
      <w:pPr>
        <w:spacing w:after="0" w:line="276" w:lineRule="auto"/>
        <w:ind w:firstLine="720"/>
        <w:rPr>
          <w:rFonts w:ascii="Seaford" w:hAnsi="Seaford"/>
        </w:rPr>
      </w:pPr>
      <w:r>
        <w:rPr>
          <w:rFonts w:ascii="Seaford" w:hAnsi="Seaford"/>
        </w:rPr>
        <w:t>a.</w:t>
      </w:r>
      <w:r>
        <w:rPr>
          <w:rFonts w:ascii="Seaford" w:hAnsi="Seaford"/>
        </w:rPr>
        <w:tab/>
        <w:t>heteroskedasticity</w:t>
      </w:r>
    </w:p>
    <w:p w14:paraId="1492FDFC" w14:textId="4337AC07" w:rsidR="00197A22" w:rsidRDefault="00197A22" w:rsidP="00197A22">
      <w:pPr>
        <w:spacing w:after="0" w:line="276" w:lineRule="auto"/>
        <w:ind w:firstLine="720"/>
        <w:rPr>
          <w:rFonts w:ascii="Seaford" w:hAnsi="Seaford"/>
        </w:rPr>
      </w:pPr>
      <w:r>
        <w:rPr>
          <w:rFonts w:ascii="Seaford" w:hAnsi="Seaford"/>
        </w:rPr>
        <w:t>b.</w:t>
      </w:r>
      <w:r>
        <w:rPr>
          <w:rFonts w:ascii="Seaford" w:hAnsi="Seaford"/>
        </w:rPr>
        <w:tab/>
        <w:t>autocorrelation in the error term</w:t>
      </w:r>
    </w:p>
    <w:p w14:paraId="49CF5AD0" w14:textId="1782D556" w:rsidR="00197A22" w:rsidRDefault="00197A22" w:rsidP="00197A22">
      <w:pPr>
        <w:spacing w:after="0" w:line="276" w:lineRule="auto"/>
        <w:rPr>
          <w:rFonts w:ascii="Seaford" w:hAnsi="Seaford"/>
        </w:rPr>
      </w:pPr>
      <w:r>
        <w:rPr>
          <w:rFonts w:ascii="Seaford" w:hAnsi="Seaford"/>
        </w:rPr>
        <w:t>4.</w:t>
      </w:r>
      <w:r>
        <w:rPr>
          <w:rFonts w:ascii="Seaford" w:hAnsi="Seaford"/>
        </w:rPr>
        <w:tab/>
        <w:t>exogeneity for the regressors</w:t>
      </w:r>
    </w:p>
    <w:p w14:paraId="113F07D5" w14:textId="33522E5D" w:rsidR="00197A22" w:rsidRDefault="00197A22" w:rsidP="00197A22">
      <w:pPr>
        <w:spacing w:after="0" w:line="276" w:lineRule="auto"/>
        <w:rPr>
          <w:rFonts w:ascii="Seaford" w:hAnsi="Seaford"/>
        </w:rPr>
      </w:pPr>
      <w:r>
        <w:rPr>
          <w:rFonts w:ascii="Seaford" w:hAnsi="Seaford"/>
        </w:rPr>
        <w:t>5.</w:t>
      </w:r>
      <w:r>
        <w:rPr>
          <w:rFonts w:ascii="Seaford" w:hAnsi="Seaford"/>
        </w:rPr>
        <w:tab/>
        <w:t>no perfect multicollinearity</w:t>
      </w:r>
    </w:p>
    <w:p w14:paraId="72C98192" w14:textId="7ABBFAE1" w:rsidR="00197A22" w:rsidRDefault="00197A22" w:rsidP="00197A22">
      <w:pPr>
        <w:spacing w:after="0" w:line="276" w:lineRule="auto"/>
        <w:rPr>
          <w:rFonts w:ascii="Seaford" w:hAnsi="Seaford"/>
        </w:rPr>
      </w:pPr>
    </w:p>
    <w:p w14:paraId="189495EF" w14:textId="17489F9C" w:rsidR="008A2561" w:rsidRDefault="008A2561" w:rsidP="00197A22">
      <w:pPr>
        <w:spacing w:after="0" w:line="276" w:lineRule="auto"/>
        <w:rPr>
          <w:rFonts w:ascii="Seaford" w:hAnsi="Seaford"/>
        </w:rPr>
      </w:pPr>
    </w:p>
    <w:p w14:paraId="581FD679" w14:textId="730E6321" w:rsidR="008A2561" w:rsidRPr="00E27E47" w:rsidRDefault="008A2561" w:rsidP="00197A22">
      <w:pPr>
        <w:spacing w:after="0" w:line="276" w:lineRule="auto"/>
        <w:rPr>
          <w:rFonts w:ascii="Seaford" w:hAnsi="Seaford"/>
          <w:b/>
          <w:bCs/>
        </w:rPr>
      </w:pPr>
      <w:r w:rsidRPr="00E27E47">
        <w:rPr>
          <w:rFonts w:ascii="Seaford" w:hAnsi="Seaford"/>
          <w:b/>
          <w:bCs/>
        </w:rPr>
        <w:t>The assumptions of the CLR model</w:t>
      </w:r>
    </w:p>
    <w:p w14:paraId="09FDF0D6" w14:textId="6E0D015B" w:rsidR="008A2561" w:rsidRDefault="008A2561" w:rsidP="00197A22">
      <w:pPr>
        <w:spacing w:after="0" w:line="276" w:lineRule="auto"/>
        <w:rPr>
          <w:rFonts w:ascii="Seaford" w:hAnsi="Seaford"/>
        </w:rPr>
      </w:pPr>
    </w:p>
    <w:p w14:paraId="03F9E212" w14:textId="1A30F753" w:rsidR="008A2561" w:rsidRDefault="008A2561" w:rsidP="008A2561">
      <w:pPr>
        <w:pStyle w:val="ListParagraph"/>
        <w:numPr>
          <w:ilvl w:val="0"/>
          <w:numId w:val="2"/>
        </w:numPr>
        <w:spacing w:after="0" w:line="276" w:lineRule="auto"/>
        <w:rPr>
          <w:rFonts w:ascii="Seaford" w:hAnsi="Seaford"/>
        </w:rPr>
      </w:pPr>
      <w:r>
        <w:rPr>
          <w:rFonts w:ascii="Seaford" w:hAnsi="Seaford"/>
        </w:rPr>
        <w:t>The model is correctly specified.</w:t>
      </w:r>
    </w:p>
    <w:p w14:paraId="638CDC9A" w14:textId="77777777" w:rsidR="008A2561" w:rsidRDefault="008A2561" w:rsidP="008A2561">
      <w:pPr>
        <w:pStyle w:val="ListParagraph"/>
        <w:spacing w:after="0" w:line="276" w:lineRule="auto"/>
        <w:rPr>
          <w:rFonts w:ascii="Seaford" w:hAnsi="Seaford"/>
        </w:rPr>
      </w:pPr>
    </w:p>
    <w:p w14:paraId="3BF6F3C1" w14:textId="2640626F" w:rsidR="008A2561" w:rsidRPr="008A2561" w:rsidRDefault="008A2561" w:rsidP="008A2561">
      <w:pPr>
        <w:pStyle w:val="ListParagraph"/>
        <w:spacing w:after="0" w:line="276" w:lineRule="auto"/>
        <w:rPr>
          <w:rFonts w:ascii="Seaford" w:hAnsi="Seaford"/>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t=1, …, n,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∼IID(0,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m:oMathPara>
    </w:p>
    <w:p w14:paraId="3D2BF203" w14:textId="59F04384" w:rsidR="008A2561" w:rsidRDefault="008A2561" w:rsidP="008A2561">
      <w:pPr>
        <w:pStyle w:val="ListParagraph"/>
        <w:spacing w:after="0" w:line="276" w:lineRule="auto"/>
        <w:rPr>
          <w:rFonts w:ascii="Seaford" w:hAnsi="Seaford"/>
        </w:rPr>
      </w:pPr>
    </w:p>
    <w:p w14:paraId="715B0467" w14:textId="4EA0A550" w:rsidR="008A2561" w:rsidRDefault="008A2561" w:rsidP="008A2561">
      <w:pPr>
        <w:spacing w:after="0" w:line="276" w:lineRule="auto"/>
        <w:rPr>
          <w:rFonts w:ascii="Seaford" w:hAnsi="Seaford"/>
        </w:rPr>
      </w:pPr>
      <w:r>
        <w:rPr>
          <w:rFonts w:ascii="Seaford" w:hAnsi="Seaford"/>
        </w:rPr>
        <w:tab/>
        <w:t>Or in a matrix notation:</w:t>
      </w:r>
    </w:p>
    <w:p w14:paraId="03F2C6DB" w14:textId="7F503845" w:rsidR="008A2561" w:rsidRPr="008A2561" w:rsidRDefault="008A2561" w:rsidP="008A2561">
      <w:pPr>
        <w:spacing w:after="0" w:line="276" w:lineRule="auto"/>
        <w:rPr>
          <w:rFonts w:ascii="Seaford" w:hAnsi="Seaford"/>
        </w:rPr>
      </w:pPr>
      <w:r>
        <w:rPr>
          <w:rFonts w:ascii="Seaford" w:hAnsi="Seaford"/>
        </w:rPr>
        <w:tab/>
      </w:r>
      <w:r>
        <w:rPr>
          <w:rFonts w:ascii="Seaford" w:hAnsi="Seaford"/>
        </w:rPr>
        <w:tab/>
      </w:r>
      <w:r>
        <w:rPr>
          <w:rFonts w:ascii="Seaford" w:hAnsi="Seaford"/>
        </w:rPr>
        <w:tab/>
      </w:r>
    </w:p>
    <w:p w14:paraId="28B305E5" w14:textId="688D9243" w:rsidR="008A2561" w:rsidRPr="008A2561" w:rsidRDefault="008A2561" w:rsidP="008A2561">
      <w:pPr>
        <w:pStyle w:val="ListParagraph"/>
        <w:spacing w:after="0" w:line="276" w:lineRule="auto"/>
        <w:rPr>
          <w:rFonts w:ascii="Seaford" w:hAnsi="Seaford"/>
        </w:rPr>
      </w:pPr>
      <m:oMathPara>
        <m:oMath>
          <m:r>
            <m:rPr>
              <m:sty m:val="bi"/>
            </m:rPr>
            <w:rPr>
              <w:rFonts w:ascii="Cambria Math" w:hAnsi="Cambria Math"/>
            </w:rPr>
            <m:t>Y=Xβ+u, u</m:t>
          </m:r>
          <m:r>
            <w:rPr>
              <w:rFonts w:ascii="Cambria Math" w:hAnsi="Cambria Math"/>
            </w:rPr>
            <m:t>∼</m:t>
          </m:r>
          <m:r>
            <m:rPr>
              <m:sty m:val="bi"/>
            </m:rPr>
            <w:rPr>
              <w:rFonts w:ascii="Cambria Math" w:hAnsi="Cambria Math"/>
            </w:rPr>
            <m:t>IID</m:t>
          </m:r>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m:rPr>
              <m:sty m:val="bi"/>
            </m:rPr>
            <w:rPr>
              <w:rFonts w:ascii="Cambria Math" w:hAnsi="Cambria Math"/>
            </w:rPr>
            <m:t>I</m:t>
          </m:r>
          <m:r>
            <w:rPr>
              <w:rFonts w:ascii="Cambria Math" w:hAnsi="Cambria Math"/>
            </w:rPr>
            <m:t xml:space="preserve">) </m:t>
          </m:r>
        </m:oMath>
      </m:oMathPara>
    </w:p>
    <w:p w14:paraId="054B3097" w14:textId="3093CC5A" w:rsidR="008A2561" w:rsidRDefault="008A2561" w:rsidP="008A2561">
      <w:pPr>
        <w:pStyle w:val="ListParagraph"/>
        <w:spacing w:after="0" w:line="276" w:lineRule="auto"/>
        <w:rPr>
          <w:rFonts w:ascii="Seaford" w:hAnsi="Seaford"/>
        </w:rPr>
      </w:pPr>
    </w:p>
    <w:p w14:paraId="311354B7" w14:textId="4DA5B6EA" w:rsidR="008A2561" w:rsidRDefault="008A2561" w:rsidP="008A2561">
      <w:pPr>
        <w:pStyle w:val="ListParagraph"/>
        <w:spacing w:after="0" w:line="276" w:lineRule="auto"/>
        <w:rPr>
          <w:rFonts w:ascii="Seaford" w:hAnsi="Seaford"/>
        </w:rPr>
      </w:pPr>
    </w:p>
    <w:p w14:paraId="6966FEF4" w14:textId="77ACE73B" w:rsidR="008A2561" w:rsidRDefault="008A2561" w:rsidP="008A2561">
      <w:pPr>
        <w:pStyle w:val="ListParagraph"/>
        <w:numPr>
          <w:ilvl w:val="0"/>
          <w:numId w:val="2"/>
        </w:numPr>
        <w:spacing w:after="0" w:line="276" w:lineRule="auto"/>
        <w:rPr>
          <w:rFonts w:ascii="Seaford" w:hAnsi="Seaford"/>
        </w:rPr>
      </w:pPr>
      <w:r>
        <w:rPr>
          <w:rFonts w:ascii="Seaford" w:hAnsi="Seaford"/>
        </w:rPr>
        <w:t>The expected value of the error term is zero:</w:t>
      </w:r>
    </w:p>
    <w:p w14:paraId="3F2FA9FC" w14:textId="22990396" w:rsidR="008A2561" w:rsidRDefault="008A2561" w:rsidP="008A2561">
      <w:pPr>
        <w:pStyle w:val="ListParagraph"/>
        <w:spacing w:after="0" w:line="276" w:lineRule="auto"/>
        <w:rPr>
          <w:rFonts w:ascii="Seaford" w:hAnsi="Seaford"/>
        </w:rPr>
      </w:pPr>
    </w:p>
    <w:p w14:paraId="632B5F91" w14:textId="1F97C771" w:rsidR="008A2561" w:rsidRDefault="00A5334E" w:rsidP="00A5334E">
      <w:pPr>
        <w:pStyle w:val="ListParagraph"/>
        <w:spacing w:after="0" w:line="276" w:lineRule="auto"/>
        <w:jc w:val="center"/>
        <w:rPr>
          <w:rFonts w:ascii="Seaford" w:hAnsi="Seaford"/>
        </w:rPr>
      </w:pPr>
      <m:oMath>
        <m:r>
          <w:rPr>
            <w:rFonts w:ascii="Cambria Math" w:hAnsi="Cambria Math"/>
          </w:rPr>
          <m:t>E</m:t>
        </m:r>
        <m:d>
          <m:dPr>
            <m:ctrlPr>
              <w:rPr>
                <w:rFonts w:ascii="Cambria Math" w:hAnsi="Cambria Math"/>
                <w:i/>
              </w:rPr>
            </m:ctrlPr>
          </m:dPr>
          <m:e>
            <w:bookmarkStart w:id="0" w:name="_Hlk75943460"/>
            <m:sSub>
              <m:sSubPr>
                <m:ctrlPr>
                  <w:rPr>
                    <w:rFonts w:ascii="Cambria Math" w:hAnsi="Cambria Math"/>
                    <w:i/>
                  </w:rPr>
                </m:ctrlPr>
              </m:sSubPr>
              <m:e>
                <m:r>
                  <w:rPr>
                    <w:rFonts w:ascii="Cambria Math" w:hAnsi="Cambria Math"/>
                  </w:rPr>
                  <m:t>u</m:t>
                </m:r>
              </m:e>
              <m:sub>
                <m:r>
                  <w:rPr>
                    <w:rFonts w:ascii="Cambria Math" w:hAnsi="Cambria Math"/>
                  </w:rPr>
                  <m:t>t</m:t>
                </m:r>
              </m:sub>
            </m:sSub>
            <w:bookmarkEnd w:id="0"/>
          </m:e>
        </m:d>
        <m:r>
          <w:rPr>
            <w:rFonts w:ascii="Cambria Math" w:hAnsi="Cambria Math"/>
          </w:rPr>
          <m:t>for all t</m:t>
        </m:r>
      </m:oMath>
      <w:r>
        <w:rPr>
          <w:rFonts w:ascii="Seaford" w:hAnsi="Seaford"/>
        </w:rPr>
        <w:t xml:space="preserve">, or </w:t>
      </w:r>
      <m:oMath>
        <m:r>
          <w:rPr>
            <w:rFonts w:ascii="Cambria Math" w:hAnsi="Cambria Math"/>
          </w:rPr>
          <m:t>E</m:t>
        </m:r>
        <m:d>
          <m:dPr>
            <m:ctrlPr>
              <w:rPr>
                <w:rFonts w:ascii="Cambria Math" w:hAnsi="Cambria Math"/>
                <w:i/>
              </w:rPr>
            </m:ctrlPr>
          </m:dPr>
          <m:e>
            <m:r>
              <m:rPr>
                <m:sty m:val="bi"/>
              </m:rPr>
              <w:rPr>
                <w:rFonts w:ascii="Cambria Math" w:hAnsi="Cambria Math"/>
              </w:rPr>
              <m:t>u</m:t>
            </m:r>
          </m:e>
        </m:d>
        <m:r>
          <w:rPr>
            <w:rFonts w:ascii="Cambria Math" w:hAnsi="Cambria Math"/>
          </w:rPr>
          <m:t>=0</m:t>
        </m:r>
      </m:oMath>
    </w:p>
    <w:p w14:paraId="1CCB0F8C" w14:textId="77777777" w:rsidR="00A5334E" w:rsidRDefault="00A5334E" w:rsidP="008A2561">
      <w:pPr>
        <w:pStyle w:val="ListParagraph"/>
        <w:spacing w:after="0" w:line="276" w:lineRule="auto"/>
        <w:rPr>
          <w:rFonts w:ascii="Seaford" w:hAnsi="Seaford"/>
        </w:rPr>
      </w:pPr>
    </w:p>
    <w:p w14:paraId="5D65A2C7" w14:textId="0AE6B1CB" w:rsidR="008A2561" w:rsidRDefault="00A5334E" w:rsidP="00A5334E">
      <w:pPr>
        <w:pStyle w:val="ListParagraph"/>
        <w:numPr>
          <w:ilvl w:val="0"/>
          <w:numId w:val="2"/>
        </w:numPr>
        <w:spacing w:after="0" w:line="276" w:lineRule="auto"/>
        <w:rPr>
          <w:rFonts w:ascii="Seaford" w:hAnsi="Seaford"/>
        </w:rPr>
      </w:pPr>
      <w:r>
        <w:rPr>
          <w:rFonts w:ascii="Seaford" w:hAnsi="Seaford"/>
        </w:rPr>
        <w:t>Spherical variance-covariance matrix, e.g., no serial correlation and Heteroskedasticity:</w:t>
      </w:r>
    </w:p>
    <w:p w14:paraId="591CADC0" w14:textId="77777777" w:rsidR="00A5334E" w:rsidRDefault="00A5334E" w:rsidP="00A5334E">
      <w:pPr>
        <w:pStyle w:val="ListParagraph"/>
        <w:spacing w:after="0" w:line="276" w:lineRule="auto"/>
        <w:rPr>
          <w:rFonts w:ascii="Seaford" w:hAnsi="Seaford"/>
        </w:rPr>
      </w:pPr>
    </w:p>
    <w:p w14:paraId="06756E90" w14:textId="511F0A7C" w:rsidR="00A5334E" w:rsidRDefault="00A5334E" w:rsidP="00A5334E">
      <w:pPr>
        <w:pStyle w:val="ListParagraph"/>
        <w:spacing w:after="0" w:line="276" w:lineRule="auto"/>
        <w:jc w:val="center"/>
        <w:rPr>
          <w:rFonts w:ascii="Seaford" w:hAnsi="Seaford"/>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t-j</m:t>
                </m:r>
              </m:sub>
            </m:sSub>
          </m:e>
        </m:d>
        <m:r>
          <w:rPr>
            <w:rFonts w:ascii="Cambria Math" w:hAnsi="Cambria Math"/>
          </w:rPr>
          <m:t>=0</m:t>
        </m:r>
      </m:oMath>
      <w:r>
        <w:rPr>
          <w:rFonts w:ascii="Seaford" w:hAnsi="Seaford"/>
        </w:rPr>
        <w:t>, when</w:t>
      </w:r>
      <m:oMath>
        <m:r>
          <w:rPr>
            <w:rFonts w:ascii="Cambria Math" w:hAnsi="Cambria Math"/>
          </w:rPr>
          <m:t xml:space="preserve"> j</m:t>
        </m:r>
        <m:r>
          <w:rPr>
            <w:rFonts w:ascii="Cambria Math" w:hAnsi="Cambria Math"/>
          </w:rPr>
          <m:t>≥</m:t>
        </m:r>
        <m:r>
          <w:rPr>
            <w:rFonts w:ascii="Cambria Math" w:hAnsi="Cambria Math"/>
          </w:rPr>
          <m:t>1</m:t>
        </m:r>
      </m:oMath>
    </w:p>
    <w:p w14:paraId="724F19B3" w14:textId="7023667A" w:rsidR="00A5334E" w:rsidRDefault="00A5334E" w:rsidP="00A5334E">
      <w:pPr>
        <w:pStyle w:val="ListParagraph"/>
        <w:spacing w:after="0" w:line="276" w:lineRule="auto"/>
        <w:jc w:val="center"/>
        <w:rPr>
          <w:rFonts w:ascii="Seaford" w:hAnsi="Seaford"/>
        </w:rPr>
      </w:pPr>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t-j</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Pr>
          <w:rFonts w:ascii="Seaford" w:hAnsi="Seaford"/>
        </w:rPr>
        <w:t>, when</w:t>
      </w:r>
      <m:oMath>
        <m:r>
          <w:rPr>
            <w:rFonts w:ascii="Cambria Math" w:hAnsi="Cambria Math"/>
          </w:rPr>
          <m:t xml:space="preserve"> j</m:t>
        </m:r>
        <m:r>
          <w:rPr>
            <w:rFonts w:ascii="Cambria Math" w:hAnsi="Cambria Math"/>
          </w:rPr>
          <m:t>=0</m:t>
        </m:r>
      </m:oMath>
    </w:p>
    <w:p w14:paraId="0B720D2A" w14:textId="77777777" w:rsidR="008A2561" w:rsidRPr="008A2561" w:rsidRDefault="008A2561" w:rsidP="008A2561">
      <w:pPr>
        <w:pStyle w:val="ListParagraph"/>
        <w:spacing w:after="0" w:line="276" w:lineRule="auto"/>
        <w:rPr>
          <w:rFonts w:ascii="Seaford" w:hAnsi="Seaford"/>
        </w:rPr>
      </w:pPr>
    </w:p>
    <w:p w14:paraId="622E115B" w14:textId="4EAB34AB" w:rsidR="009B69DB" w:rsidRDefault="00A5334E" w:rsidP="00197A22">
      <w:pPr>
        <w:spacing w:after="0" w:line="276" w:lineRule="auto"/>
        <w:rPr>
          <w:rFonts w:ascii="Seaford" w:hAnsi="Seaford"/>
        </w:rPr>
      </w:pPr>
      <w:r>
        <w:rPr>
          <w:rFonts w:ascii="Seaford" w:hAnsi="Seaford"/>
        </w:rPr>
        <w:t>Or</w:t>
      </w:r>
    </w:p>
    <w:p w14:paraId="0325BBFB" w14:textId="12D67F9C" w:rsidR="00A5334E" w:rsidRDefault="00A5334E" w:rsidP="00197A22">
      <w:pPr>
        <w:spacing w:after="0" w:line="276" w:lineRule="auto"/>
        <w:rPr>
          <w:rFonts w:ascii="Seaford" w:hAnsi="Seaford"/>
        </w:rPr>
      </w:pPr>
      <m:oMathPara>
        <m:oMath>
          <m:r>
            <w:rPr>
              <w:rFonts w:ascii="Cambria Math" w:hAnsi="Cambria Math"/>
            </w:rPr>
            <m:t>E</m:t>
          </m:r>
          <m:d>
            <m:dPr>
              <m:ctrlPr>
                <w:rPr>
                  <w:rFonts w:ascii="Cambria Math" w:hAnsi="Cambria Math"/>
                  <w:b/>
                  <w:bCs/>
                  <w:i/>
                </w:rPr>
              </m:ctrlPr>
            </m:dPr>
            <m:e>
              <m:r>
                <m:rPr>
                  <m:sty m:val="bi"/>
                </m:rPr>
                <w:rPr>
                  <w:rFonts w:ascii="Cambria Math" w:hAnsi="Cambria Math"/>
                </w:rPr>
                <m:t>uu'</m:t>
              </m:r>
            </m:e>
          </m:d>
          <m:r>
            <m:rPr>
              <m:sty m:val="bi"/>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m:rPr>
              <m:sty m:val="bi"/>
            </m:rPr>
            <w:rPr>
              <w:rFonts w:ascii="Cambria Math" w:hAnsi="Cambria Math"/>
            </w:rPr>
            <m:t>I</m:t>
          </m:r>
        </m:oMath>
      </m:oMathPara>
    </w:p>
    <w:p w14:paraId="26ABF89D" w14:textId="77777777" w:rsidR="00A5334E" w:rsidRDefault="00A5334E" w:rsidP="00197A22">
      <w:pPr>
        <w:spacing w:after="0" w:line="276" w:lineRule="auto"/>
        <w:rPr>
          <w:rFonts w:ascii="Seaford" w:hAnsi="Seaford"/>
        </w:rPr>
      </w:pPr>
    </w:p>
    <w:p w14:paraId="0CE305CC" w14:textId="7CB4B970" w:rsidR="00177CE5" w:rsidRDefault="007F1B03" w:rsidP="00177CE5">
      <w:pPr>
        <w:pStyle w:val="ListParagraph"/>
        <w:numPr>
          <w:ilvl w:val="0"/>
          <w:numId w:val="2"/>
        </w:numPr>
        <w:spacing w:after="0" w:line="276" w:lineRule="auto"/>
        <w:rPr>
          <w:rFonts w:ascii="Seaford" w:hAnsi="Seaford"/>
        </w:rPr>
      </w:pPr>
      <w:r>
        <w:rPr>
          <w:rFonts w:ascii="Seaford" w:hAnsi="Seaford"/>
        </w:rPr>
        <w:t>Exogeneity or fixed regressor in repeated samples</w:t>
      </w:r>
      <w:r w:rsidR="00177CE5">
        <w:rPr>
          <w:rFonts w:ascii="Seaford" w:hAnsi="Seaford"/>
        </w:rPr>
        <w:t>:</w:t>
      </w:r>
    </w:p>
    <w:p w14:paraId="3C3AF56C" w14:textId="4FF6C7DF" w:rsidR="00177CE5" w:rsidRDefault="00177CE5" w:rsidP="00177CE5">
      <w:pPr>
        <w:spacing w:after="0" w:line="276" w:lineRule="auto"/>
        <w:rPr>
          <w:rFonts w:ascii="Seaford" w:hAnsi="Seaford"/>
        </w:rPr>
      </w:pPr>
    </w:p>
    <w:p w14:paraId="77F6EBCA" w14:textId="6D684D84" w:rsidR="006F6228" w:rsidRDefault="00177CE5" w:rsidP="00177CE5">
      <w:pPr>
        <w:spacing w:after="0" w:line="276" w:lineRule="auto"/>
        <w:rPr>
          <w:rFonts w:ascii="Seaford" w:hAnsi="Seaford"/>
        </w:rPr>
      </w:pPr>
      <w:r>
        <w:rPr>
          <w:rFonts w:ascii="Seaford" w:hAnsi="Seaford"/>
        </w:rPr>
        <w:t>When we assume ‘</w:t>
      </w:r>
      <w:r>
        <w:rPr>
          <w:rFonts w:ascii="Seaford" w:hAnsi="Seaford"/>
        </w:rPr>
        <w:t>fixed regressor in repeated samples</w:t>
      </w:r>
      <w:r>
        <w:rPr>
          <w:rFonts w:ascii="Seaford" w:hAnsi="Seaford"/>
        </w:rPr>
        <w:t>’, we assume that we can redraw the observations with the same explanatory variable values</w:t>
      </w:r>
      <w:r w:rsidR="001077CA">
        <w:rPr>
          <w:rFonts w:ascii="Seaford" w:hAnsi="Seaford"/>
        </w:rPr>
        <w:t xml:space="preserve"> (e.g., we are interested in the impact of each state’s economy on their residents’ salary. Thus, every time we redraw the sample from a new cohort of people in those states, we keep the variable for the states’ economy as fixed. In this example we exhaust the population of the regressor). T</w:t>
      </w:r>
      <w:r>
        <w:rPr>
          <w:rFonts w:ascii="Seaford" w:hAnsi="Seaford"/>
        </w:rPr>
        <w:t xml:space="preserve">his is an assumption stronger than </w:t>
      </w:r>
      <w:r w:rsidR="006F6228">
        <w:rPr>
          <w:rFonts w:ascii="Seaford" w:hAnsi="Seaford"/>
        </w:rPr>
        <w:t xml:space="preserve">independence between the regressor and the error terms, which is stronger than exogeneity, which is stronger than </w:t>
      </w:r>
      <w:proofErr w:type="spellStart"/>
      <w:r w:rsidR="006F6228">
        <w:rPr>
          <w:rFonts w:ascii="Seaford" w:hAnsi="Seaford"/>
        </w:rPr>
        <w:t>predeterminedness</w:t>
      </w:r>
      <w:proofErr w:type="spellEnd"/>
      <w:r w:rsidR="006F6228">
        <w:rPr>
          <w:rFonts w:ascii="Seaford" w:hAnsi="Seaford"/>
        </w:rPr>
        <w:t xml:space="preserve">. Note that, </w:t>
      </w:r>
      <w:proofErr w:type="spellStart"/>
      <w:r w:rsidR="006F6228">
        <w:rPr>
          <w:rFonts w:ascii="Seaford" w:hAnsi="Seaford"/>
        </w:rPr>
        <w:t>predeterminedness</w:t>
      </w:r>
      <w:proofErr w:type="spellEnd"/>
      <w:r w:rsidR="006F6228">
        <w:rPr>
          <w:rFonts w:ascii="Seaford" w:hAnsi="Seaford"/>
        </w:rPr>
        <w:t xml:space="preserve"> indicates that:</w:t>
      </w:r>
    </w:p>
    <w:p w14:paraId="7892A5B3" w14:textId="2CEBC282" w:rsidR="006F6228" w:rsidRDefault="006F6228" w:rsidP="00177CE5">
      <w:pPr>
        <w:spacing w:after="0" w:line="276" w:lineRule="auto"/>
        <w:rPr>
          <w:rFonts w:ascii="Seaford" w:hAnsi="Seaford"/>
        </w:rPr>
      </w:pPr>
    </w:p>
    <w:p w14:paraId="5182AAB6" w14:textId="06277021" w:rsidR="006F6228" w:rsidRPr="006F6228" w:rsidRDefault="006F6228" w:rsidP="006F6228">
      <w:pPr>
        <w:pStyle w:val="ListParagraph"/>
        <w:spacing w:after="0" w:line="276" w:lineRule="auto"/>
        <w:jc w:val="center"/>
        <w:rPr>
          <w:rFonts w:ascii="Seaford" w:hAnsi="Seaford"/>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m:oMathPara>
    </w:p>
    <w:p w14:paraId="32055FCE" w14:textId="77777777" w:rsidR="006F6228" w:rsidRPr="007F1B03" w:rsidRDefault="006F6228" w:rsidP="006F6228">
      <w:pPr>
        <w:pStyle w:val="ListParagraph"/>
        <w:spacing w:after="0" w:line="276" w:lineRule="auto"/>
        <w:jc w:val="center"/>
        <w:rPr>
          <w:rFonts w:ascii="Seaford" w:hAnsi="Seaford"/>
        </w:rPr>
      </w:pPr>
    </w:p>
    <w:p w14:paraId="6B91C014" w14:textId="22A98E48" w:rsidR="006F6228" w:rsidRPr="00177CE5" w:rsidRDefault="006F6228" w:rsidP="00177CE5">
      <w:pPr>
        <w:spacing w:after="0" w:line="276" w:lineRule="auto"/>
        <w:rPr>
          <w:rFonts w:ascii="Seaford" w:hAnsi="Seaford"/>
        </w:rPr>
      </w:pPr>
      <w:r>
        <w:rPr>
          <w:rFonts w:ascii="Seaford" w:hAnsi="Seaford"/>
        </w:rPr>
        <w:t xml:space="preserve">We assume </w:t>
      </w:r>
      <w:proofErr w:type="spellStart"/>
      <w:r>
        <w:rPr>
          <w:rFonts w:ascii="Seaford" w:hAnsi="Seaford"/>
        </w:rPr>
        <w:t>predeterminedness</w:t>
      </w:r>
      <w:proofErr w:type="spellEnd"/>
      <w:r>
        <w:rPr>
          <w:rFonts w:ascii="Seaford" w:hAnsi="Seaford"/>
        </w:rPr>
        <w:t xml:space="preserve"> when we use the OLS / MM </w:t>
      </w:r>
      <w:proofErr w:type="gramStart"/>
      <w:r>
        <w:rPr>
          <w:rFonts w:ascii="Seaford" w:hAnsi="Seaford"/>
        </w:rPr>
        <w:t>estimator by definition, but</w:t>
      </w:r>
      <w:proofErr w:type="gramEnd"/>
      <w:r>
        <w:rPr>
          <w:rFonts w:ascii="Seaford" w:hAnsi="Seaford"/>
        </w:rPr>
        <w:t xml:space="preserve"> the estimator will have properties such as unbiasedness only when we at least assume exogeneity, e.g., </w:t>
      </w:r>
    </w:p>
    <w:p w14:paraId="265F8690" w14:textId="39BA07C6" w:rsidR="007F1B03" w:rsidRDefault="007F1B03" w:rsidP="007F1B03">
      <w:pPr>
        <w:pStyle w:val="ListParagraph"/>
        <w:spacing w:after="0" w:line="276" w:lineRule="auto"/>
        <w:rPr>
          <w:rFonts w:ascii="Seaford" w:hAnsi="Seaford"/>
        </w:rPr>
      </w:pPr>
    </w:p>
    <w:p w14:paraId="30C8F905" w14:textId="7BCB3949" w:rsidR="007F1B03" w:rsidRPr="007F1B03" w:rsidRDefault="007F1B03" w:rsidP="007F1B03">
      <w:pPr>
        <w:pStyle w:val="ListParagraph"/>
        <w:spacing w:after="0" w:line="276" w:lineRule="auto"/>
        <w:jc w:val="center"/>
        <w:rPr>
          <w:rFonts w:ascii="Seaford" w:hAnsi="Seaford"/>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rPr>
          <w:rFonts w:ascii="Seaford" w:hAnsi="Seaford"/>
        </w:rPr>
        <w:t xml:space="preserve">, where </w:t>
      </w:r>
      <m:oMath>
        <m:r>
          <w:rPr>
            <w:rFonts w:ascii="Cambria Math" w:hAnsi="Cambria Math"/>
          </w:rPr>
          <m:t>j= 0, 1, …</m:t>
        </m:r>
      </m:oMath>
    </w:p>
    <w:p w14:paraId="44C9A2A8" w14:textId="73C8C95A" w:rsidR="00197A22" w:rsidRDefault="00197A22" w:rsidP="00197A22">
      <w:pPr>
        <w:spacing w:after="0" w:line="276" w:lineRule="auto"/>
        <w:rPr>
          <w:rFonts w:ascii="Seaford" w:hAnsi="Seaford"/>
        </w:rPr>
      </w:pPr>
    </w:p>
    <w:p w14:paraId="5706D0A2" w14:textId="3E61A127" w:rsidR="007F1B03" w:rsidRDefault="007F1B03" w:rsidP="00197A22">
      <w:pPr>
        <w:spacing w:after="0" w:line="276" w:lineRule="auto"/>
        <w:rPr>
          <w:rFonts w:ascii="Seaford" w:hAnsi="Seaford"/>
        </w:rPr>
      </w:pPr>
      <w:r>
        <w:rPr>
          <w:rFonts w:ascii="Seaford" w:hAnsi="Seaford"/>
        </w:rPr>
        <w:t>Or</w:t>
      </w:r>
    </w:p>
    <w:p w14:paraId="00E4C9C0" w14:textId="63F21E38" w:rsidR="007F1B03" w:rsidRPr="007F1B03" w:rsidRDefault="007F1B03" w:rsidP="007F1B03">
      <w:pPr>
        <w:pStyle w:val="ListParagraph"/>
        <w:spacing w:after="0" w:line="276" w:lineRule="auto"/>
        <w:rPr>
          <w:rFonts w:ascii="Seaford" w:hAnsi="Seaford"/>
        </w:rPr>
      </w:pPr>
      <m:oMathPara>
        <m:oMath>
          <m:r>
            <w:rPr>
              <w:rFonts w:ascii="Cambria Math" w:hAnsi="Cambria Math"/>
            </w:rPr>
            <m:t>E</m:t>
          </m:r>
          <m:d>
            <m:dPr>
              <m:ctrlPr>
                <w:rPr>
                  <w:rFonts w:ascii="Cambria Math" w:hAnsi="Cambria Math"/>
                  <w:i/>
                </w:rPr>
              </m:ctrlPr>
            </m:dPr>
            <m:e>
              <m:r>
                <m:rPr>
                  <m:sty m:val="bi"/>
                </m:rPr>
                <w:rPr>
                  <w:rFonts w:ascii="Cambria Math" w:hAnsi="Cambria Math"/>
                </w:rPr>
                <m:t>u|X</m:t>
              </m:r>
            </m:e>
          </m:d>
          <m:r>
            <w:rPr>
              <w:rFonts w:ascii="Cambria Math" w:hAnsi="Cambria Math"/>
            </w:rPr>
            <m:t>=E</m:t>
          </m:r>
          <m:d>
            <m:dPr>
              <m:ctrlPr>
                <w:rPr>
                  <w:rFonts w:ascii="Cambria Math" w:hAnsi="Cambria Math"/>
                  <w:i/>
                </w:rPr>
              </m:ctrlPr>
            </m:dPr>
            <m:e>
              <m:r>
                <m:rPr>
                  <m:sty m:val="bi"/>
                </m:rPr>
                <w:rPr>
                  <w:rFonts w:ascii="Cambria Math" w:hAnsi="Cambria Math"/>
                </w:rPr>
                <m:t>X</m:t>
              </m:r>
            </m:e>
          </m:d>
        </m:oMath>
      </m:oMathPara>
    </w:p>
    <w:p w14:paraId="5984BFEA" w14:textId="3EEA5347" w:rsidR="00197A22" w:rsidRDefault="00197A22" w:rsidP="00197A22">
      <w:pPr>
        <w:spacing w:after="0" w:line="276" w:lineRule="auto"/>
        <w:rPr>
          <w:rFonts w:ascii="Seaford" w:hAnsi="Seaford"/>
        </w:rPr>
      </w:pPr>
    </w:p>
    <w:p w14:paraId="3E89986B" w14:textId="3FA9219B" w:rsidR="008A2561" w:rsidRDefault="008A2561" w:rsidP="00197A22">
      <w:pPr>
        <w:spacing w:after="0" w:line="276" w:lineRule="auto"/>
        <w:rPr>
          <w:rFonts w:ascii="Seaford" w:hAnsi="Seaford"/>
        </w:rPr>
      </w:pPr>
    </w:p>
    <w:p w14:paraId="15001C1D" w14:textId="406B80FB" w:rsidR="007F1B03" w:rsidRDefault="007F1B03" w:rsidP="007F1B03">
      <w:pPr>
        <w:pStyle w:val="ListParagraph"/>
        <w:numPr>
          <w:ilvl w:val="0"/>
          <w:numId w:val="2"/>
        </w:numPr>
        <w:spacing w:after="0" w:line="276" w:lineRule="auto"/>
        <w:rPr>
          <w:rFonts w:ascii="Seaford" w:hAnsi="Seaford"/>
        </w:rPr>
      </w:pPr>
      <w:r>
        <w:rPr>
          <w:rFonts w:ascii="Seaford" w:hAnsi="Seaford"/>
        </w:rPr>
        <w:t>No perfect multicollinearity</w:t>
      </w:r>
    </w:p>
    <w:p w14:paraId="774003FB" w14:textId="1ED80A20" w:rsidR="007F1B03" w:rsidRDefault="007F1B03" w:rsidP="007F1B03">
      <w:pPr>
        <w:spacing w:after="0" w:line="276" w:lineRule="auto"/>
        <w:rPr>
          <w:rFonts w:ascii="Seaford" w:hAnsi="Seaford"/>
        </w:rPr>
      </w:pPr>
    </w:p>
    <w:p w14:paraId="610940DE" w14:textId="10D747EF" w:rsidR="007F1B03" w:rsidRDefault="007F1B03" w:rsidP="007F1B03">
      <w:pPr>
        <w:spacing w:after="0" w:line="276" w:lineRule="auto"/>
        <w:rPr>
          <w:rFonts w:ascii="Seaford" w:hAnsi="Seaford"/>
        </w:rPr>
      </w:pPr>
    </w:p>
    <w:p w14:paraId="2DEF4E41" w14:textId="5099D074" w:rsidR="00FB3F8C" w:rsidRDefault="00FB3F8C" w:rsidP="007F1B03">
      <w:pPr>
        <w:spacing w:after="0" w:line="276" w:lineRule="auto"/>
        <w:rPr>
          <w:rFonts w:ascii="Seaford" w:hAnsi="Seaford"/>
        </w:rPr>
      </w:pPr>
    </w:p>
    <w:p w14:paraId="37DEDEDD" w14:textId="101653C1" w:rsidR="00FB3F8C" w:rsidRDefault="00FB3F8C" w:rsidP="007F1B03">
      <w:pPr>
        <w:spacing w:after="0" w:line="276" w:lineRule="auto"/>
        <w:rPr>
          <w:rFonts w:ascii="Seaford" w:hAnsi="Seaford"/>
        </w:rPr>
      </w:pPr>
      <w:r>
        <w:rPr>
          <w:rFonts w:ascii="Seaford" w:hAnsi="Seaford"/>
        </w:rPr>
        <w:t>OLS has the following properties:</w:t>
      </w:r>
    </w:p>
    <w:p w14:paraId="4397D3C7" w14:textId="32A449C4" w:rsidR="00FB3F8C" w:rsidRDefault="00FB3F8C" w:rsidP="007F1B03">
      <w:pPr>
        <w:spacing w:after="0" w:line="276" w:lineRule="auto"/>
        <w:rPr>
          <w:rFonts w:ascii="Seaford" w:hAnsi="Seaford"/>
        </w:rPr>
      </w:pPr>
    </w:p>
    <w:p w14:paraId="63AEC130" w14:textId="2B495109" w:rsidR="00FB3F8C" w:rsidRDefault="00FB3F8C" w:rsidP="00FB3F8C">
      <w:pPr>
        <w:pStyle w:val="ListParagraph"/>
        <w:numPr>
          <w:ilvl w:val="0"/>
          <w:numId w:val="3"/>
        </w:numPr>
        <w:spacing w:after="0" w:line="276" w:lineRule="auto"/>
        <w:rPr>
          <w:rFonts w:ascii="Seaford" w:hAnsi="Seaford"/>
        </w:rPr>
      </w:pPr>
      <w:r>
        <w:rPr>
          <w:rFonts w:ascii="Seaford" w:hAnsi="Seaford"/>
        </w:rPr>
        <w:t>Low computational cost</w:t>
      </w:r>
    </w:p>
    <w:p w14:paraId="36B69E63" w14:textId="3B459DF4" w:rsidR="00FB3F8C" w:rsidRDefault="00FB3F8C" w:rsidP="00FB3F8C">
      <w:pPr>
        <w:pStyle w:val="ListParagraph"/>
        <w:numPr>
          <w:ilvl w:val="0"/>
          <w:numId w:val="3"/>
        </w:numPr>
        <w:spacing w:after="0" w:line="276" w:lineRule="auto"/>
        <w:rPr>
          <w:rFonts w:ascii="Seaford" w:hAnsi="Seaford"/>
        </w:rPr>
      </w:pPr>
      <w:r>
        <w:rPr>
          <w:rFonts w:ascii="Seaford" w:hAnsi="Seaford"/>
        </w:rPr>
        <w:t>Least square by definition</w:t>
      </w:r>
    </w:p>
    <w:p w14:paraId="78C96C82" w14:textId="0B455871" w:rsidR="00FB3F8C" w:rsidRDefault="00FB3F8C" w:rsidP="00FB3F8C">
      <w:pPr>
        <w:pStyle w:val="ListParagraph"/>
        <w:numPr>
          <w:ilvl w:val="0"/>
          <w:numId w:val="3"/>
        </w:numPr>
        <w:spacing w:after="0" w:line="276" w:lineRule="auto"/>
        <w:rPr>
          <w:rFonts w:ascii="Seaford" w:hAnsi="Seaford"/>
        </w:rPr>
      </w:pPr>
      <w:r>
        <w:rPr>
          <w:rFonts w:ascii="Seaford" w:hAnsi="Seaford"/>
        </w:rPr>
        <w:t xml:space="preserve">Highest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7E5E9F9E" w14:textId="52536444" w:rsidR="00FB3F8C" w:rsidRDefault="00EF7B84" w:rsidP="00FB3F8C">
      <w:pPr>
        <w:pStyle w:val="ListParagraph"/>
        <w:numPr>
          <w:ilvl w:val="0"/>
          <w:numId w:val="3"/>
        </w:numPr>
        <w:spacing w:after="0" w:line="276" w:lineRule="auto"/>
        <w:rPr>
          <w:rFonts w:ascii="Seaford" w:hAnsi="Seaford"/>
        </w:rPr>
      </w:pPr>
      <w:r>
        <w:rPr>
          <w:rFonts w:ascii="Seaford" w:hAnsi="Seaford"/>
        </w:rPr>
        <w:t>BLUE, when the assumptions above are valid.</w:t>
      </w:r>
    </w:p>
    <w:p w14:paraId="643A57A6" w14:textId="206B2010" w:rsidR="00EF7B84" w:rsidRDefault="008D0919" w:rsidP="00FB3F8C">
      <w:pPr>
        <w:pStyle w:val="ListParagraph"/>
        <w:numPr>
          <w:ilvl w:val="0"/>
          <w:numId w:val="3"/>
        </w:numPr>
        <w:spacing w:after="0" w:line="276" w:lineRule="auto"/>
        <w:rPr>
          <w:rFonts w:ascii="Seaford" w:hAnsi="Seaford"/>
        </w:rPr>
      </w:pPr>
      <w:r>
        <w:rPr>
          <w:rFonts w:ascii="Seaford" w:hAnsi="Seaford"/>
        </w:rPr>
        <w:t>MSE of the parameters. OLS is unbiased, but some other biased estimator may yield smaller MSE of the parameters.</w:t>
      </w:r>
    </w:p>
    <w:p w14:paraId="48B9D9F5" w14:textId="347BCA50" w:rsidR="008D0919" w:rsidRDefault="008D0919" w:rsidP="00FB3F8C">
      <w:pPr>
        <w:pStyle w:val="ListParagraph"/>
        <w:numPr>
          <w:ilvl w:val="0"/>
          <w:numId w:val="3"/>
        </w:numPr>
        <w:spacing w:after="0" w:line="276" w:lineRule="auto"/>
        <w:rPr>
          <w:rFonts w:ascii="Seaford" w:hAnsi="Seaford"/>
        </w:rPr>
      </w:pPr>
      <w:r>
        <w:rPr>
          <w:rFonts w:ascii="Seaford" w:hAnsi="Seaford"/>
        </w:rPr>
        <w:t>OLS is unbiased in finite samples and asymptotically. It is consistent. It is also efficient asymptotically efficient in the CNLR model.</w:t>
      </w:r>
    </w:p>
    <w:p w14:paraId="0C0D23ED" w14:textId="1DFC1B87" w:rsidR="008D0919" w:rsidRPr="00FB3F8C" w:rsidRDefault="008D0919" w:rsidP="00FB3F8C">
      <w:pPr>
        <w:pStyle w:val="ListParagraph"/>
        <w:numPr>
          <w:ilvl w:val="0"/>
          <w:numId w:val="3"/>
        </w:numPr>
        <w:spacing w:after="0" w:line="276" w:lineRule="auto"/>
        <w:rPr>
          <w:rFonts w:ascii="Seaford" w:hAnsi="Seaford"/>
        </w:rPr>
      </w:pPr>
      <w:r>
        <w:rPr>
          <w:rFonts w:ascii="Seaford" w:hAnsi="Seaford"/>
        </w:rPr>
        <w:lastRenderedPageBreak/>
        <w:t xml:space="preserve">ML. we cannot calculate the maximum likelihood based on the assumptions of the CLR model as it does not specify the distribution of the error terms. However, if we can assume the error terms are normally distributed, then </w:t>
      </w:r>
      <m:oMath>
        <m:sSup>
          <m:sSupPr>
            <m:ctrlPr>
              <w:rPr>
                <w:rFonts w:ascii="Cambria Math" w:hAnsi="Cambria Math"/>
                <w:i/>
              </w:rPr>
            </m:ctrlPr>
          </m:sSupPr>
          <m:e>
            <m:r>
              <m:rPr>
                <m:sty m:val="bi"/>
              </m:rPr>
              <w:rPr>
                <w:rFonts w:ascii="Cambria Math" w:hAnsi="Cambria Math"/>
              </w:rPr>
              <m:t>β</m:t>
            </m:r>
          </m:e>
          <m:sup>
            <m:r>
              <w:rPr>
                <w:rFonts w:ascii="Cambria Math" w:hAnsi="Cambria Math"/>
              </w:rPr>
              <m:t>MLE</m:t>
            </m:r>
          </m:sup>
        </m:sSup>
      </m:oMath>
      <w:r w:rsidRPr="008D0919">
        <w:rPr>
          <w:rFonts w:ascii="Seaford" w:hAnsi="Seaford"/>
        </w:rPr>
        <w:t xml:space="preserve"> is equivalent to </w:t>
      </w:r>
      <m:oMath>
        <m:sSup>
          <m:sSupPr>
            <m:ctrlPr>
              <w:rPr>
                <w:rFonts w:ascii="Cambria Math" w:hAnsi="Cambria Math"/>
                <w:i/>
              </w:rPr>
            </m:ctrlPr>
          </m:sSupPr>
          <m:e>
            <m:r>
              <m:rPr>
                <m:sty m:val="bi"/>
              </m:rPr>
              <w:rPr>
                <w:rFonts w:ascii="Cambria Math" w:hAnsi="Cambria Math"/>
              </w:rPr>
              <m:t>β</m:t>
            </m:r>
          </m:e>
          <m:sup>
            <m:r>
              <w:rPr>
                <w:rFonts w:ascii="Cambria Math" w:hAnsi="Cambria Math"/>
              </w:rPr>
              <m:t>OLS</m:t>
            </m:r>
          </m:sup>
        </m:sSup>
      </m:oMath>
    </w:p>
    <w:p w14:paraId="1C751DEE" w14:textId="540A0714" w:rsidR="007F1B03" w:rsidRDefault="007F1B03" w:rsidP="007F1B03">
      <w:pPr>
        <w:spacing w:after="0" w:line="276" w:lineRule="auto"/>
        <w:rPr>
          <w:rFonts w:ascii="Seaford" w:hAnsi="Seaford"/>
        </w:rPr>
      </w:pPr>
    </w:p>
    <w:p w14:paraId="1FBE7F61" w14:textId="77777777" w:rsidR="007F1B03" w:rsidRPr="007F1B03" w:rsidRDefault="007F1B03" w:rsidP="007F1B03">
      <w:pPr>
        <w:spacing w:after="0" w:line="276" w:lineRule="auto"/>
        <w:rPr>
          <w:rFonts w:ascii="Seaford" w:hAnsi="Seaford"/>
        </w:rPr>
      </w:pPr>
    </w:p>
    <w:p w14:paraId="6CC7C3CF" w14:textId="46AFBD3B" w:rsidR="008A2561" w:rsidRDefault="008A2561" w:rsidP="00197A22">
      <w:pPr>
        <w:spacing w:after="0" w:line="276" w:lineRule="auto"/>
        <w:rPr>
          <w:rFonts w:ascii="Seaford" w:hAnsi="Seaford"/>
        </w:rPr>
      </w:pPr>
    </w:p>
    <w:p w14:paraId="5EFB62F6" w14:textId="3211356F" w:rsidR="008A2561" w:rsidRDefault="00177CE5" w:rsidP="00197A22">
      <w:pPr>
        <w:spacing w:after="0" w:line="276" w:lineRule="auto"/>
        <w:rPr>
          <w:rFonts w:ascii="Seaford" w:hAnsi="Seaford"/>
        </w:rPr>
      </w:pPr>
      <w:r>
        <w:rPr>
          <w:rFonts w:ascii="Seaford" w:hAnsi="Seaford"/>
        </w:rPr>
        <w:t>The Ballentine is helpful to understand the OLS estimator (e.g., p45, Kennedy, 2008).</w:t>
      </w:r>
    </w:p>
    <w:p w14:paraId="593BA7F5" w14:textId="77777777" w:rsidR="00177CE5" w:rsidRDefault="00177CE5" w:rsidP="00197A22">
      <w:pPr>
        <w:spacing w:after="0" w:line="276" w:lineRule="auto"/>
        <w:rPr>
          <w:rFonts w:ascii="Seaford" w:hAnsi="Seaford"/>
        </w:rPr>
      </w:pPr>
    </w:p>
    <w:p w14:paraId="3DEBE624" w14:textId="1DE8C2A8" w:rsidR="00177CE5" w:rsidRDefault="00177CE5" w:rsidP="00197A22">
      <w:pPr>
        <w:spacing w:after="0" w:line="276" w:lineRule="auto"/>
        <w:rPr>
          <w:rFonts w:ascii="Seaford" w:hAnsi="Seaford"/>
        </w:rPr>
      </w:pPr>
    </w:p>
    <w:p w14:paraId="058056C4" w14:textId="24726DA1" w:rsidR="00177CE5" w:rsidRDefault="00626B6E" w:rsidP="00197A22">
      <w:pPr>
        <w:spacing w:after="0" w:line="276" w:lineRule="auto"/>
        <w:rPr>
          <w:rFonts w:ascii="Seaford" w:hAnsi="Seaford"/>
        </w:rPr>
      </w:pPr>
      <w:r>
        <w:rPr>
          <w:rFonts w:ascii="Seaford" w:hAnsi="Seaford"/>
        </w:rPr>
        <w:t xml:space="preserve">A linear restriction on the parameters of the regression model can be incorporated into a regression buy eliminating one coefficient from that equation and running the resulting regression using transformed variables. </w:t>
      </w:r>
    </w:p>
    <w:p w14:paraId="76FA285C" w14:textId="75EB4D6D" w:rsidR="00626B6E" w:rsidRDefault="00626B6E" w:rsidP="00197A22">
      <w:pPr>
        <w:spacing w:after="0" w:line="276" w:lineRule="auto"/>
        <w:rPr>
          <w:rFonts w:ascii="Seaford" w:hAnsi="Seaford"/>
        </w:rPr>
      </w:pPr>
    </w:p>
    <w:p w14:paraId="5F06401D" w14:textId="77777777" w:rsidR="00626B6E" w:rsidRDefault="00626B6E" w:rsidP="00197A22">
      <w:pPr>
        <w:spacing w:after="0" w:line="276" w:lineRule="auto"/>
        <w:rPr>
          <w:rFonts w:ascii="Seaford" w:hAnsi="Seaford"/>
        </w:rPr>
      </w:pPr>
    </w:p>
    <w:p w14:paraId="2AF61727" w14:textId="3DE30690" w:rsidR="008A2561" w:rsidRDefault="008A2561" w:rsidP="00197A22">
      <w:pPr>
        <w:spacing w:after="0" w:line="276" w:lineRule="auto"/>
        <w:rPr>
          <w:rFonts w:ascii="Seaford" w:hAnsi="Seaford"/>
        </w:rPr>
      </w:pPr>
    </w:p>
    <w:p w14:paraId="497FA285" w14:textId="408AAAD9" w:rsidR="008A2561" w:rsidRDefault="008A2561" w:rsidP="00197A22">
      <w:pPr>
        <w:spacing w:after="0" w:line="276" w:lineRule="auto"/>
        <w:rPr>
          <w:rFonts w:ascii="Seaford" w:hAnsi="Seaford"/>
        </w:rPr>
      </w:pPr>
    </w:p>
    <w:p w14:paraId="22C91B34" w14:textId="1825619A" w:rsidR="008A2561" w:rsidRDefault="008A2561" w:rsidP="00197A22">
      <w:pPr>
        <w:spacing w:after="0" w:line="276" w:lineRule="auto"/>
        <w:rPr>
          <w:rFonts w:ascii="Seaford" w:hAnsi="Seaford"/>
        </w:rPr>
      </w:pPr>
    </w:p>
    <w:p w14:paraId="6D1DFDE6" w14:textId="32A26029" w:rsidR="008A2561" w:rsidRDefault="008A2561" w:rsidP="00197A22">
      <w:pPr>
        <w:spacing w:after="0" w:line="276" w:lineRule="auto"/>
        <w:rPr>
          <w:rFonts w:ascii="Seaford" w:hAnsi="Seaford"/>
        </w:rPr>
      </w:pPr>
    </w:p>
    <w:p w14:paraId="1A4FC543" w14:textId="014F4FF2" w:rsidR="008A2561" w:rsidRDefault="008A2561" w:rsidP="00197A22">
      <w:pPr>
        <w:spacing w:after="0" w:line="276" w:lineRule="auto"/>
        <w:rPr>
          <w:rFonts w:ascii="Seaford" w:hAnsi="Seaford"/>
        </w:rPr>
      </w:pPr>
    </w:p>
    <w:p w14:paraId="5ABA97A8" w14:textId="4358F055" w:rsidR="008A2561" w:rsidRDefault="008A2561" w:rsidP="00197A22">
      <w:pPr>
        <w:spacing w:after="0" w:line="276" w:lineRule="auto"/>
        <w:rPr>
          <w:rFonts w:ascii="Seaford" w:hAnsi="Seaford"/>
        </w:rPr>
      </w:pPr>
    </w:p>
    <w:p w14:paraId="4608CC30" w14:textId="5A8E2913" w:rsidR="008A2561" w:rsidRDefault="008A2561" w:rsidP="00197A22">
      <w:pPr>
        <w:spacing w:after="0" w:line="276" w:lineRule="auto"/>
        <w:rPr>
          <w:rFonts w:ascii="Seaford" w:hAnsi="Seaford"/>
        </w:rPr>
      </w:pPr>
    </w:p>
    <w:p w14:paraId="1ACA9D5D" w14:textId="6A03BBFE" w:rsidR="008A2561" w:rsidRDefault="008A2561" w:rsidP="00197A22">
      <w:pPr>
        <w:spacing w:after="0" w:line="276" w:lineRule="auto"/>
        <w:rPr>
          <w:rFonts w:ascii="Seaford" w:hAnsi="Seaford"/>
        </w:rPr>
      </w:pPr>
    </w:p>
    <w:p w14:paraId="2C4FFCDB" w14:textId="13A42186" w:rsidR="008A2561" w:rsidRDefault="008A2561" w:rsidP="00197A22">
      <w:pPr>
        <w:spacing w:after="0" w:line="276" w:lineRule="auto"/>
        <w:rPr>
          <w:rFonts w:ascii="Seaford" w:hAnsi="Seaford"/>
        </w:rPr>
      </w:pPr>
    </w:p>
    <w:p w14:paraId="1AA6BB7E" w14:textId="097391E4" w:rsidR="008A2561" w:rsidRDefault="008A2561" w:rsidP="00197A22">
      <w:pPr>
        <w:spacing w:after="0" w:line="276" w:lineRule="auto"/>
        <w:rPr>
          <w:rFonts w:ascii="Seaford" w:hAnsi="Seaford"/>
        </w:rPr>
      </w:pPr>
    </w:p>
    <w:p w14:paraId="31B08563" w14:textId="5BF9EB39" w:rsidR="008A2561" w:rsidRDefault="008A2561" w:rsidP="00197A22">
      <w:pPr>
        <w:spacing w:after="0" w:line="276" w:lineRule="auto"/>
        <w:rPr>
          <w:rFonts w:ascii="Seaford" w:hAnsi="Seaford"/>
        </w:rPr>
      </w:pPr>
    </w:p>
    <w:p w14:paraId="1DC1D5C2" w14:textId="3032241B" w:rsidR="008A2561" w:rsidRDefault="008A2561" w:rsidP="00197A22">
      <w:pPr>
        <w:spacing w:after="0" w:line="276" w:lineRule="auto"/>
        <w:rPr>
          <w:rFonts w:ascii="Seaford" w:hAnsi="Seaford"/>
        </w:rPr>
      </w:pPr>
    </w:p>
    <w:p w14:paraId="0E9FF53B" w14:textId="298F8E9C" w:rsidR="008A2561" w:rsidRDefault="008A2561" w:rsidP="00197A22">
      <w:pPr>
        <w:spacing w:after="0" w:line="276" w:lineRule="auto"/>
        <w:rPr>
          <w:rFonts w:ascii="Seaford" w:hAnsi="Seaford"/>
        </w:rPr>
      </w:pPr>
    </w:p>
    <w:p w14:paraId="035EB6AA" w14:textId="63924FE1" w:rsidR="008A2561" w:rsidRDefault="008A2561" w:rsidP="00197A22">
      <w:pPr>
        <w:spacing w:after="0" w:line="276" w:lineRule="auto"/>
        <w:rPr>
          <w:rFonts w:ascii="Seaford" w:hAnsi="Seaford"/>
        </w:rPr>
      </w:pPr>
    </w:p>
    <w:p w14:paraId="7F0F4672" w14:textId="080E9035" w:rsidR="008A2561" w:rsidRDefault="008A2561" w:rsidP="00197A22">
      <w:pPr>
        <w:spacing w:after="0" w:line="276" w:lineRule="auto"/>
        <w:rPr>
          <w:rFonts w:ascii="Seaford" w:hAnsi="Seaford"/>
        </w:rPr>
      </w:pPr>
    </w:p>
    <w:p w14:paraId="31BF006B" w14:textId="077FE76F" w:rsidR="008A2561" w:rsidRDefault="008A2561" w:rsidP="00197A22">
      <w:pPr>
        <w:spacing w:after="0" w:line="276" w:lineRule="auto"/>
        <w:rPr>
          <w:rFonts w:ascii="Seaford" w:hAnsi="Seaford"/>
        </w:rPr>
      </w:pPr>
    </w:p>
    <w:p w14:paraId="50DE49A4" w14:textId="77777777" w:rsidR="008A2561" w:rsidRPr="00197A22" w:rsidRDefault="008A2561" w:rsidP="00197A22">
      <w:pPr>
        <w:spacing w:after="0" w:line="276" w:lineRule="auto"/>
        <w:rPr>
          <w:rFonts w:ascii="Seaford" w:hAnsi="Seaford"/>
        </w:rPr>
      </w:pPr>
    </w:p>
    <w:sectPr w:rsidR="008A2561" w:rsidRPr="00197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aford">
    <w:altName w:val="Seaford"/>
    <w:charset w:val="00"/>
    <w:family w:val="swiss"/>
    <w:pitch w:val="variable"/>
    <w:sig w:usb0="80000003" w:usb1="00000001"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E64"/>
    <w:multiLevelType w:val="hybridMultilevel"/>
    <w:tmpl w:val="532C3312"/>
    <w:lvl w:ilvl="0" w:tplc="56F8D8BC">
      <w:start w:val="5"/>
      <w:numFmt w:val="bullet"/>
      <w:lvlText w:val="-"/>
      <w:lvlJc w:val="left"/>
      <w:pPr>
        <w:ind w:left="720" w:hanging="360"/>
      </w:pPr>
      <w:rPr>
        <w:rFonts w:ascii="Seaford" w:eastAsiaTheme="minorEastAsia" w:hAnsi="Seafor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2136D"/>
    <w:multiLevelType w:val="hybridMultilevel"/>
    <w:tmpl w:val="53601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062DD"/>
    <w:multiLevelType w:val="hybridMultilevel"/>
    <w:tmpl w:val="09B83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08"/>
    <w:rsid w:val="001077CA"/>
    <w:rsid w:val="00177CE5"/>
    <w:rsid w:val="00197A22"/>
    <w:rsid w:val="00571679"/>
    <w:rsid w:val="00626B6E"/>
    <w:rsid w:val="006F6228"/>
    <w:rsid w:val="007F1B03"/>
    <w:rsid w:val="008A2561"/>
    <w:rsid w:val="008D0919"/>
    <w:rsid w:val="009B69DB"/>
    <w:rsid w:val="00A05957"/>
    <w:rsid w:val="00A5334E"/>
    <w:rsid w:val="00AA18AD"/>
    <w:rsid w:val="00DB7508"/>
    <w:rsid w:val="00E27E47"/>
    <w:rsid w:val="00EF7B84"/>
    <w:rsid w:val="00FB3F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0710"/>
  <w15:chartTrackingRefBased/>
  <w15:docId w15:val="{444FC478-F468-4172-A5CA-C636ED81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79"/>
    <w:pPr>
      <w:ind w:left="720"/>
      <w:contextualSpacing/>
    </w:pPr>
  </w:style>
  <w:style w:type="character" w:styleId="PlaceholderText">
    <w:name w:val="Placeholder Text"/>
    <w:basedOn w:val="DefaultParagraphFont"/>
    <w:uiPriority w:val="99"/>
    <w:semiHidden/>
    <w:rsid w:val="008A2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12</cp:revision>
  <dcterms:created xsi:type="dcterms:W3CDTF">2021-06-28T10:50:00Z</dcterms:created>
  <dcterms:modified xsi:type="dcterms:W3CDTF">2021-06-30T13:11:00Z</dcterms:modified>
</cp:coreProperties>
</file>