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C6AD" w14:textId="276F9E1C" w:rsidR="00571679" w:rsidRDefault="000A39FB" w:rsidP="00197A22">
      <w:pPr>
        <w:spacing w:after="0" w:line="276" w:lineRule="auto"/>
        <w:rPr>
          <w:rFonts w:ascii="Seaford" w:hAnsi="Seaford"/>
          <w:b/>
          <w:bCs/>
        </w:rPr>
      </w:pPr>
      <w:r>
        <w:rPr>
          <w:rFonts w:ascii="Seaford" w:hAnsi="Seaford"/>
          <w:b/>
          <w:bCs/>
        </w:rPr>
        <w:t>Non-spherical disturbance</w:t>
      </w:r>
    </w:p>
    <w:p w14:paraId="3D2BF203" w14:textId="59F04384" w:rsidR="008A2561" w:rsidRDefault="008A2561" w:rsidP="008A2561">
      <w:pPr>
        <w:pStyle w:val="ListParagraph"/>
        <w:spacing w:after="0" w:line="276" w:lineRule="auto"/>
        <w:rPr>
          <w:rFonts w:ascii="Seaford" w:hAnsi="Seaford"/>
        </w:rPr>
      </w:pPr>
    </w:p>
    <w:p w14:paraId="4EA72435" w14:textId="77777777" w:rsidR="000A39FB" w:rsidRDefault="000A39FB" w:rsidP="008A2561">
      <w:pPr>
        <w:spacing w:after="0" w:line="276" w:lineRule="auto"/>
        <w:rPr>
          <w:rFonts w:ascii="Seaford" w:hAnsi="Seaford"/>
        </w:rPr>
      </w:pPr>
    </w:p>
    <w:p w14:paraId="715B0467" w14:textId="68F8A7A2" w:rsidR="008A2561" w:rsidRPr="00DF6768" w:rsidRDefault="000A39FB" w:rsidP="008A2561">
      <w:pPr>
        <w:spacing w:after="0" w:line="276" w:lineRule="auto"/>
        <w:rPr>
          <w:rFonts w:ascii="Seaford" w:hAnsi="Seaford"/>
          <w:highlight w:val="lightGray"/>
        </w:rPr>
      </w:pPr>
      <w:r w:rsidRPr="00DF6768">
        <w:rPr>
          <w:rFonts w:ascii="Seaford" w:hAnsi="Seaford"/>
          <w:highlight w:val="lightGray"/>
        </w:rPr>
        <w:t>When the variance-covariance matrix of the error terms is not spherical, we call the Classical linear regression (CLR) as General linear regression (GLR) model.</w:t>
      </w:r>
      <w:r w:rsidR="00A441B8" w:rsidRPr="00DF6768">
        <w:rPr>
          <w:rFonts w:ascii="Seaford" w:hAnsi="Seaford"/>
          <w:highlight w:val="lightGray"/>
        </w:rPr>
        <w:t xml:space="preserve"> e.g., </w:t>
      </w:r>
    </w:p>
    <w:p w14:paraId="03F2C6DB" w14:textId="7F503845" w:rsidR="008A2561" w:rsidRPr="00DF6768" w:rsidRDefault="008A2561" w:rsidP="008A2561">
      <w:pPr>
        <w:spacing w:after="0" w:line="276" w:lineRule="auto"/>
        <w:rPr>
          <w:rFonts w:ascii="Seaford" w:hAnsi="Seaford"/>
          <w:highlight w:val="lightGray"/>
        </w:rPr>
      </w:pPr>
      <w:r w:rsidRPr="00DF6768">
        <w:rPr>
          <w:rFonts w:ascii="Seaford" w:hAnsi="Seaford"/>
          <w:highlight w:val="lightGray"/>
        </w:rPr>
        <w:tab/>
      </w:r>
      <w:r w:rsidRPr="00DF6768">
        <w:rPr>
          <w:rFonts w:ascii="Seaford" w:hAnsi="Seaford"/>
          <w:highlight w:val="lightGray"/>
        </w:rPr>
        <w:tab/>
      </w:r>
      <w:r w:rsidRPr="00DF6768">
        <w:rPr>
          <w:rFonts w:ascii="Seaford" w:hAnsi="Seaford"/>
          <w:highlight w:val="lightGray"/>
        </w:rPr>
        <w:tab/>
      </w:r>
    </w:p>
    <w:p w14:paraId="28B305E5" w14:textId="0F0EDF22" w:rsidR="008A2561" w:rsidRPr="00DF6768" w:rsidRDefault="008A2561" w:rsidP="008A2561">
      <w:pPr>
        <w:pStyle w:val="ListParagraph"/>
        <w:spacing w:after="0" w:line="276" w:lineRule="auto"/>
        <w:rPr>
          <w:rFonts w:ascii="Seaford" w:hAnsi="Seaford"/>
          <w:highlight w:val="lightGray"/>
        </w:rPr>
      </w:pPr>
      <m:oMathPara>
        <m:oMath>
          <m:r>
            <m:rPr>
              <m:sty m:val="bi"/>
            </m:rPr>
            <w:rPr>
              <w:rFonts w:ascii="Cambria Math" w:hAnsi="Cambria Math"/>
              <w:highlight w:val="lightGray"/>
            </w:rPr>
            <m:t>Y=Xβ+u, u</m:t>
          </m:r>
          <m:r>
            <w:rPr>
              <w:rFonts w:ascii="Cambria Math" w:hAnsi="Cambria Math"/>
              <w:highlight w:val="lightGray"/>
            </w:rPr>
            <m:t>∼</m:t>
          </m:r>
          <m:r>
            <m:rPr>
              <m:sty m:val="bi"/>
            </m:rPr>
            <w:rPr>
              <w:rFonts w:ascii="Cambria Math" w:hAnsi="Cambria Math"/>
              <w:highlight w:val="lightGray"/>
            </w:rPr>
            <m:t>IID</m:t>
          </m:r>
          <m:r>
            <w:rPr>
              <w:rFonts w:ascii="Cambria Math" w:hAnsi="Cambria Math"/>
              <w:highlight w:val="lightGray"/>
            </w:rPr>
            <m:t>(0,</m:t>
          </m:r>
          <m:r>
            <m:rPr>
              <m:sty m:val="b"/>
            </m:rPr>
            <w:rPr>
              <w:rFonts w:ascii="Cambria Math" w:hAnsi="Cambria Math"/>
              <w:highlight w:val="lightGray"/>
            </w:rPr>
            <m:t>Ω</m:t>
          </m:r>
          <m:r>
            <w:rPr>
              <w:rFonts w:ascii="Cambria Math" w:hAnsi="Cambria Math"/>
              <w:highlight w:val="lightGray"/>
            </w:rPr>
            <m:t xml:space="preserve">) </m:t>
          </m:r>
        </m:oMath>
      </m:oMathPara>
    </w:p>
    <w:p w14:paraId="054B3097" w14:textId="3093CC5A" w:rsidR="008A2561" w:rsidRPr="00DF6768" w:rsidRDefault="008A2561" w:rsidP="008A2561">
      <w:pPr>
        <w:pStyle w:val="ListParagraph"/>
        <w:spacing w:after="0" w:line="276" w:lineRule="auto"/>
        <w:rPr>
          <w:rFonts w:ascii="Seaford" w:hAnsi="Seaford"/>
          <w:highlight w:val="lightGray"/>
        </w:rPr>
      </w:pPr>
    </w:p>
    <w:p w14:paraId="7A4A1DFD" w14:textId="731F4720" w:rsidR="00E26883" w:rsidRPr="00DF6768" w:rsidRDefault="009C5D45" w:rsidP="00197A22">
      <w:pPr>
        <w:spacing w:after="0" w:line="276" w:lineRule="auto"/>
        <w:rPr>
          <w:rFonts w:ascii="Seaford" w:hAnsi="Seaford"/>
          <w:b/>
          <w:bCs/>
          <w:highlight w:val="lightGray"/>
        </w:rPr>
      </w:pPr>
      <w:r w:rsidRPr="00DF6768">
        <w:rPr>
          <w:rFonts w:ascii="Seaford" w:hAnsi="Seaford"/>
          <w:highlight w:val="lightGray"/>
        </w:rPr>
        <w:t xml:space="preserve">where </w:t>
      </w:r>
      <m:oMath>
        <m:r>
          <m:rPr>
            <m:sty m:val="b"/>
          </m:rPr>
          <w:rPr>
            <w:rFonts w:ascii="Cambria Math" w:hAnsi="Cambria Math"/>
            <w:highlight w:val="lightGray"/>
          </w:rPr>
          <m:t>Ω</m:t>
        </m:r>
      </m:oMath>
      <w:r w:rsidRPr="00DF6768">
        <w:rPr>
          <w:rFonts w:ascii="Seaford" w:hAnsi="Seaford"/>
          <w:b/>
          <w:bCs/>
          <w:highlight w:val="lightGray"/>
        </w:rPr>
        <w:t xml:space="preserve"> </w:t>
      </w:r>
      <w:r w:rsidRPr="00DF6768">
        <w:rPr>
          <w:rFonts w:ascii="Seaford" w:hAnsi="Seaford"/>
          <w:highlight w:val="lightGray"/>
        </w:rPr>
        <w:t xml:space="preserve">the variance-covariance matrix of the error term, sometimes it is written as an alternative notation, e.g., </w:t>
      </w:r>
      <m:oMath>
        <m:r>
          <m:rPr>
            <m:sty m:val="b"/>
          </m:rPr>
          <w:rPr>
            <w:rFonts w:ascii="Cambria Math" w:hAnsi="Cambria Math"/>
            <w:highlight w:val="lightGray"/>
          </w:rPr>
          <m:t>G</m:t>
        </m:r>
      </m:oMath>
      <w:r w:rsidRPr="00DF6768">
        <w:rPr>
          <w:rFonts w:ascii="Seaford" w:hAnsi="Seaford"/>
          <w:highlight w:val="lightGray"/>
        </w:rPr>
        <w:t>.</w:t>
      </w:r>
    </w:p>
    <w:p w14:paraId="11F89662" w14:textId="77777777" w:rsidR="009C5D45" w:rsidRPr="00DF6768" w:rsidRDefault="009C5D45" w:rsidP="00197A22">
      <w:pPr>
        <w:spacing w:after="0" w:line="276" w:lineRule="auto"/>
        <w:rPr>
          <w:rFonts w:ascii="Seaford" w:hAnsi="Seaford"/>
          <w:highlight w:val="lightGray"/>
        </w:rPr>
      </w:pPr>
    </w:p>
    <w:p w14:paraId="2AF61727" w14:textId="086D736A" w:rsidR="008A2561" w:rsidRPr="00DF6768" w:rsidRDefault="00A441B8" w:rsidP="00197A22">
      <w:pPr>
        <w:spacing w:after="0" w:line="276" w:lineRule="auto"/>
        <w:rPr>
          <w:rFonts w:ascii="Seaford" w:hAnsi="Seaford"/>
          <w:highlight w:val="lightGray"/>
        </w:rPr>
      </w:pPr>
      <w:r w:rsidRPr="00DF6768">
        <w:rPr>
          <w:rFonts w:ascii="Seaford" w:hAnsi="Seaford"/>
          <w:highlight w:val="lightGray"/>
        </w:rPr>
        <w:t>In this case, OLS is still unbiased.</w:t>
      </w:r>
    </w:p>
    <w:p w14:paraId="0F2E4A49" w14:textId="4226629F" w:rsidR="00E26883" w:rsidRPr="00DF6768" w:rsidRDefault="00E26883" w:rsidP="00197A22">
      <w:pPr>
        <w:spacing w:after="0" w:line="276" w:lineRule="auto"/>
        <w:rPr>
          <w:rFonts w:ascii="Seaford" w:hAnsi="Seaford"/>
          <w:highlight w:val="lightGray"/>
        </w:rPr>
      </w:pPr>
    </w:p>
    <w:p w14:paraId="0A08993F" w14:textId="23FC9102" w:rsidR="00A441B8" w:rsidRPr="00DF6768" w:rsidRDefault="00A441B8" w:rsidP="00197A22">
      <w:pPr>
        <w:spacing w:after="0" w:line="276" w:lineRule="auto"/>
        <w:rPr>
          <w:rFonts w:ascii="Seaford" w:hAnsi="Seaford"/>
          <w:bCs/>
          <w:highlight w:val="lightGray"/>
        </w:rPr>
      </w:pPr>
      <w:r w:rsidRPr="00DF6768">
        <w:rPr>
          <w:rFonts w:ascii="Seaford" w:hAnsi="Seaford"/>
          <w:highlight w:val="lightGray"/>
        </w:rPr>
        <w:t xml:space="preserve">However, the variance-covariance matrix for the parameter </w:t>
      </w:r>
      <m:oMath>
        <m:sSup>
          <m:sSupPr>
            <m:ctrlPr>
              <w:rPr>
                <w:rFonts w:ascii="Cambria Math" w:hAnsi="Cambria Math"/>
                <w:b/>
                <w:i/>
                <w:highlight w:val="lightGray"/>
              </w:rPr>
            </m:ctrlPr>
          </m:sSupPr>
          <m:e>
            <m:r>
              <m:rPr>
                <m:sty m:val="bi"/>
              </m:rPr>
              <w:rPr>
                <w:rFonts w:ascii="Cambria Math" w:hAnsi="Cambria Math"/>
                <w:highlight w:val="lightGray"/>
              </w:rPr>
              <m:t>β</m:t>
            </m:r>
          </m:e>
          <m:sup>
            <m:r>
              <m:rPr>
                <m:sty m:val="p"/>
              </m:rPr>
              <w:rPr>
                <w:rFonts w:ascii="Cambria Math" w:hAnsi="Cambria Math"/>
                <w:highlight w:val="lightGray"/>
              </w:rPr>
              <m:t>OLS</m:t>
            </m:r>
          </m:sup>
        </m:sSup>
      </m:oMath>
      <w:r w:rsidRPr="00DF6768">
        <w:rPr>
          <w:rFonts w:ascii="Seaford" w:hAnsi="Seaford"/>
          <w:b/>
          <w:highlight w:val="lightGray"/>
        </w:rPr>
        <w:t xml:space="preserve"> </w:t>
      </w:r>
      <w:r w:rsidRPr="00DF6768">
        <w:rPr>
          <w:rFonts w:ascii="Seaford" w:hAnsi="Seaford"/>
          <w:bCs/>
          <w:highlight w:val="lightGray"/>
        </w:rPr>
        <w:t xml:space="preserve">is incorrect, </w:t>
      </w:r>
      <w:r w:rsidR="003E3862" w:rsidRPr="00DF6768">
        <w:rPr>
          <w:rFonts w:ascii="Seaford" w:hAnsi="Seaford"/>
          <w:bCs/>
          <w:highlight w:val="lightGray"/>
        </w:rPr>
        <w:t>thus</w:t>
      </w:r>
      <w:r w:rsidRPr="00DF6768">
        <w:rPr>
          <w:rFonts w:ascii="Seaford" w:hAnsi="Seaford"/>
          <w:bCs/>
          <w:highlight w:val="lightGray"/>
        </w:rPr>
        <w:t xml:space="preserve"> </w:t>
      </w:r>
      <m:oMath>
        <m:r>
          <w:rPr>
            <w:rFonts w:ascii="Cambria Math" w:hAnsi="Cambria Math"/>
            <w:highlight w:val="lightGray"/>
          </w:rPr>
          <m:t>Var</m:t>
        </m:r>
        <m:d>
          <m:dPr>
            <m:ctrlPr>
              <w:rPr>
                <w:rFonts w:ascii="Cambria Math" w:hAnsi="Cambria Math"/>
                <w:i/>
                <w:highlight w:val="lightGray"/>
              </w:rPr>
            </m:ctrlPr>
          </m:dPr>
          <m:e>
            <m:sSup>
              <m:sSupPr>
                <m:ctrlPr>
                  <w:rPr>
                    <w:rFonts w:ascii="Cambria Math" w:hAnsi="Cambria Math"/>
                    <w:b/>
                    <w:i/>
                    <w:highlight w:val="lightGray"/>
                  </w:rPr>
                </m:ctrlPr>
              </m:sSupPr>
              <m:e>
                <m:r>
                  <m:rPr>
                    <m:sty m:val="bi"/>
                  </m:rPr>
                  <w:rPr>
                    <w:rFonts w:ascii="Cambria Math" w:hAnsi="Cambria Math"/>
                    <w:highlight w:val="lightGray"/>
                  </w:rPr>
                  <m:t>β</m:t>
                </m:r>
              </m:e>
              <m:sup>
                <m:r>
                  <m:rPr>
                    <m:sty m:val="p"/>
                  </m:rPr>
                  <w:rPr>
                    <w:rFonts w:ascii="Cambria Math" w:hAnsi="Cambria Math"/>
                    <w:highlight w:val="lightGray"/>
                  </w:rPr>
                  <m:t>OLS</m:t>
                </m:r>
              </m:sup>
            </m:sSup>
            <m:ctrlPr>
              <w:rPr>
                <w:rFonts w:ascii="Cambria Math" w:hAnsi="Cambria Math"/>
                <w:b/>
                <w:i/>
                <w:highlight w:val="lightGray"/>
              </w:rPr>
            </m:ctrlPr>
          </m:e>
        </m:d>
      </m:oMath>
      <w:r w:rsidRPr="00DF6768">
        <w:rPr>
          <w:rFonts w:ascii="Seaford" w:hAnsi="Seaford"/>
          <w:b/>
          <w:highlight w:val="lightGray"/>
        </w:rPr>
        <w:t xml:space="preserve"> </w:t>
      </w:r>
      <w:r w:rsidRPr="00DF6768">
        <w:rPr>
          <w:rFonts w:ascii="Seaford" w:hAnsi="Seaford"/>
          <w:bCs/>
          <w:highlight w:val="lightGray"/>
        </w:rPr>
        <w:t>is biased</w:t>
      </w:r>
      <w:r w:rsidR="003E3862" w:rsidRPr="00DF6768">
        <w:rPr>
          <w:rFonts w:ascii="Seaford" w:hAnsi="Seaford"/>
          <w:bCs/>
          <w:highlight w:val="lightGray"/>
        </w:rPr>
        <w:t xml:space="preserve"> (usually downwards)</w:t>
      </w:r>
      <w:r w:rsidRPr="00DF6768">
        <w:rPr>
          <w:rFonts w:ascii="Seaford" w:hAnsi="Seaford"/>
          <w:bCs/>
          <w:highlight w:val="lightGray"/>
        </w:rPr>
        <w:t xml:space="preserve"> even asymptotically.</w:t>
      </w:r>
      <w:r w:rsidR="003E3862" w:rsidRPr="00DF6768">
        <w:rPr>
          <w:rFonts w:ascii="Seaford" w:hAnsi="Seaford"/>
          <w:b/>
          <w:highlight w:val="lightGray"/>
        </w:rPr>
        <w:t xml:space="preserve"> </w:t>
      </w:r>
      <w:r w:rsidR="003E3862" w:rsidRPr="00DF6768">
        <w:rPr>
          <w:rFonts w:ascii="Seaford" w:hAnsi="Seaford"/>
          <w:bCs/>
          <w:highlight w:val="lightGray"/>
        </w:rPr>
        <w:t>Therefore, interval estimation and hypothesis testing for the parameter are unreliable.</w:t>
      </w:r>
    </w:p>
    <w:p w14:paraId="2B53B2C0" w14:textId="44FD2BFE" w:rsidR="001F3B6E" w:rsidRPr="00DF6768" w:rsidRDefault="001F3B6E" w:rsidP="00197A22">
      <w:pPr>
        <w:spacing w:after="0" w:line="276" w:lineRule="auto"/>
        <w:rPr>
          <w:rFonts w:ascii="Seaford" w:hAnsi="Seaford"/>
          <w:bCs/>
          <w:highlight w:val="lightGray"/>
        </w:rPr>
      </w:pPr>
    </w:p>
    <w:p w14:paraId="3F8D8A9D" w14:textId="714CF764" w:rsidR="001F3B6E" w:rsidRDefault="001F3B6E" w:rsidP="00197A22">
      <w:pPr>
        <w:spacing w:after="0" w:line="276" w:lineRule="auto"/>
        <w:rPr>
          <w:rFonts w:ascii="Seaford" w:hAnsi="Seaford"/>
          <w:bCs/>
        </w:rPr>
      </w:pPr>
      <w:r w:rsidRPr="00DF6768">
        <w:rPr>
          <w:rFonts w:ascii="Seaford" w:hAnsi="Seaford"/>
          <w:bCs/>
          <w:highlight w:val="lightGray"/>
        </w:rPr>
        <w:t xml:space="preserve">A mitigation is to use </w:t>
      </w:r>
      <w:proofErr w:type="spellStart"/>
      <w:r w:rsidRPr="00DF6768">
        <w:rPr>
          <w:rFonts w:ascii="Seaford" w:hAnsi="Seaford"/>
          <w:bCs/>
          <w:highlight w:val="lightGray"/>
        </w:rPr>
        <w:t>heteroskedasticiy</w:t>
      </w:r>
      <w:proofErr w:type="spellEnd"/>
      <w:r w:rsidRPr="00DF6768">
        <w:rPr>
          <w:rFonts w:ascii="Seaford" w:hAnsi="Seaford"/>
          <w:bCs/>
          <w:highlight w:val="lightGray"/>
        </w:rPr>
        <w:t xml:space="preserve">-consistent and autocorrelation-consistent variance-covariance matrix estimators for the OLS estimator to eliminate the </w:t>
      </w:r>
      <w:r w:rsidRPr="00DF6768">
        <w:rPr>
          <w:rFonts w:ascii="Seaford" w:hAnsi="Seaford"/>
          <w:bCs/>
          <w:highlight w:val="lightGray"/>
        </w:rPr>
        <w:t>asymptotic</w:t>
      </w:r>
      <w:r w:rsidRPr="00DF6768">
        <w:rPr>
          <w:rFonts w:ascii="Seaford" w:hAnsi="Seaford"/>
          <w:bCs/>
          <w:highlight w:val="lightGray"/>
        </w:rPr>
        <w:t xml:space="preserve"> bias (but not completely the small sample bias) of </w:t>
      </w:r>
      <m:oMath>
        <m:r>
          <w:rPr>
            <w:rFonts w:ascii="Cambria Math" w:hAnsi="Cambria Math"/>
            <w:highlight w:val="lightGray"/>
          </w:rPr>
          <m:t>Var</m:t>
        </m:r>
        <m:d>
          <m:dPr>
            <m:ctrlPr>
              <w:rPr>
                <w:rFonts w:ascii="Cambria Math" w:hAnsi="Cambria Math"/>
                <w:i/>
                <w:highlight w:val="lightGray"/>
              </w:rPr>
            </m:ctrlPr>
          </m:dPr>
          <m:e>
            <m:sSup>
              <m:sSupPr>
                <m:ctrlPr>
                  <w:rPr>
                    <w:rFonts w:ascii="Cambria Math" w:hAnsi="Cambria Math"/>
                    <w:b/>
                    <w:i/>
                    <w:highlight w:val="lightGray"/>
                  </w:rPr>
                </m:ctrlPr>
              </m:sSupPr>
              <m:e>
                <m:r>
                  <m:rPr>
                    <m:sty m:val="bi"/>
                  </m:rPr>
                  <w:rPr>
                    <w:rFonts w:ascii="Cambria Math" w:hAnsi="Cambria Math"/>
                    <w:highlight w:val="lightGray"/>
                  </w:rPr>
                  <m:t>β</m:t>
                </m:r>
              </m:e>
              <m:sup>
                <m:r>
                  <m:rPr>
                    <m:sty m:val="p"/>
                  </m:rPr>
                  <w:rPr>
                    <w:rFonts w:ascii="Cambria Math" w:hAnsi="Cambria Math"/>
                    <w:highlight w:val="lightGray"/>
                  </w:rPr>
                  <m:t>OLS</m:t>
                </m:r>
              </m:sup>
            </m:sSup>
            <m:ctrlPr>
              <w:rPr>
                <w:rFonts w:ascii="Cambria Math" w:hAnsi="Cambria Math"/>
                <w:b/>
                <w:i/>
                <w:highlight w:val="lightGray"/>
              </w:rPr>
            </m:ctrlPr>
          </m:e>
        </m:d>
      </m:oMath>
      <w:r w:rsidRPr="00DF6768">
        <w:rPr>
          <w:rFonts w:ascii="Seaford" w:hAnsi="Seaford"/>
          <w:bCs/>
          <w:highlight w:val="lightGray"/>
        </w:rPr>
        <w:t>. This is sometimes called a robust variance estimator.</w:t>
      </w:r>
    </w:p>
    <w:p w14:paraId="30BBA3C0" w14:textId="2985D04C" w:rsidR="001F3B6E" w:rsidRDefault="001F3B6E" w:rsidP="00197A22">
      <w:pPr>
        <w:spacing w:after="0" w:line="276" w:lineRule="auto"/>
        <w:rPr>
          <w:rFonts w:ascii="Seaford" w:hAnsi="Seaford"/>
          <w:bCs/>
        </w:rPr>
      </w:pPr>
    </w:p>
    <w:p w14:paraId="5874D5F5" w14:textId="3A048245" w:rsidR="007F387A" w:rsidRDefault="007F387A" w:rsidP="00197A22">
      <w:pPr>
        <w:spacing w:after="0" w:line="276" w:lineRule="auto"/>
        <w:rPr>
          <w:rFonts w:ascii="Seaford" w:hAnsi="Seaford"/>
          <w:bCs/>
        </w:rPr>
      </w:pPr>
      <w:r>
        <w:rPr>
          <w:rFonts w:ascii="Seaford" w:hAnsi="Seaford"/>
          <w:bCs/>
        </w:rPr>
        <w:t xml:space="preserve">Efficiency: </w:t>
      </w:r>
      <m:oMath>
        <m:sSup>
          <m:sSupPr>
            <m:ctrlPr>
              <w:rPr>
                <w:rFonts w:ascii="Cambria Math" w:hAnsi="Cambria Math"/>
                <w:b/>
                <w:i/>
              </w:rPr>
            </m:ctrlPr>
          </m:sSupPr>
          <m:e>
            <m:r>
              <m:rPr>
                <m:sty m:val="bi"/>
              </m:rPr>
              <w:rPr>
                <w:rFonts w:ascii="Cambria Math" w:hAnsi="Cambria Math"/>
              </w:rPr>
              <m:t>β</m:t>
            </m:r>
          </m:e>
          <m:sup>
            <m:r>
              <m:rPr>
                <m:sty m:val="p"/>
              </m:rPr>
              <w:rPr>
                <w:rFonts w:ascii="Cambria Math" w:hAnsi="Cambria Math"/>
              </w:rPr>
              <m:t>G</m:t>
            </m:r>
            <m:r>
              <m:rPr>
                <m:sty m:val="p"/>
              </m:rPr>
              <w:rPr>
                <w:rFonts w:ascii="Cambria Math" w:hAnsi="Cambria Math"/>
              </w:rPr>
              <m:t>LS</m:t>
            </m:r>
          </m:sup>
        </m:sSup>
      </m:oMath>
      <w:r>
        <w:rPr>
          <w:rFonts w:ascii="Seaford" w:hAnsi="Seaford"/>
          <w:b/>
        </w:rPr>
        <w:t xml:space="preserve"> </w:t>
      </w:r>
      <w:r>
        <w:rPr>
          <w:rFonts w:ascii="Seaford" w:hAnsi="Seaford"/>
          <w:bCs/>
        </w:rPr>
        <w:t xml:space="preserve">becomes the BLUE estimator. </w:t>
      </w:r>
      <m:oMath>
        <m:sSup>
          <m:sSupPr>
            <m:ctrlPr>
              <w:rPr>
                <w:rFonts w:ascii="Cambria Math" w:hAnsi="Cambria Math"/>
                <w:b/>
                <w:i/>
              </w:rPr>
            </m:ctrlPr>
          </m:sSupPr>
          <m:e>
            <m:r>
              <m:rPr>
                <m:sty m:val="bi"/>
              </m:rPr>
              <w:rPr>
                <w:rFonts w:ascii="Cambria Math" w:hAnsi="Cambria Math"/>
              </w:rPr>
              <m:t>β</m:t>
            </m:r>
          </m:e>
          <m:sup>
            <m:r>
              <m:rPr>
                <m:sty m:val="p"/>
              </m:rPr>
              <w:rPr>
                <w:rFonts w:ascii="Cambria Math" w:hAnsi="Cambria Math"/>
              </w:rPr>
              <m:t>G</m:t>
            </m:r>
            <m:r>
              <m:rPr>
                <m:sty m:val="p"/>
              </m:rPr>
              <w:rPr>
                <w:rFonts w:ascii="Cambria Math" w:hAnsi="Cambria Math"/>
              </w:rPr>
              <m:t>LS</m:t>
            </m:r>
          </m:sup>
        </m:sSup>
      </m:oMath>
      <w:r>
        <w:rPr>
          <w:rFonts w:ascii="Seaford" w:hAnsi="Seaford"/>
          <w:b/>
        </w:rPr>
        <w:t xml:space="preserve"> </w:t>
      </w:r>
      <w:r>
        <w:rPr>
          <w:rFonts w:ascii="Seaford" w:hAnsi="Seaford"/>
          <w:bCs/>
        </w:rPr>
        <w:t xml:space="preserve">uses information more efficiently compared to </w:t>
      </w:r>
      <m:oMath>
        <m:sSup>
          <m:sSupPr>
            <m:ctrlPr>
              <w:rPr>
                <w:rFonts w:ascii="Cambria Math" w:hAnsi="Cambria Math"/>
                <w:b/>
                <w:i/>
              </w:rPr>
            </m:ctrlPr>
          </m:sSupPr>
          <m:e>
            <m:r>
              <m:rPr>
                <m:sty m:val="bi"/>
              </m:rPr>
              <w:rPr>
                <w:rFonts w:ascii="Cambria Math" w:hAnsi="Cambria Math"/>
              </w:rPr>
              <m:t>β</m:t>
            </m:r>
          </m:e>
          <m:sup>
            <m:r>
              <m:rPr>
                <m:sty m:val="p"/>
              </m:rPr>
              <w:rPr>
                <w:rFonts w:ascii="Cambria Math" w:hAnsi="Cambria Math"/>
              </w:rPr>
              <m:t>OLS</m:t>
            </m:r>
          </m:sup>
        </m:sSup>
      </m:oMath>
      <w:r>
        <w:rPr>
          <w:rFonts w:ascii="Seaford" w:hAnsi="Seaford"/>
          <w:bCs/>
        </w:rPr>
        <w:t>. e.g., we can use the information that some disturbances are likely to be large because their variance are large. Therefore, instead of minimizing the sum of squared residuals, we can minimize weighted sum of squared residuals. Observations whose residuals are expected to be large because other residuals are large are given smaller weights.</w:t>
      </w:r>
    </w:p>
    <w:p w14:paraId="7AEED615" w14:textId="049EE6A0" w:rsidR="007F387A" w:rsidRDefault="007F387A" w:rsidP="00197A22">
      <w:pPr>
        <w:spacing w:after="0" w:line="276" w:lineRule="auto"/>
        <w:rPr>
          <w:rFonts w:ascii="Seaford" w:hAnsi="Seaford"/>
          <w:bCs/>
        </w:rPr>
      </w:pPr>
    </w:p>
    <w:p w14:paraId="5F022A71" w14:textId="2BCDBB78" w:rsidR="00FF35ED" w:rsidRPr="00FF35ED" w:rsidRDefault="00FF35ED" w:rsidP="00197A22">
      <w:pPr>
        <w:spacing w:after="0" w:line="276" w:lineRule="auto"/>
        <w:rPr>
          <w:rFonts w:ascii="Seaford" w:hAnsi="Seaford"/>
          <w:bCs/>
        </w:rPr>
      </w:pPr>
      <w:r>
        <w:rPr>
          <w:rFonts w:ascii="Seaford" w:hAnsi="Seaford"/>
          <w:bCs/>
        </w:rPr>
        <w:t xml:space="preserve">If we can assume the error terms are jointly normally distributed, </w:t>
      </w:r>
      <m:oMath>
        <m:sSup>
          <m:sSupPr>
            <m:ctrlPr>
              <w:rPr>
                <w:rFonts w:ascii="Cambria Math" w:hAnsi="Cambria Math"/>
                <w:b/>
                <w:i/>
              </w:rPr>
            </m:ctrlPr>
          </m:sSupPr>
          <m:e>
            <m:r>
              <m:rPr>
                <m:sty m:val="bi"/>
              </m:rPr>
              <w:rPr>
                <w:rFonts w:ascii="Cambria Math" w:hAnsi="Cambria Math"/>
              </w:rPr>
              <m:t>β</m:t>
            </m:r>
          </m:e>
          <m:sup>
            <m:r>
              <m:rPr>
                <m:sty m:val="p"/>
              </m:rPr>
              <w:rPr>
                <w:rFonts w:ascii="Cambria Math" w:hAnsi="Cambria Math"/>
              </w:rPr>
              <m:t>G</m:t>
            </m:r>
            <m:r>
              <m:rPr>
                <m:sty m:val="p"/>
              </m:rPr>
              <w:rPr>
                <w:rFonts w:ascii="Cambria Math" w:hAnsi="Cambria Math"/>
              </w:rPr>
              <m:t>LS</m:t>
            </m:r>
          </m:sup>
        </m:sSup>
      </m:oMath>
      <w:r>
        <w:rPr>
          <w:rFonts w:ascii="Seaford" w:hAnsi="Seaford"/>
          <w:b/>
        </w:rPr>
        <w:t xml:space="preserve"> </w:t>
      </w:r>
      <w:r w:rsidRPr="00FF35ED">
        <w:rPr>
          <w:rFonts w:ascii="Seaford" w:hAnsi="Seaford"/>
          <w:bCs/>
        </w:rPr>
        <w:t>replaces</w:t>
      </w:r>
      <w:r>
        <w:rPr>
          <w:rFonts w:ascii="Seaford" w:hAnsi="Seaford"/>
          <w:b/>
        </w:rPr>
        <w:t xml:space="preserve"> </w:t>
      </w:r>
      <m:oMath>
        <m:sSup>
          <m:sSupPr>
            <m:ctrlPr>
              <w:rPr>
                <w:rFonts w:ascii="Cambria Math" w:hAnsi="Cambria Math"/>
                <w:b/>
                <w:i/>
              </w:rPr>
            </m:ctrlPr>
          </m:sSupPr>
          <m:e>
            <m:r>
              <m:rPr>
                <m:sty m:val="bi"/>
              </m:rPr>
              <w:rPr>
                <w:rFonts w:ascii="Cambria Math" w:hAnsi="Cambria Math"/>
              </w:rPr>
              <m:t>β</m:t>
            </m:r>
          </m:e>
          <m:sup>
            <m:r>
              <m:rPr>
                <m:sty m:val="p"/>
              </m:rPr>
              <w:rPr>
                <w:rFonts w:ascii="Cambria Math" w:hAnsi="Cambria Math"/>
              </w:rPr>
              <m:t>OLS</m:t>
            </m:r>
          </m:sup>
        </m:sSup>
      </m:oMath>
      <w:r>
        <w:rPr>
          <w:rFonts w:ascii="Seaford" w:hAnsi="Seaford"/>
          <w:b/>
        </w:rPr>
        <w:t xml:space="preserve"> </w:t>
      </w:r>
      <w:r w:rsidR="002861BC" w:rsidRPr="002861BC">
        <w:rPr>
          <w:rFonts w:ascii="Seaford" w:hAnsi="Seaford"/>
          <w:bCs/>
        </w:rPr>
        <w:t>to</w:t>
      </w:r>
      <w:r>
        <w:rPr>
          <w:rFonts w:ascii="Seaford" w:hAnsi="Seaford"/>
          <w:b/>
        </w:rPr>
        <w:t xml:space="preserve"> </w:t>
      </w:r>
      <w:r>
        <w:rPr>
          <w:rFonts w:ascii="Seaford" w:hAnsi="Seaford"/>
          <w:bCs/>
        </w:rPr>
        <w:t>become equivalent to the maximum likely estimator.</w:t>
      </w:r>
    </w:p>
    <w:p w14:paraId="56715221" w14:textId="3B968D34" w:rsidR="007F387A" w:rsidRDefault="007F387A" w:rsidP="00197A22">
      <w:pPr>
        <w:spacing w:after="0" w:line="276" w:lineRule="auto"/>
        <w:rPr>
          <w:rFonts w:ascii="Seaford" w:hAnsi="Seaford"/>
          <w:bCs/>
        </w:rPr>
      </w:pPr>
    </w:p>
    <w:p w14:paraId="43809BE4" w14:textId="3CAD7906" w:rsidR="001650FD" w:rsidRPr="0045077A" w:rsidRDefault="001650FD" w:rsidP="00197A22">
      <w:pPr>
        <w:spacing w:after="0" w:line="276" w:lineRule="auto"/>
        <w:rPr>
          <w:rFonts w:ascii="Seaford" w:hAnsi="Seaford"/>
        </w:rPr>
      </w:pPr>
      <w:r>
        <w:rPr>
          <w:rFonts w:ascii="Seaford" w:hAnsi="Seaford"/>
          <w:bCs/>
        </w:rPr>
        <w:t xml:space="preserve">However, we need to know </w:t>
      </w:r>
      <m:oMath>
        <m:r>
          <m:rPr>
            <m:sty m:val="b"/>
          </m:rPr>
          <w:rPr>
            <w:rFonts w:ascii="Cambria Math" w:hAnsi="Cambria Math"/>
          </w:rPr>
          <m:t>Ω</m:t>
        </m:r>
      </m:oMath>
      <w:r>
        <w:rPr>
          <w:rFonts w:ascii="Seaford" w:hAnsi="Seaford"/>
          <w:b/>
          <w:bCs/>
        </w:rPr>
        <w:t xml:space="preserve"> </w:t>
      </w:r>
      <w:r>
        <w:rPr>
          <w:rFonts w:ascii="Seaford" w:hAnsi="Seaford"/>
        </w:rPr>
        <w:t xml:space="preserve">to calculate </w:t>
      </w:r>
      <m:oMath>
        <m:sSup>
          <m:sSupPr>
            <m:ctrlPr>
              <w:rPr>
                <w:rFonts w:ascii="Cambria Math" w:hAnsi="Cambria Math"/>
                <w:b/>
                <w:i/>
              </w:rPr>
            </m:ctrlPr>
          </m:sSupPr>
          <m:e>
            <m:r>
              <m:rPr>
                <m:sty m:val="bi"/>
              </m:rPr>
              <w:rPr>
                <w:rFonts w:ascii="Cambria Math" w:hAnsi="Cambria Math"/>
              </w:rPr>
              <m:t>β</m:t>
            </m:r>
          </m:e>
          <m:sup>
            <m:r>
              <m:rPr>
                <m:sty m:val="p"/>
              </m:rPr>
              <w:rPr>
                <w:rFonts w:ascii="Cambria Math" w:hAnsi="Cambria Math"/>
              </w:rPr>
              <m:t>G</m:t>
            </m:r>
            <m:r>
              <m:rPr>
                <m:sty m:val="p"/>
              </m:rPr>
              <w:rPr>
                <w:rFonts w:ascii="Cambria Math" w:hAnsi="Cambria Math"/>
              </w:rPr>
              <m:t>LS</m:t>
            </m:r>
          </m:sup>
        </m:sSup>
      </m:oMath>
      <w:r>
        <w:rPr>
          <w:rFonts w:ascii="Seaford" w:hAnsi="Seaford"/>
          <w:bCs/>
        </w:rPr>
        <w:t>.</w:t>
      </w:r>
      <w:r w:rsidR="0045077A">
        <w:rPr>
          <w:rFonts w:ascii="Seaford" w:hAnsi="Seaford"/>
          <w:bCs/>
        </w:rPr>
        <w:t xml:space="preserve"> As </w:t>
      </w:r>
      <m:oMath>
        <m:r>
          <m:rPr>
            <m:sty m:val="b"/>
          </m:rPr>
          <w:rPr>
            <w:rFonts w:ascii="Cambria Math" w:hAnsi="Cambria Math"/>
          </w:rPr>
          <m:t>Ω</m:t>
        </m:r>
      </m:oMath>
      <w:r w:rsidR="0045077A">
        <w:rPr>
          <w:rFonts w:ascii="Seaford" w:hAnsi="Seaford"/>
          <w:b/>
          <w:bCs/>
        </w:rPr>
        <w:t xml:space="preserve"> </w:t>
      </w:r>
      <w:r w:rsidR="0045077A">
        <w:rPr>
          <w:rFonts w:ascii="Seaford" w:hAnsi="Seaford"/>
        </w:rPr>
        <w:t xml:space="preserve">is rarely known, it is tempting to simply employ </w:t>
      </w:r>
      <m:oMath>
        <m:sSup>
          <m:sSupPr>
            <m:ctrlPr>
              <w:rPr>
                <w:rFonts w:ascii="Cambria Math" w:hAnsi="Cambria Math"/>
                <w:b/>
                <w:i/>
              </w:rPr>
            </m:ctrlPr>
          </m:sSupPr>
          <m:e>
            <m:r>
              <m:rPr>
                <m:sty m:val="bi"/>
              </m:rPr>
              <w:rPr>
                <w:rFonts w:ascii="Cambria Math" w:hAnsi="Cambria Math"/>
              </w:rPr>
              <m:t>β</m:t>
            </m:r>
          </m:e>
          <m:sup>
            <m:r>
              <m:rPr>
                <m:sty m:val="p"/>
              </m:rPr>
              <w:rPr>
                <w:rFonts w:ascii="Cambria Math" w:hAnsi="Cambria Math"/>
              </w:rPr>
              <m:t>OLS</m:t>
            </m:r>
          </m:sup>
        </m:sSup>
      </m:oMath>
      <w:r w:rsidR="0045077A">
        <w:rPr>
          <w:rFonts w:ascii="Seaford" w:hAnsi="Seaford"/>
          <w:b/>
        </w:rPr>
        <w:t xml:space="preserve"> </w:t>
      </w:r>
      <w:r w:rsidR="0045077A" w:rsidRPr="0045077A">
        <w:rPr>
          <w:rFonts w:ascii="Seaford" w:hAnsi="Seaford"/>
          <w:bCs/>
        </w:rPr>
        <w:t>with</w:t>
      </w:r>
      <w:r w:rsidR="0045077A">
        <w:rPr>
          <w:rFonts w:ascii="Seaford" w:hAnsi="Seaford"/>
          <w:b/>
        </w:rPr>
        <w:t xml:space="preserve"> </w:t>
      </w:r>
      <w:proofErr w:type="spellStart"/>
      <w:r w:rsidR="0045077A">
        <w:rPr>
          <w:rFonts w:ascii="Seaford" w:hAnsi="Seaford"/>
          <w:bCs/>
        </w:rPr>
        <w:t>heteroskedasticiy</w:t>
      </w:r>
      <w:proofErr w:type="spellEnd"/>
      <w:r w:rsidR="0045077A">
        <w:rPr>
          <w:rFonts w:ascii="Seaford" w:hAnsi="Seaford"/>
          <w:bCs/>
        </w:rPr>
        <w:t>-consistent and autocorrelation-consistent variance-covariance matrix</w:t>
      </w:r>
      <w:r w:rsidR="0045077A">
        <w:rPr>
          <w:rFonts w:ascii="Seaford" w:hAnsi="Seaford"/>
          <w:bCs/>
        </w:rPr>
        <w:t>.</w:t>
      </w:r>
    </w:p>
    <w:p w14:paraId="0BF6C769" w14:textId="38AC952B" w:rsidR="001650FD" w:rsidRDefault="001650FD" w:rsidP="00197A22">
      <w:pPr>
        <w:spacing w:after="0" w:line="276" w:lineRule="auto"/>
        <w:rPr>
          <w:rFonts w:ascii="Seaford" w:hAnsi="Seaford"/>
          <w:bCs/>
        </w:rPr>
      </w:pPr>
    </w:p>
    <w:p w14:paraId="13F343E6" w14:textId="153C9332" w:rsidR="00DF268D" w:rsidRDefault="00DF268D" w:rsidP="00197A22">
      <w:pPr>
        <w:spacing w:after="0" w:line="276" w:lineRule="auto"/>
        <w:rPr>
          <w:rFonts w:ascii="Seaford" w:hAnsi="Seaford"/>
          <w:bCs/>
        </w:rPr>
      </w:pPr>
      <w:r w:rsidRPr="005950F4">
        <w:rPr>
          <w:rFonts w:ascii="Seaford" w:hAnsi="Seaford"/>
          <w:bCs/>
          <w:highlight w:val="lightGray"/>
        </w:rPr>
        <w:t xml:space="preserve">Thus, we tend to employ </w:t>
      </w:r>
      <m:oMath>
        <m:sSup>
          <m:sSupPr>
            <m:ctrlPr>
              <w:rPr>
                <w:rFonts w:ascii="Cambria Math" w:hAnsi="Cambria Math"/>
                <w:b/>
                <w:i/>
                <w:highlight w:val="lightGray"/>
              </w:rPr>
            </m:ctrlPr>
          </m:sSupPr>
          <m:e>
            <m:r>
              <m:rPr>
                <m:sty m:val="bi"/>
              </m:rPr>
              <w:rPr>
                <w:rFonts w:ascii="Cambria Math" w:hAnsi="Cambria Math"/>
                <w:highlight w:val="lightGray"/>
              </w:rPr>
              <m:t>β</m:t>
            </m:r>
          </m:e>
          <m:sup>
            <m:r>
              <m:rPr>
                <m:sty m:val="p"/>
              </m:rPr>
              <w:rPr>
                <w:rFonts w:ascii="Cambria Math" w:hAnsi="Cambria Math"/>
                <w:highlight w:val="lightGray"/>
              </w:rPr>
              <m:t>GLS</m:t>
            </m:r>
          </m:sup>
        </m:sSup>
      </m:oMath>
      <w:r w:rsidRPr="005950F4">
        <w:rPr>
          <w:rFonts w:ascii="Seaford" w:hAnsi="Seaford"/>
          <w:b/>
          <w:highlight w:val="lightGray"/>
        </w:rPr>
        <w:t xml:space="preserve"> </w:t>
      </w:r>
      <w:r w:rsidRPr="005950F4">
        <w:rPr>
          <w:rFonts w:ascii="Seaford" w:hAnsi="Seaford"/>
          <w:bCs/>
          <w:highlight w:val="lightGray"/>
        </w:rPr>
        <w:t xml:space="preserve">when we somehow know a little bit about </w:t>
      </w:r>
      <m:oMath>
        <m:r>
          <m:rPr>
            <m:sty m:val="b"/>
          </m:rPr>
          <w:rPr>
            <w:rFonts w:ascii="Cambria Math" w:hAnsi="Cambria Math"/>
            <w:highlight w:val="lightGray"/>
          </w:rPr>
          <m:t>Ω</m:t>
        </m:r>
      </m:oMath>
      <w:r w:rsidRPr="005950F4">
        <w:rPr>
          <w:rFonts w:ascii="Seaford" w:hAnsi="Seaford"/>
          <w:bCs/>
          <w:highlight w:val="lightGray"/>
        </w:rPr>
        <w:t xml:space="preserve"> and / or the non-spherical disturbance term cause substantive consequence. What we do is that we invent the </w:t>
      </w:r>
      <w:r w:rsidRPr="005950F4">
        <w:rPr>
          <w:rFonts w:ascii="Seaford" w:hAnsi="Seaford"/>
          <w:b/>
          <w:highlight w:val="lightGray"/>
        </w:rPr>
        <w:t>Feasible</w:t>
      </w:r>
      <w:r w:rsidRPr="005950F4">
        <w:rPr>
          <w:rFonts w:ascii="Seaford" w:hAnsi="Seaford"/>
          <w:bCs/>
          <w:highlight w:val="lightGray"/>
        </w:rPr>
        <w:t xml:space="preserve"> </w:t>
      </w:r>
      <w:r w:rsidRPr="005950F4">
        <w:rPr>
          <w:rFonts w:ascii="Seaford" w:hAnsi="Seaford"/>
          <w:b/>
          <w:highlight w:val="lightGray"/>
        </w:rPr>
        <w:t>GLS</w:t>
      </w:r>
      <w:r w:rsidRPr="005950F4">
        <w:rPr>
          <w:rFonts w:ascii="Seaford" w:hAnsi="Seaford"/>
          <w:bCs/>
          <w:highlight w:val="lightGray"/>
        </w:rPr>
        <w:t xml:space="preserve"> (e.g., </w:t>
      </w:r>
      <w:r w:rsidRPr="005950F4">
        <w:rPr>
          <w:rFonts w:ascii="Seaford" w:hAnsi="Seaford"/>
          <w:b/>
          <w:highlight w:val="lightGray"/>
        </w:rPr>
        <w:t>FGLS</w:t>
      </w:r>
      <w:r w:rsidRPr="005950F4">
        <w:rPr>
          <w:rFonts w:ascii="Seaford" w:hAnsi="Seaford"/>
          <w:bCs/>
          <w:highlight w:val="lightGray"/>
        </w:rPr>
        <w:t xml:space="preserve">) estimator by </w:t>
      </w:r>
      <w:r w:rsidRPr="005950F4">
        <w:rPr>
          <w:rFonts w:ascii="Seaford" w:hAnsi="Seaford"/>
          <w:highlight w:val="lightGray"/>
        </w:rPr>
        <w:t xml:space="preserve">consistently </w:t>
      </w:r>
      <w:r w:rsidRPr="005950F4">
        <w:rPr>
          <w:rFonts w:ascii="Seaford" w:hAnsi="Seaford"/>
          <w:bCs/>
          <w:highlight w:val="lightGray"/>
        </w:rPr>
        <w:t xml:space="preserve">estimating </w:t>
      </w:r>
      <m:oMath>
        <m:r>
          <m:rPr>
            <m:sty m:val="b"/>
          </m:rPr>
          <w:rPr>
            <w:rFonts w:ascii="Cambria Math" w:hAnsi="Cambria Math"/>
            <w:highlight w:val="lightGray"/>
          </w:rPr>
          <m:t>Ω</m:t>
        </m:r>
      </m:oMath>
      <w:r w:rsidRPr="005950F4">
        <w:rPr>
          <w:rFonts w:ascii="Seaford" w:hAnsi="Seaford"/>
          <w:highlight w:val="lightGray"/>
        </w:rPr>
        <w:t xml:space="preserve">. </w:t>
      </w:r>
      <w:bookmarkStart w:id="0" w:name="_Hlk76125536"/>
      <w:r w:rsidRPr="005950F4">
        <w:rPr>
          <w:rFonts w:ascii="Seaford" w:hAnsi="Seaford"/>
          <w:highlight w:val="lightGray"/>
        </w:rPr>
        <w:t xml:space="preserve">Thus, we somehow </w:t>
      </w:r>
      <w:proofErr w:type="gramStart"/>
      <w:r w:rsidRPr="005950F4">
        <w:rPr>
          <w:rFonts w:ascii="Seaford" w:hAnsi="Seaford"/>
          <w:highlight w:val="lightGray"/>
        </w:rPr>
        <w:t>take into account</w:t>
      </w:r>
      <w:proofErr w:type="gramEnd"/>
      <w:r w:rsidRPr="005950F4">
        <w:rPr>
          <w:rFonts w:ascii="Seaford" w:hAnsi="Seaford"/>
          <w:highlight w:val="lightGray"/>
        </w:rPr>
        <w:t xml:space="preserve"> the </w:t>
      </w:r>
      <w:proofErr w:type="spellStart"/>
      <w:r w:rsidRPr="005950F4">
        <w:rPr>
          <w:rFonts w:ascii="Seaford" w:hAnsi="Seaford"/>
          <w:highlight w:val="lightGray"/>
        </w:rPr>
        <w:t>nonsphericalness</w:t>
      </w:r>
      <w:proofErr w:type="spellEnd"/>
      <w:r w:rsidRPr="005950F4">
        <w:rPr>
          <w:rFonts w:ascii="Seaford" w:hAnsi="Seaford"/>
          <w:highlight w:val="lightGray"/>
        </w:rPr>
        <w:t xml:space="preserve"> of the disturbance.</w:t>
      </w:r>
      <w:r w:rsidRPr="005950F4">
        <w:rPr>
          <w:rFonts w:ascii="Seaford" w:hAnsi="Seaford"/>
          <w:bCs/>
          <w:highlight w:val="lightGray"/>
        </w:rPr>
        <w:t xml:space="preserve"> As a result, </w:t>
      </w:r>
      <w:r w:rsidRPr="005950F4">
        <w:rPr>
          <w:rFonts w:ascii="Seaford" w:hAnsi="Seaford"/>
          <w:bCs/>
          <w:highlight w:val="lightGray"/>
        </w:rPr>
        <w:t xml:space="preserve">with FGLS, </w:t>
      </w:r>
      <m:oMath>
        <m:r>
          <w:rPr>
            <w:rFonts w:ascii="Cambria Math" w:hAnsi="Cambria Math"/>
            <w:highlight w:val="lightGray"/>
          </w:rPr>
          <m:t>Var</m:t>
        </m:r>
        <m:d>
          <m:dPr>
            <m:ctrlPr>
              <w:rPr>
                <w:rFonts w:ascii="Cambria Math" w:hAnsi="Cambria Math"/>
                <w:bCs/>
                <w:i/>
                <w:highlight w:val="lightGray"/>
              </w:rPr>
            </m:ctrlPr>
          </m:dPr>
          <m:e>
            <m:sSup>
              <m:sSupPr>
                <m:ctrlPr>
                  <w:rPr>
                    <w:rFonts w:ascii="Cambria Math" w:hAnsi="Cambria Math"/>
                    <w:b/>
                    <w:i/>
                    <w:highlight w:val="lightGray"/>
                  </w:rPr>
                </m:ctrlPr>
              </m:sSupPr>
              <m:e>
                <m:r>
                  <m:rPr>
                    <m:sty m:val="bi"/>
                  </m:rPr>
                  <w:rPr>
                    <w:rFonts w:ascii="Cambria Math" w:hAnsi="Cambria Math"/>
                    <w:highlight w:val="lightGray"/>
                  </w:rPr>
                  <m:t>β</m:t>
                </m:r>
              </m:e>
              <m:sup>
                <m:r>
                  <m:rPr>
                    <m:sty m:val="p"/>
                  </m:rPr>
                  <w:rPr>
                    <w:rFonts w:ascii="Cambria Math" w:hAnsi="Cambria Math"/>
                    <w:highlight w:val="lightGray"/>
                  </w:rPr>
                  <m:t>FGLS</m:t>
                </m:r>
              </m:sup>
            </m:sSup>
            <m:ctrlPr>
              <w:rPr>
                <w:rFonts w:ascii="Cambria Math" w:hAnsi="Cambria Math"/>
                <w:b/>
                <w:i/>
                <w:highlight w:val="lightGray"/>
              </w:rPr>
            </m:ctrlPr>
          </m:e>
        </m:d>
      </m:oMath>
      <w:r w:rsidRPr="005950F4">
        <w:rPr>
          <w:rFonts w:ascii="Seaford" w:hAnsi="Seaford"/>
          <w:bCs/>
          <w:highlight w:val="lightGray"/>
        </w:rPr>
        <w:t>is asymptotically unbiased</w:t>
      </w:r>
      <w:r w:rsidRPr="005950F4">
        <w:rPr>
          <w:rFonts w:ascii="Seaford" w:hAnsi="Seaford"/>
          <w:bCs/>
          <w:highlight w:val="lightGray"/>
        </w:rPr>
        <w:t xml:space="preserve">. However, note that </w:t>
      </w:r>
      <w:r w:rsidRPr="005950F4">
        <w:rPr>
          <w:rFonts w:ascii="Seaford" w:hAnsi="Seaford"/>
          <w:bCs/>
          <w:highlight w:val="lightGray"/>
        </w:rPr>
        <w:t>FGLS</w:t>
      </w:r>
      <w:r w:rsidRPr="005950F4">
        <w:rPr>
          <w:rFonts w:ascii="Seaford" w:hAnsi="Seaford"/>
          <w:bCs/>
          <w:highlight w:val="lightGray"/>
        </w:rPr>
        <w:t xml:space="preserve"> is biased and nonlinear.</w:t>
      </w:r>
      <w:r>
        <w:rPr>
          <w:rFonts w:ascii="Seaford" w:hAnsi="Seaford"/>
          <w:bCs/>
        </w:rPr>
        <w:t xml:space="preserve"> </w:t>
      </w:r>
      <w:bookmarkEnd w:id="0"/>
    </w:p>
    <w:p w14:paraId="3C5B0F07" w14:textId="77777777" w:rsidR="001650FD" w:rsidRPr="001650FD" w:rsidRDefault="001650FD" w:rsidP="00197A22">
      <w:pPr>
        <w:spacing w:after="0" w:line="276" w:lineRule="auto"/>
        <w:rPr>
          <w:rFonts w:ascii="Seaford" w:hAnsi="Seaford"/>
          <w:bCs/>
        </w:rPr>
      </w:pPr>
    </w:p>
    <w:p w14:paraId="0D94BB65" w14:textId="3797D273" w:rsidR="001F3B6E" w:rsidRPr="007F387A" w:rsidRDefault="007F387A" w:rsidP="00197A22">
      <w:pPr>
        <w:spacing w:after="0" w:line="276" w:lineRule="auto"/>
        <w:rPr>
          <w:rFonts w:ascii="Seaford" w:hAnsi="Seaford"/>
          <w:bCs/>
        </w:rPr>
      </w:pPr>
      <w:r>
        <w:rPr>
          <w:rFonts w:ascii="Seaford" w:hAnsi="Seaford"/>
          <w:bCs/>
        </w:rPr>
        <w:t xml:space="preserve"> </w:t>
      </w:r>
    </w:p>
    <w:p w14:paraId="429700CA" w14:textId="4FE7B423" w:rsidR="007F387A" w:rsidRDefault="00DF268D" w:rsidP="00197A22">
      <w:pPr>
        <w:spacing w:after="0" w:line="276" w:lineRule="auto"/>
        <w:rPr>
          <w:rFonts w:ascii="Seaford" w:hAnsi="Seaford"/>
          <w:bCs/>
        </w:rPr>
      </w:pPr>
      <w:r>
        <w:rPr>
          <w:rFonts w:ascii="Seaford" w:hAnsi="Seaford"/>
          <w:bCs/>
        </w:rPr>
        <w:t xml:space="preserve"> </w:t>
      </w:r>
    </w:p>
    <w:p w14:paraId="23086978" w14:textId="77777777" w:rsidR="007F387A" w:rsidRPr="007F387A" w:rsidRDefault="007F387A" w:rsidP="00197A22">
      <w:pPr>
        <w:spacing w:after="0" w:line="276" w:lineRule="auto"/>
        <w:rPr>
          <w:rFonts w:ascii="Seaford" w:hAnsi="Seaford"/>
          <w:bCs/>
        </w:rPr>
      </w:pPr>
    </w:p>
    <w:p w14:paraId="12DB1385" w14:textId="77777777" w:rsidR="001F3B6E" w:rsidRPr="001F3B6E" w:rsidRDefault="001F3B6E" w:rsidP="00197A22">
      <w:pPr>
        <w:spacing w:after="0" w:line="276" w:lineRule="auto"/>
        <w:rPr>
          <w:rFonts w:ascii="Seaford" w:hAnsi="Seaford"/>
          <w:bCs/>
        </w:rPr>
      </w:pPr>
    </w:p>
    <w:p w14:paraId="497FA285" w14:textId="408AAAD9" w:rsidR="008A2561" w:rsidRDefault="008A2561" w:rsidP="00197A22">
      <w:pPr>
        <w:spacing w:after="0" w:line="276" w:lineRule="auto"/>
        <w:rPr>
          <w:rFonts w:ascii="Seaford" w:hAnsi="Seaford"/>
        </w:rPr>
      </w:pPr>
    </w:p>
    <w:p w14:paraId="22C91B34" w14:textId="1825619A" w:rsidR="008A2561" w:rsidRDefault="008A2561" w:rsidP="00197A22">
      <w:pPr>
        <w:spacing w:after="0" w:line="276" w:lineRule="auto"/>
        <w:rPr>
          <w:rFonts w:ascii="Seaford" w:hAnsi="Seaford"/>
        </w:rPr>
      </w:pPr>
    </w:p>
    <w:p w14:paraId="6D1DFDE6" w14:textId="32A26029" w:rsidR="008A2561" w:rsidRDefault="008A2561" w:rsidP="00197A22">
      <w:pPr>
        <w:spacing w:after="0" w:line="276" w:lineRule="auto"/>
        <w:rPr>
          <w:rFonts w:ascii="Seaford" w:hAnsi="Seaford"/>
        </w:rPr>
      </w:pPr>
    </w:p>
    <w:p w14:paraId="1A4FC543" w14:textId="014F4FF2" w:rsidR="008A2561" w:rsidRDefault="008A2561" w:rsidP="00197A22">
      <w:pPr>
        <w:spacing w:after="0" w:line="276" w:lineRule="auto"/>
        <w:rPr>
          <w:rFonts w:ascii="Seaford" w:hAnsi="Seaford"/>
        </w:rPr>
      </w:pPr>
    </w:p>
    <w:p w14:paraId="5ABA97A8" w14:textId="4358F055" w:rsidR="008A2561" w:rsidRDefault="008A2561" w:rsidP="00197A22">
      <w:pPr>
        <w:spacing w:after="0" w:line="276" w:lineRule="auto"/>
        <w:rPr>
          <w:rFonts w:ascii="Seaford" w:hAnsi="Seaford"/>
        </w:rPr>
      </w:pPr>
    </w:p>
    <w:p w14:paraId="4608CC30" w14:textId="5A8E2913" w:rsidR="008A2561" w:rsidRDefault="008A2561" w:rsidP="00197A22">
      <w:pPr>
        <w:spacing w:after="0" w:line="276" w:lineRule="auto"/>
        <w:rPr>
          <w:rFonts w:ascii="Seaford" w:hAnsi="Seaford"/>
        </w:rPr>
      </w:pPr>
    </w:p>
    <w:p w14:paraId="1ACA9D5D" w14:textId="6A03BBFE" w:rsidR="008A2561" w:rsidRDefault="008A2561" w:rsidP="00197A22">
      <w:pPr>
        <w:spacing w:after="0" w:line="276" w:lineRule="auto"/>
        <w:rPr>
          <w:rFonts w:ascii="Seaford" w:hAnsi="Seaford"/>
        </w:rPr>
      </w:pPr>
    </w:p>
    <w:p w14:paraId="2C4FFCDB" w14:textId="13A42186" w:rsidR="008A2561" w:rsidRDefault="008A2561" w:rsidP="00197A22">
      <w:pPr>
        <w:spacing w:after="0" w:line="276" w:lineRule="auto"/>
        <w:rPr>
          <w:rFonts w:ascii="Seaford" w:hAnsi="Seaford"/>
        </w:rPr>
      </w:pPr>
    </w:p>
    <w:p w14:paraId="1AA6BB7E" w14:textId="097391E4" w:rsidR="008A2561" w:rsidRDefault="008A2561" w:rsidP="00197A22">
      <w:pPr>
        <w:spacing w:after="0" w:line="276" w:lineRule="auto"/>
        <w:rPr>
          <w:rFonts w:ascii="Seaford" w:hAnsi="Seaford"/>
        </w:rPr>
      </w:pPr>
    </w:p>
    <w:p w14:paraId="31B08563" w14:textId="5BF9EB39" w:rsidR="008A2561" w:rsidRDefault="008A2561" w:rsidP="00197A22">
      <w:pPr>
        <w:spacing w:after="0" w:line="276" w:lineRule="auto"/>
        <w:rPr>
          <w:rFonts w:ascii="Seaford" w:hAnsi="Seaford"/>
        </w:rPr>
      </w:pPr>
    </w:p>
    <w:p w14:paraId="1DC1D5C2" w14:textId="3032241B" w:rsidR="008A2561" w:rsidRDefault="008A2561" w:rsidP="00197A22">
      <w:pPr>
        <w:spacing w:after="0" w:line="276" w:lineRule="auto"/>
        <w:rPr>
          <w:rFonts w:ascii="Seaford" w:hAnsi="Seaford"/>
        </w:rPr>
      </w:pPr>
    </w:p>
    <w:p w14:paraId="0E9FF53B" w14:textId="298F8E9C" w:rsidR="008A2561" w:rsidRDefault="008A2561" w:rsidP="00197A22">
      <w:pPr>
        <w:spacing w:after="0" w:line="276" w:lineRule="auto"/>
        <w:rPr>
          <w:rFonts w:ascii="Seaford" w:hAnsi="Seaford"/>
        </w:rPr>
      </w:pPr>
    </w:p>
    <w:p w14:paraId="035EB6AA" w14:textId="63924FE1" w:rsidR="008A2561" w:rsidRDefault="008A2561" w:rsidP="00197A22">
      <w:pPr>
        <w:spacing w:after="0" w:line="276" w:lineRule="auto"/>
        <w:rPr>
          <w:rFonts w:ascii="Seaford" w:hAnsi="Seaford"/>
        </w:rPr>
      </w:pPr>
    </w:p>
    <w:p w14:paraId="7F0F4672" w14:textId="080E9035" w:rsidR="008A2561" w:rsidRDefault="008A2561" w:rsidP="00197A22">
      <w:pPr>
        <w:spacing w:after="0" w:line="276" w:lineRule="auto"/>
        <w:rPr>
          <w:rFonts w:ascii="Seaford" w:hAnsi="Seaford"/>
        </w:rPr>
      </w:pPr>
    </w:p>
    <w:p w14:paraId="31BF006B" w14:textId="077FE76F" w:rsidR="008A2561" w:rsidRDefault="008A2561" w:rsidP="00197A22">
      <w:pPr>
        <w:spacing w:after="0" w:line="276" w:lineRule="auto"/>
        <w:rPr>
          <w:rFonts w:ascii="Seaford" w:hAnsi="Seaford"/>
        </w:rPr>
      </w:pPr>
    </w:p>
    <w:p w14:paraId="50DE49A4" w14:textId="77777777" w:rsidR="008A2561" w:rsidRPr="00197A22" w:rsidRDefault="008A2561" w:rsidP="00197A22">
      <w:pPr>
        <w:spacing w:after="0" w:line="276" w:lineRule="auto"/>
        <w:rPr>
          <w:rFonts w:ascii="Seaford" w:hAnsi="Seaford"/>
        </w:rPr>
      </w:pPr>
    </w:p>
    <w:sectPr w:rsidR="008A2561" w:rsidRPr="00197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aford">
    <w:altName w:val="Seaford"/>
    <w:charset w:val="00"/>
    <w:family w:val="swiss"/>
    <w:pitch w:val="variable"/>
    <w:sig w:usb0="80000003" w:usb1="00000001"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6E64"/>
    <w:multiLevelType w:val="hybridMultilevel"/>
    <w:tmpl w:val="532C3312"/>
    <w:lvl w:ilvl="0" w:tplc="56F8D8BC">
      <w:start w:val="5"/>
      <w:numFmt w:val="bullet"/>
      <w:lvlText w:val="-"/>
      <w:lvlJc w:val="left"/>
      <w:pPr>
        <w:ind w:left="720" w:hanging="360"/>
      </w:pPr>
      <w:rPr>
        <w:rFonts w:ascii="Seaford" w:eastAsiaTheme="minorEastAsia" w:hAnsi="Seafor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F2136D"/>
    <w:multiLevelType w:val="hybridMultilevel"/>
    <w:tmpl w:val="53601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9062DD"/>
    <w:multiLevelType w:val="hybridMultilevel"/>
    <w:tmpl w:val="09B83C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08"/>
    <w:rsid w:val="000A39FB"/>
    <w:rsid w:val="001077CA"/>
    <w:rsid w:val="001650FD"/>
    <w:rsid w:val="00177CE5"/>
    <w:rsid w:val="00197A22"/>
    <w:rsid w:val="001F3B6E"/>
    <w:rsid w:val="002861BC"/>
    <w:rsid w:val="003E3862"/>
    <w:rsid w:val="0045077A"/>
    <w:rsid w:val="00571679"/>
    <w:rsid w:val="005950F4"/>
    <w:rsid w:val="00626B6E"/>
    <w:rsid w:val="006F6228"/>
    <w:rsid w:val="007F1B03"/>
    <w:rsid w:val="007F387A"/>
    <w:rsid w:val="008651E6"/>
    <w:rsid w:val="008A2561"/>
    <w:rsid w:val="008D0919"/>
    <w:rsid w:val="009B69DB"/>
    <w:rsid w:val="009C5D45"/>
    <w:rsid w:val="00A05957"/>
    <w:rsid w:val="00A441B8"/>
    <w:rsid w:val="00A5334E"/>
    <w:rsid w:val="00AA18AD"/>
    <w:rsid w:val="00C27CCA"/>
    <w:rsid w:val="00D2701A"/>
    <w:rsid w:val="00DB7508"/>
    <w:rsid w:val="00DF268D"/>
    <w:rsid w:val="00DF6768"/>
    <w:rsid w:val="00E26883"/>
    <w:rsid w:val="00E27E47"/>
    <w:rsid w:val="00EF7B84"/>
    <w:rsid w:val="00FB3F8C"/>
    <w:rsid w:val="00FF35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0710"/>
  <w15:chartTrackingRefBased/>
  <w15:docId w15:val="{444FC478-F468-4172-A5CA-C636ED81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A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79"/>
    <w:pPr>
      <w:ind w:left="720"/>
      <w:contextualSpacing/>
    </w:pPr>
  </w:style>
  <w:style w:type="character" w:styleId="PlaceholderText">
    <w:name w:val="Placeholder Text"/>
    <w:basedOn w:val="DefaultParagraphFont"/>
    <w:uiPriority w:val="99"/>
    <w:semiHidden/>
    <w:rsid w:val="008A2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29</cp:revision>
  <dcterms:created xsi:type="dcterms:W3CDTF">2021-06-28T10:50:00Z</dcterms:created>
  <dcterms:modified xsi:type="dcterms:W3CDTF">2021-07-02T22:09:00Z</dcterms:modified>
</cp:coreProperties>
</file>