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1346" w14:textId="77777777" w:rsidR="006903B2" w:rsidRPr="00404D17" w:rsidRDefault="006903B2" w:rsidP="00404D17">
      <w:pPr>
        <w:spacing w:after="0" w:line="276" w:lineRule="auto"/>
        <w:jc w:val="center"/>
        <w:rPr>
          <w:rFonts w:ascii="Seaford" w:hAnsi="Seaford" w:cstheme="majorHAnsi"/>
        </w:rPr>
      </w:pPr>
      <w:r w:rsidRPr="00404D17">
        <w:rPr>
          <w:rFonts w:ascii="Seaford" w:hAnsi="Seaford" w:cstheme="majorHAnsi"/>
        </w:rPr>
        <w:t>Econometrics notes round 1.</w:t>
      </w:r>
    </w:p>
    <w:p w14:paraId="600A28EA" w14:textId="77777777" w:rsidR="006903B2" w:rsidRPr="00404D17" w:rsidRDefault="006903B2" w:rsidP="00404D17">
      <w:pPr>
        <w:spacing w:after="0" w:line="276" w:lineRule="auto"/>
        <w:rPr>
          <w:rFonts w:ascii="Seaford" w:hAnsi="Seaford" w:cstheme="majorHAnsi"/>
        </w:rPr>
      </w:pPr>
    </w:p>
    <w:p w14:paraId="00D0739A" w14:textId="77777777" w:rsidR="006903B2" w:rsidRPr="00404D17" w:rsidRDefault="006903B2" w:rsidP="00404D17">
      <w:pPr>
        <w:spacing w:after="0" w:line="276" w:lineRule="auto"/>
        <w:rPr>
          <w:rFonts w:ascii="Seaford" w:hAnsi="Seaford" w:cstheme="majorHAnsi"/>
        </w:rPr>
      </w:pPr>
    </w:p>
    <w:p w14:paraId="57EF7F36" w14:textId="3CDE4637" w:rsidR="006903B2" w:rsidRPr="00404D17" w:rsidRDefault="006903B2" w:rsidP="00404D17">
      <w:pPr>
        <w:spacing w:after="0" w:line="276" w:lineRule="auto"/>
        <w:rPr>
          <w:rFonts w:ascii="Seaford" w:hAnsi="Seaford" w:cs="Times New Roman"/>
          <w:b/>
          <w:bCs/>
        </w:rPr>
      </w:pPr>
      <w:r w:rsidRPr="00404D17">
        <w:rPr>
          <w:rFonts w:ascii="Seaford" w:hAnsi="Seaford" w:cs="Times New Roman"/>
          <w:b/>
          <w:bCs/>
        </w:rPr>
        <w:t xml:space="preserve">Chapter </w:t>
      </w:r>
      <w:r w:rsidR="0077605C" w:rsidRPr="00404D17">
        <w:rPr>
          <w:rFonts w:ascii="Seaford" w:hAnsi="Seaford" w:cs="Times New Roman"/>
          <w:b/>
          <w:bCs/>
        </w:rPr>
        <w:t>6</w:t>
      </w:r>
      <w:r w:rsidRPr="00404D17">
        <w:rPr>
          <w:rFonts w:ascii="Seaford" w:hAnsi="Seaford" w:cs="Times New Roman"/>
          <w:b/>
          <w:bCs/>
        </w:rPr>
        <w:t xml:space="preserve">: </w:t>
      </w:r>
      <w:r w:rsidR="0077605C" w:rsidRPr="00404D17">
        <w:rPr>
          <w:rFonts w:ascii="Seaford" w:hAnsi="Seaford" w:cs="Times New Roman"/>
          <w:b/>
          <w:bCs/>
        </w:rPr>
        <w:t>Nonlinear Regression</w:t>
      </w:r>
    </w:p>
    <w:p w14:paraId="19F0112A" w14:textId="77777777" w:rsidR="006903B2" w:rsidRPr="00404D17" w:rsidRDefault="006903B2" w:rsidP="00404D17">
      <w:pPr>
        <w:spacing w:after="0" w:line="276" w:lineRule="auto"/>
        <w:rPr>
          <w:rFonts w:ascii="Seaford" w:hAnsi="Seaford" w:cs="Times New Roman"/>
        </w:rPr>
      </w:pPr>
    </w:p>
    <w:p w14:paraId="173F8A3D" w14:textId="19C2DD55" w:rsidR="006903B2" w:rsidRPr="00404D17" w:rsidRDefault="00404D17" w:rsidP="00404D17">
      <w:pPr>
        <w:spacing w:after="0" w:line="276" w:lineRule="auto"/>
        <w:rPr>
          <w:rFonts w:ascii="Seaford" w:hAnsi="Seaford" w:cs="Times New Roman"/>
        </w:rPr>
      </w:pPr>
      <w:r w:rsidRPr="00404D17">
        <w:rPr>
          <w:rFonts w:ascii="Seaford" w:hAnsi="Seaford" w:cs="Times New Roman"/>
        </w:rPr>
        <w:t>We have nonlinear regression models which can be written as:</w:t>
      </w:r>
    </w:p>
    <w:p w14:paraId="7BA70000" w14:textId="77777777" w:rsidR="006903B2" w:rsidRPr="00404D17" w:rsidRDefault="006903B2" w:rsidP="00404D17">
      <w:pPr>
        <w:spacing w:after="0" w:line="276" w:lineRule="auto"/>
        <w:rPr>
          <w:rFonts w:ascii="Seaford" w:hAnsi="Seaford" w:cs="Times New Roman"/>
        </w:rPr>
      </w:pPr>
    </w:p>
    <w:p w14:paraId="6755278F" w14:textId="3C4966CF" w:rsidR="00376AA7" w:rsidRPr="00404D17" w:rsidRDefault="00E345A3" w:rsidP="00404D17">
      <w:pPr>
        <w:spacing w:after="0" w:line="276" w:lineRule="auto"/>
        <w:jc w:val="center"/>
        <w:rPr>
          <w:rFonts w:ascii="Seaford" w:hAnsi="Seaford" w:cs="Times New Roman"/>
        </w:rPr>
      </w:pPr>
      <m:oMath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y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  <m:r>
          <w:rPr>
            <w:rFonts w:ascii="Cambria Math" w:hAnsi="Cambria Math" w:cs="Aldhabi"/>
          </w:rPr>
          <m:t xml:space="preserve"> = </m:t>
        </m:r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  <m:r>
          <w:rPr>
            <w:rFonts w:ascii="Cambria Math" w:hAnsi="Cambria Math" w:cs="Aldhabi"/>
          </w:rPr>
          <m:t>(β)+</m:t>
        </m:r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u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</m:oMath>
      <w:r w:rsidR="006903B2" w:rsidRPr="00404D17">
        <w:rPr>
          <w:rFonts w:ascii="Seaford" w:hAnsi="Seaford" w:cs="Times New Roman"/>
        </w:rPr>
        <w:t xml:space="preserve">,  </w:t>
      </w:r>
      <m:oMath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u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  <m:r>
          <w:rPr>
            <w:rFonts w:ascii="Cambria Math" w:hAnsi="Cambria Math" w:cs="Aldhabi"/>
          </w:rPr>
          <m:t>~IID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r>
              <w:rPr>
                <w:rFonts w:ascii="Cambria Math" w:hAnsi="Cambria Math" w:cs="Aldhabi"/>
              </w:rPr>
              <m:t>0,</m:t>
            </m:r>
            <m:sSup>
              <m:sSupPr>
                <m:ctrlPr>
                  <w:rPr>
                    <w:rFonts w:ascii="Cambria Math" w:hAnsi="Cambria Math" w:cs="Aldhabi"/>
                    <w:i/>
                  </w:rPr>
                </m:ctrlPr>
              </m:sSupPr>
              <m:e>
                <m:r>
                  <w:rPr>
                    <w:rFonts w:ascii="Cambria Math" w:hAnsi="Cambria Math" w:cs="Aldhabi"/>
                  </w:rPr>
                  <m:t>σ</m:t>
                </m:r>
              </m:e>
              <m:sup>
                <m:r>
                  <w:rPr>
                    <w:rFonts w:ascii="Cambria Math" w:hAnsi="Cambria Math" w:cs="Aldhabi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, t=1 , …, n</m:t>
        </m:r>
      </m:oMath>
    </w:p>
    <w:p w14:paraId="3106DBFE" w14:textId="7D3B1C96" w:rsidR="00404D17" w:rsidRPr="00404D17" w:rsidRDefault="00404D17" w:rsidP="00404D17">
      <w:pPr>
        <w:spacing w:after="0" w:line="276" w:lineRule="auto"/>
        <w:jc w:val="right"/>
        <w:rPr>
          <w:rFonts w:ascii="Seaford" w:hAnsi="Seaford"/>
        </w:rPr>
      </w:pPr>
      <w:r w:rsidRPr="00404D17">
        <w:rPr>
          <w:rFonts w:ascii="Seaford" w:hAnsi="Seaford"/>
        </w:rPr>
        <w:t>(6.01)</w:t>
      </w:r>
    </w:p>
    <w:p w14:paraId="1B61D734" w14:textId="1E12BE48" w:rsidR="00404D17" w:rsidRDefault="00E345A3" w:rsidP="00404D17">
      <w:pPr>
        <w:spacing w:after="0" w:line="276" w:lineRule="auto"/>
        <w:rPr>
          <w:rFonts w:ascii="Seaford" w:hAnsi="Seaford"/>
        </w:rPr>
      </w:pPr>
      <m:oMath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  <m:r>
          <w:rPr>
            <w:rFonts w:ascii="Cambria Math" w:hAnsi="Cambria Math" w:cs="Aldhabi"/>
          </w:rPr>
          <m:t>(β)</m:t>
        </m:r>
      </m:oMath>
      <w:r w:rsidR="00404D17" w:rsidRPr="00404D17">
        <w:rPr>
          <w:rFonts w:ascii="Seaford" w:hAnsi="Seaford"/>
        </w:rPr>
        <w:t xml:space="preserve"> is a nonlinear regression function which varies from observation to observation not only because the explanatory variables would change but also the functional form would change over time.</w:t>
      </w:r>
      <w:r w:rsidR="00404D17">
        <w:rPr>
          <w:rFonts w:ascii="Seaford" w:hAnsi="Seaford"/>
        </w:rPr>
        <w:t xml:space="preserve"> (6.01) can be written in a matrix format:</w:t>
      </w:r>
    </w:p>
    <w:p w14:paraId="62427179" w14:textId="77777777" w:rsidR="00404D17" w:rsidRDefault="00404D17" w:rsidP="00404D17">
      <w:pPr>
        <w:spacing w:after="0" w:line="276" w:lineRule="auto"/>
        <w:rPr>
          <w:rFonts w:ascii="Seaford" w:hAnsi="Seaford"/>
        </w:rPr>
      </w:pPr>
    </w:p>
    <w:p w14:paraId="327B908E" w14:textId="5D20A5E5" w:rsidR="00404D17" w:rsidRPr="00404D17" w:rsidRDefault="00404D17" w:rsidP="00404D17">
      <w:pPr>
        <w:spacing w:after="0" w:line="276" w:lineRule="auto"/>
        <w:jc w:val="center"/>
        <w:rPr>
          <w:rFonts w:ascii="Seaford" w:hAnsi="Seaford"/>
        </w:rPr>
      </w:pPr>
      <m:oMathPara>
        <m:oMath>
          <m:r>
            <m:rPr>
              <m:sty m:val="bi"/>
            </m:rPr>
            <w:rPr>
              <w:rFonts w:ascii="Cambria Math" w:hAnsi="Cambria Math" w:cs="Aldhabi"/>
            </w:rPr>
            <m:t xml:space="preserve">y </m:t>
          </m:r>
          <m:r>
            <w:rPr>
              <w:rFonts w:ascii="Cambria Math" w:hAnsi="Cambria Math" w:cs="Aldhabi"/>
            </w:rPr>
            <m:t xml:space="preserve">= </m:t>
          </m:r>
          <m:r>
            <m:rPr>
              <m:sty m:val="bi"/>
            </m:rPr>
            <w:rPr>
              <w:rFonts w:ascii="Cambria Math" w:hAnsi="Cambria Math" w:cs="Aldhabi"/>
            </w:rPr>
            <m:t>x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ldhabi"/>
                </w:rPr>
                <m:t>β</m:t>
              </m:r>
            </m:e>
          </m:d>
          <m:r>
            <w:rPr>
              <w:rFonts w:ascii="Cambria Math" w:hAnsi="Cambria Math" w:cs="Aldhabi"/>
            </w:rPr>
            <m:t>+</m:t>
          </m:r>
          <m:r>
            <m:rPr>
              <m:sty m:val="bi"/>
            </m:rPr>
            <w:rPr>
              <w:rFonts w:ascii="Cambria Math" w:hAnsi="Cambria Math" w:cs="Aldhabi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, </m:t>
          </m:r>
          <m:r>
            <m:rPr>
              <m:sty m:val="bi"/>
            </m:rPr>
            <w:rPr>
              <w:rFonts w:ascii="Cambria Math" w:hAnsi="Cambria Math" w:cs="Aldhabi"/>
            </w:rPr>
            <m:t>u</m:t>
          </m:r>
          <m:r>
            <w:rPr>
              <w:rFonts w:ascii="Cambria Math" w:hAnsi="Cambria Math" w:cs="Aldhabi"/>
            </w:rPr>
            <m:t>~IID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r>
                <w:rPr>
                  <w:rFonts w:ascii="Cambria Math" w:hAnsi="Cambria Math" w:cs="Aldhabi"/>
                </w:rPr>
                <m:t>0,</m:t>
              </m:r>
              <m:sSup>
                <m:sSupPr>
                  <m:ctrlPr>
                    <w:rPr>
                      <w:rFonts w:ascii="Cambria Math" w:hAnsi="Cambria Math" w:cs="Aldhabi"/>
                      <w:i/>
                    </w:rPr>
                  </m:ctrlPr>
                </m:sSupPr>
                <m:e>
                  <m:r>
                    <w:rPr>
                      <w:rFonts w:ascii="Cambria Math" w:hAnsi="Cambria Math" w:cs="Aldhabi"/>
                    </w:rPr>
                    <m:t>σ</m:t>
                  </m:r>
                </m:e>
                <m:sup>
                  <m:r>
                    <w:rPr>
                      <w:rFonts w:ascii="Cambria Math" w:hAnsi="Cambria Math" w:cs="Aldhabi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ldhabi"/>
                </w:rPr>
                <m:t>I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6124EA3F" w14:textId="1B636C89" w:rsidR="00404D17" w:rsidRDefault="00404D17" w:rsidP="00404D17">
      <w:pPr>
        <w:spacing w:after="0" w:line="276" w:lineRule="auto"/>
        <w:jc w:val="right"/>
        <w:rPr>
          <w:rFonts w:ascii="Seaford" w:hAnsi="Seaford"/>
        </w:rPr>
      </w:pPr>
      <w:r>
        <w:rPr>
          <w:rFonts w:ascii="Seaford" w:hAnsi="Seaford"/>
        </w:rPr>
        <w:t>(6.02)</w:t>
      </w:r>
    </w:p>
    <w:p w14:paraId="504789C0" w14:textId="24D8C951" w:rsidR="00404D17" w:rsidRDefault="00494036" w:rsidP="00404D17">
      <w:pPr>
        <w:spacing w:after="0" w:line="276" w:lineRule="auto"/>
        <w:rPr>
          <w:rFonts w:ascii="Seaford" w:hAnsi="Seaford"/>
        </w:rPr>
      </w:pPr>
      <w:r>
        <w:rPr>
          <w:rFonts w:ascii="Seaford" w:hAnsi="Seaford"/>
        </w:rPr>
        <w:t>This can be written alternatively as:</w:t>
      </w:r>
    </w:p>
    <w:p w14:paraId="2BAFE4E5" w14:textId="34DFAF0A" w:rsidR="00494036" w:rsidRDefault="00494036" w:rsidP="00404D17">
      <w:pPr>
        <w:spacing w:after="0" w:line="276" w:lineRule="auto"/>
        <w:rPr>
          <w:rFonts w:ascii="Seaford" w:hAnsi="Seaford"/>
        </w:rPr>
      </w:pPr>
    </w:p>
    <w:p w14:paraId="497E4E35" w14:textId="2A779567" w:rsidR="009168D2" w:rsidRPr="00404D17" w:rsidRDefault="00E345A3" w:rsidP="009168D2">
      <w:pPr>
        <w:spacing w:after="0" w:line="276" w:lineRule="auto"/>
        <w:jc w:val="center"/>
        <w:rPr>
          <w:rFonts w:ascii="Seaford" w:hAnsi="Seafor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ldhab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ldhabi"/>
            </w:rPr>
            <m:t xml:space="preserve"> </m:t>
          </m:r>
          <m:r>
            <w:rPr>
              <w:rFonts w:ascii="Cambria Math" w:hAnsi="Cambria Math" w:cs="Aldhab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ldhab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ldhabi"/>
                          </w:rPr>
                          <m:t>β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ldhabi"/>
                          </w:rPr>
                          <m:t>β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Aldhab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ldhab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 w:cs="Aldhab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ldhabi"/>
            </w:rPr>
            <m:t>~IID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r>
                <w:rPr>
                  <w:rFonts w:ascii="Cambria Math" w:hAnsi="Cambria Math" w:cs="Aldhabi"/>
                </w:rPr>
                <m:t>0,</m:t>
              </m:r>
              <m:sSup>
                <m:sSupPr>
                  <m:ctrlPr>
                    <w:rPr>
                      <w:rFonts w:ascii="Cambria Math" w:hAnsi="Cambria Math" w:cs="Aldhabi"/>
                      <w:i/>
                    </w:rPr>
                  </m:ctrlPr>
                </m:sSupPr>
                <m:e>
                  <m:r>
                    <w:rPr>
                      <w:rFonts w:ascii="Cambria Math" w:hAnsi="Cambria Math" w:cs="Aldhabi"/>
                    </w:rPr>
                    <m:t>σ</m:t>
                  </m:r>
                </m:e>
                <m:sup>
                  <m:r>
                    <w:rPr>
                      <w:rFonts w:ascii="Cambria Math" w:hAnsi="Cambria Math" w:cs="Aldhabi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ldhabi"/>
                </w:rPr>
                <m:t>I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44AED4D" w14:textId="77777777" w:rsidR="009168D2" w:rsidRDefault="009168D2" w:rsidP="00404D17">
      <w:pPr>
        <w:spacing w:after="0" w:line="276" w:lineRule="auto"/>
        <w:rPr>
          <w:rFonts w:ascii="Seaford" w:hAnsi="Seaford"/>
        </w:rPr>
      </w:pPr>
    </w:p>
    <w:p w14:paraId="3D9C6320" w14:textId="6FEABC3F" w:rsidR="00494036" w:rsidRDefault="00494036" w:rsidP="00404D17">
      <w:pPr>
        <w:spacing w:after="0" w:line="276" w:lineRule="auto"/>
        <w:rPr>
          <w:rFonts w:ascii="Seaford" w:hAnsi="Seaford"/>
        </w:rPr>
      </w:pPr>
    </w:p>
    <w:p w14:paraId="4025BB91" w14:textId="3C76671D" w:rsidR="00494036" w:rsidRPr="009168D2" w:rsidRDefault="009168D2" w:rsidP="00404D17">
      <w:pPr>
        <w:spacing w:after="0" w:line="276" w:lineRule="auto"/>
        <w:rPr>
          <w:rFonts w:ascii="Seaford" w:hAnsi="Seaford"/>
          <w:b/>
          <w:bCs/>
        </w:rPr>
      </w:pPr>
      <w:r w:rsidRPr="009168D2">
        <w:rPr>
          <w:rFonts w:ascii="Seaford" w:hAnsi="Seaford"/>
          <w:b/>
          <w:bCs/>
        </w:rPr>
        <w:t>The linear regression model with AR(1) errors</w:t>
      </w:r>
    </w:p>
    <w:p w14:paraId="255EA192" w14:textId="3A69364E" w:rsidR="009168D2" w:rsidRDefault="009168D2" w:rsidP="00404D17">
      <w:pPr>
        <w:spacing w:after="0" w:line="276" w:lineRule="auto"/>
        <w:rPr>
          <w:rFonts w:ascii="Seaford" w:hAnsi="Seaford"/>
        </w:rPr>
      </w:pPr>
    </w:p>
    <w:p w14:paraId="031386BE" w14:textId="01AB2D24" w:rsidR="009168D2" w:rsidRDefault="009168D2" w:rsidP="00404D17">
      <w:pPr>
        <w:spacing w:after="0" w:line="276" w:lineRule="auto"/>
        <w:rPr>
          <w:rFonts w:ascii="Seaford" w:hAnsi="Seaford"/>
        </w:rPr>
      </w:pPr>
      <w:r>
        <w:rPr>
          <w:rFonts w:ascii="Seaford" w:hAnsi="Seaford"/>
        </w:rPr>
        <w:t xml:space="preserve">Suppose we have linear regression models but the assumption of exogeneity does not hold, e.g., the errors are </w:t>
      </w:r>
      <w:r w:rsidR="00601FE3">
        <w:rPr>
          <w:rFonts w:ascii="Seaford" w:hAnsi="Seaford"/>
        </w:rPr>
        <w:t>auto</w:t>
      </w:r>
      <w:r>
        <w:rPr>
          <w:rFonts w:ascii="Seaford" w:hAnsi="Seaford"/>
        </w:rPr>
        <w:t xml:space="preserve">correlated. A simple and popular way to deal with it is to assume that the errors follow </w:t>
      </w:r>
      <w:r w:rsidR="00332C9B">
        <w:rPr>
          <w:rFonts w:ascii="Seaford" w:hAnsi="Seaford"/>
        </w:rPr>
        <w:t>a</w:t>
      </w:r>
      <w:r>
        <w:rPr>
          <w:rFonts w:ascii="Seaford" w:hAnsi="Seaford"/>
        </w:rPr>
        <w:t xml:space="preserve"> first-order autoregressive, </w:t>
      </w:r>
      <w:r w:rsidR="00332C9B">
        <w:rPr>
          <w:rFonts w:ascii="Seaford" w:hAnsi="Seaford"/>
        </w:rPr>
        <w:t xml:space="preserve">e.g., </w:t>
      </w:r>
      <w:r w:rsidRPr="00332C9B">
        <w:rPr>
          <w:rFonts w:ascii="Seaford" w:hAnsi="Seaford"/>
          <w:b/>
          <w:bCs/>
        </w:rPr>
        <w:t>AR(1),</w:t>
      </w:r>
      <w:r>
        <w:rPr>
          <w:rFonts w:ascii="Seaford" w:hAnsi="Seaford"/>
        </w:rPr>
        <w:t xml:space="preserve"> process:</w:t>
      </w:r>
    </w:p>
    <w:p w14:paraId="4D67FB6E" w14:textId="63BD3A49" w:rsidR="009168D2" w:rsidRDefault="009168D2" w:rsidP="00404D17">
      <w:pPr>
        <w:spacing w:after="0" w:line="276" w:lineRule="auto"/>
        <w:rPr>
          <w:rFonts w:ascii="Seaford" w:hAnsi="Seaford"/>
        </w:rPr>
      </w:pPr>
    </w:p>
    <w:p w14:paraId="6D71F8D4" w14:textId="51648C73" w:rsidR="00FE1638" w:rsidRDefault="00E345A3" w:rsidP="00404D17">
      <w:pPr>
        <w:spacing w:after="0" w:line="276" w:lineRule="auto"/>
        <w:rPr>
          <w:rFonts w:ascii="Seaford" w:hAnsi="Seaford"/>
        </w:rPr>
      </w:pPr>
      <m:oMathPara>
        <m:oMath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u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=ρ</m:t>
          </m:r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u</m:t>
              </m:r>
            </m:e>
            <m:sub>
              <m:r>
                <w:rPr>
                  <w:rFonts w:ascii="Cambria Math" w:hAnsi="Cambria Math" w:cs="Aldhabi"/>
                </w:rPr>
                <m:t>t-1</m:t>
              </m:r>
            </m:sub>
          </m:sSub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ε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ε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~IID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r>
                <w:rPr>
                  <w:rFonts w:ascii="Cambria Math" w:hAnsi="Cambria Math" w:cs="Aldhabi"/>
                </w:rPr>
                <m:t>0,</m:t>
              </m:r>
              <m:sSubSup>
                <m:sSubSupPr>
                  <m:ctrlPr>
                    <w:rPr>
                      <w:rFonts w:ascii="Cambria Math" w:hAnsi="Cambria Math" w:cs="Aldhab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ldhabi"/>
                    </w:rPr>
                    <m:t>σ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ε</m:t>
                  </m:r>
                </m:sub>
                <m:sup>
                  <m:r>
                    <w:rPr>
                      <w:rFonts w:ascii="Cambria Math" w:hAnsi="Cambria Math" w:cs="Aldhabi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Aldhabi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&lt;1</m:t>
          </m:r>
        </m:oMath>
      </m:oMathPara>
    </w:p>
    <w:p w14:paraId="1E508A90" w14:textId="7C28961F" w:rsidR="009168D2" w:rsidRDefault="00114AF3" w:rsidP="00114AF3">
      <w:pPr>
        <w:spacing w:after="0" w:line="276" w:lineRule="auto"/>
        <w:jc w:val="right"/>
        <w:rPr>
          <w:rFonts w:ascii="Seaford" w:hAnsi="Seaford"/>
        </w:rPr>
      </w:pPr>
      <w:r>
        <w:rPr>
          <w:rFonts w:ascii="Seaford" w:hAnsi="Seaford"/>
        </w:rPr>
        <w:t>(6.04)</w:t>
      </w:r>
    </w:p>
    <w:p w14:paraId="6E29943C" w14:textId="05BBD61B" w:rsidR="00A4435D" w:rsidRDefault="00A4435D" w:rsidP="00B06686">
      <w:pPr>
        <w:spacing w:after="0" w:line="276" w:lineRule="auto"/>
        <w:rPr>
          <w:rFonts w:ascii="Seaford" w:hAnsi="Seaford"/>
        </w:rPr>
      </w:pPr>
      <w:r>
        <w:rPr>
          <w:rFonts w:ascii="Seaford" w:hAnsi="Seaford"/>
        </w:rPr>
        <w:t xml:space="preserve">(6.04) suggests that for each period, part of the error term </w:t>
      </w:r>
      <m:oMath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u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</m:oMath>
      <w:r>
        <w:rPr>
          <w:rFonts w:ascii="Seaford" w:hAnsi="Seaford"/>
        </w:rPr>
        <w:t xml:space="preserve"> is the previous period’s error term, shrunk somewhat toward zero and possibly changed in sign, and part is the innovation </w:t>
      </w:r>
      <m:oMath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ε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</m:oMath>
      <w:r>
        <w:rPr>
          <w:rFonts w:ascii="Seaford" w:hAnsi="Seaford"/>
        </w:rPr>
        <w:t>. If we combine (6.04) with the linear regression model:</w:t>
      </w:r>
    </w:p>
    <w:p w14:paraId="1211799E" w14:textId="4499BF2C" w:rsidR="00A4435D" w:rsidRDefault="00A4435D" w:rsidP="00B06686">
      <w:pPr>
        <w:spacing w:after="0" w:line="276" w:lineRule="auto"/>
        <w:rPr>
          <w:rFonts w:ascii="Seaford" w:hAnsi="Seaford"/>
        </w:rPr>
      </w:pPr>
    </w:p>
    <w:p w14:paraId="5947CCCE" w14:textId="42DB94CE" w:rsidR="00A4435D" w:rsidRDefault="00E345A3" w:rsidP="00B06686">
      <w:pPr>
        <w:spacing w:after="0" w:line="276" w:lineRule="auto"/>
        <w:rPr>
          <w:rFonts w:ascii="Seaford" w:hAnsi="Seaford"/>
        </w:rPr>
      </w:pPr>
      <m:oMathPara>
        <m:oMath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y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 xml:space="preserve"> = </m:t>
          </m:r>
          <m:sSub>
            <m:sSubPr>
              <m:ctrlPr>
                <w:rPr>
                  <w:rFonts w:ascii="Cambria Math" w:hAnsi="Cambria Math" w:cs="Aldhab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ldhab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ldhab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Aldhabi"/>
            </w:rPr>
            <m:t>β</m:t>
          </m:r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u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</m:oMath>
      </m:oMathPara>
    </w:p>
    <w:p w14:paraId="3A0B8B8C" w14:textId="2B5779D9" w:rsidR="00A4435D" w:rsidRDefault="00A4435D" w:rsidP="00A4435D">
      <w:pPr>
        <w:spacing w:after="0" w:line="276" w:lineRule="auto"/>
        <w:jc w:val="right"/>
        <w:rPr>
          <w:rFonts w:ascii="Seaford" w:hAnsi="Seaford"/>
        </w:rPr>
      </w:pPr>
      <w:r>
        <w:rPr>
          <w:rFonts w:ascii="Seaford" w:hAnsi="Seaford"/>
        </w:rPr>
        <w:t>(6.05)</w:t>
      </w:r>
    </w:p>
    <w:p w14:paraId="55EA3639" w14:textId="07363942" w:rsidR="00A4435D" w:rsidRDefault="00BC4AE1" w:rsidP="00B06686">
      <w:pPr>
        <w:spacing w:after="0" w:line="276" w:lineRule="auto"/>
        <w:rPr>
          <w:rFonts w:ascii="Seaford" w:hAnsi="Seaford"/>
        </w:rPr>
      </w:pPr>
      <w:r>
        <w:rPr>
          <w:rFonts w:ascii="Seaford" w:hAnsi="Seaford"/>
        </w:rPr>
        <w:t>We have:</w:t>
      </w:r>
    </w:p>
    <w:p w14:paraId="463F44A9" w14:textId="77777777" w:rsidR="00BC4AE1" w:rsidRDefault="00BC4AE1" w:rsidP="00B06686">
      <w:pPr>
        <w:spacing w:after="0" w:line="276" w:lineRule="auto"/>
        <w:rPr>
          <w:rFonts w:ascii="Seaford" w:hAnsi="Seaford"/>
        </w:rPr>
      </w:pPr>
    </w:p>
    <w:p w14:paraId="3A7842B4" w14:textId="069EEBF0" w:rsidR="00B06686" w:rsidRDefault="00E345A3" w:rsidP="00B06686">
      <w:pPr>
        <w:spacing w:after="0" w:line="276" w:lineRule="auto"/>
        <w:rPr>
          <w:rFonts w:ascii="Seaford" w:hAnsi="Seaford"/>
        </w:rPr>
      </w:pPr>
      <m:oMathPara>
        <m:oMath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y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 xml:space="preserve"> = ρ</m:t>
          </m:r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y</m:t>
              </m:r>
            </m:e>
            <m:sub>
              <m:r>
                <w:rPr>
                  <w:rFonts w:ascii="Cambria Math" w:hAnsi="Cambria Math" w:cs="Aldhabi"/>
                </w:rPr>
                <m:t>t-1</m:t>
              </m:r>
            </m:sub>
          </m:sSub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ldhab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ldhab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Aldhabi"/>
            </w:rPr>
            <m:t>β-</m:t>
          </m:r>
          <m:r>
            <w:rPr>
              <w:rFonts w:ascii="Cambria Math" w:hAnsi="Cambria Math" w:cs="Aldhabi"/>
            </w:rPr>
            <m:t>ρ</m:t>
          </m:r>
          <m:sSub>
            <m:sSubPr>
              <m:ctrlPr>
                <w:rPr>
                  <w:rFonts w:ascii="Cambria Math" w:hAnsi="Cambria Math" w:cs="Aldhab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ldhab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ldhabi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 w:cs="Aldhabi"/>
            </w:rPr>
            <m:t>β</m:t>
          </m:r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ε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 w:cs="Aldhabi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ε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~IID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r>
                <w:rPr>
                  <w:rFonts w:ascii="Cambria Math" w:hAnsi="Cambria Math" w:cs="Aldhabi"/>
                </w:rPr>
                <m:t>0,</m:t>
              </m:r>
              <m:sSubSup>
                <m:sSubSupPr>
                  <m:ctrlPr>
                    <w:rPr>
                      <w:rFonts w:ascii="Cambria Math" w:hAnsi="Cambria Math" w:cs="Aldhab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ldhabi"/>
                    </w:rPr>
                    <m:t>σ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ε</m:t>
                  </m:r>
                </m:sub>
                <m:sup>
                  <m:r>
                    <w:rPr>
                      <w:rFonts w:ascii="Cambria Math" w:hAnsi="Cambria Math" w:cs="Aldhabi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1ABDA9B" w14:textId="48EE3CDB" w:rsidR="00B06686" w:rsidRDefault="00B06686" w:rsidP="00B06686">
      <w:pPr>
        <w:spacing w:after="0" w:line="276" w:lineRule="auto"/>
        <w:rPr>
          <w:rFonts w:ascii="Seaford" w:hAnsi="Seaford"/>
        </w:rPr>
      </w:pPr>
    </w:p>
    <w:p w14:paraId="062B76C2" w14:textId="297626FC" w:rsidR="00494036" w:rsidRDefault="00B06686" w:rsidP="00404D17">
      <w:pPr>
        <w:spacing w:after="0" w:line="276" w:lineRule="auto"/>
        <w:rPr>
          <w:rFonts w:ascii="Seaford" w:hAnsi="Seaford"/>
        </w:rPr>
      </w:pPr>
      <w:r>
        <w:rPr>
          <w:rFonts w:ascii="Seaford" w:hAnsi="Seaford"/>
        </w:rPr>
        <w:t xml:space="preserve"> </w:t>
      </w:r>
      <w:r w:rsidR="00BC4AE1">
        <w:rPr>
          <w:rFonts w:ascii="Seaford" w:hAnsi="Seaford"/>
        </w:rPr>
        <w:t xml:space="preserve">Since the lagged term of the dependent variable becomes an explanatory variable, this is a </w:t>
      </w:r>
      <w:r w:rsidR="00BC4AE1" w:rsidRPr="00BC4AE1">
        <w:rPr>
          <w:rFonts w:ascii="Seaford" w:hAnsi="Seaford"/>
          <w:b/>
          <w:bCs/>
        </w:rPr>
        <w:t>dynamic</w:t>
      </w:r>
      <w:r w:rsidR="00BC4AE1">
        <w:rPr>
          <w:rFonts w:ascii="Seaford" w:hAnsi="Seaford"/>
        </w:rPr>
        <w:t xml:space="preserve"> model (we </w:t>
      </w:r>
      <w:r w:rsidR="00E345A3">
        <w:rPr>
          <w:rFonts w:ascii="Seaford" w:hAnsi="Seaford"/>
        </w:rPr>
        <w:t>need</w:t>
      </w:r>
      <w:r w:rsidR="00BC4AE1">
        <w:rPr>
          <w:rFonts w:ascii="Seaford" w:hAnsi="Seaford"/>
        </w:rPr>
        <w:t xml:space="preserve"> to drop the first observation when we estimate its parameters). The dependent variable is not a linear combination of </w:t>
      </w:r>
      <m:oMath>
        <m:r>
          <m:rPr>
            <m:sty m:val="bi"/>
          </m:rPr>
          <w:rPr>
            <w:rFonts w:ascii="Cambria Math" w:hAnsi="Cambria Math" w:cs="Aldhabi"/>
          </w:rPr>
          <m:t>β</m:t>
        </m:r>
      </m:oMath>
      <w:r w:rsidR="00BC4AE1">
        <w:rPr>
          <w:rFonts w:ascii="Seaford" w:hAnsi="Seaford"/>
          <w:b/>
          <w:bCs/>
        </w:rPr>
        <w:t xml:space="preserve"> </w:t>
      </w:r>
      <w:r w:rsidR="00BC4AE1" w:rsidRPr="00BC4AE1">
        <w:rPr>
          <w:rFonts w:ascii="Seaford" w:hAnsi="Seaford"/>
        </w:rPr>
        <w:t>and</w:t>
      </w:r>
      <w:r w:rsidR="00BC4AE1">
        <w:rPr>
          <w:rFonts w:ascii="Seaford" w:hAnsi="Seaford"/>
          <w:b/>
          <w:bCs/>
        </w:rPr>
        <w:t xml:space="preserve"> </w:t>
      </w:r>
      <m:oMath>
        <m:r>
          <w:rPr>
            <w:rFonts w:ascii="Cambria Math" w:hAnsi="Cambria Math" w:cs="Aldhabi"/>
          </w:rPr>
          <m:t>ρ</m:t>
        </m:r>
      </m:oMath>
      <w:r w:rsidR="00BC4AE1">
        <w:rPr>
          <w:rFonts w:ascii="Seaford" w:hAnsi="Seaford"/>
        </w:rPr>
        <w:t>, thus we need to estimate the parameters using nonlinear estimation method (e.g., nonlinear LS).</w:t>
      </w:r>
    </w:p>
    <w:p w14:paraId="23D12536" w14:textId="00AEEC59" w:rsidR="00494036" w:rsidRPr="009C723D" w:rsidRDefault="009C723D" w:rsidP="00404D17">
      <w:pPr>
        <w:spacing w:after="0" w:line="276" w:lineRule="auto"/>
        <w:rPr>
          <w:rFonts w:ascii="Seaford" w:hAnsi="Seaford"/>
          <w:b/>
          <w:bCs/>
        </w:rPr>
      </w:pPr>
      <w:r w:rsidRPr="009C723D">
        <w:rPr>
          <w:rFonts w:ascii="Seaford" w:hAnsi="Seaford"/>
          <w:b/>
          <w:bCs/>
        </w:rPr>
        <w:lastRenderedPageBreak/>
        <w:t>6.2 MM estimator for nonlinear regression models</w:t>
      </w:r>
    </w:p>
    <w:p w14:paraId="51ADB5B3" w14:textId="102063AE" w:rsidR="009C723D" w:rsidRDefault="009C723D" w:rsidP="00404D17">
      <w:pPr>
        <w:spacing w:after="0" w:line="276" w:lineRule="auto"/>
        <w:rPr>
          <w:rFonts w:ascii="Seaford" w:hAnsi="Seaford"/>
        </w:rPr>
      </w:pPr>
    </w:p>
    <w:p w14:paraId="459CCC5F" w14:textId="77777777" w:rsidR="009C723D" w:rsidRDefault="009C723D" w:rsidP="00404D17">
      <w:pPr>
        <w:spacing w:after="0" w:line="276" w:lineRule="auto"/>
        <w:rPr>
          <w:rFonts w:ascii="Seaford" w:hAnsi="Seaford"/>
        </w:rPr>
      </w:pPr>
    </w:p>
    <w:p w14:paraId="2F493CB6" w14:textId="27AAEEF5" w:rsidR="00494036" w:rsidRDefault="00494036" w:rsidP="00404D17">
      <w:pPr>
        <w:spacing w:after="0" w:line="276" w:lineRule="auto"/>
        <w:rPr>
          <w:rFonts w:ascii="Seaford" w:hAnsi="Seaford"/>
        </w:rPr>
      </w:pPr>
    </w:p>
    <w:p w14:paraId="639DE280" w14:textId="3B073CDD" w:rsidR="00494036" w:rsidRDefault="00494036" w:rsidP="00404D17">
      <w:pPr>
        <w:spacing w:after="0" w:line="276" w:lineRule="auto"/>
        <w:rPr>
          <w:rFonts w:ascii="Seaford" w:hAnsi="Seaford"/>
        </w:rPr>
      </w:pPr>
    </w:p>
    <w:p w14:paraId="1FB6C780" w14:textId="42102B7A" w:rsidR="00494036" w:rsidRDefault="00494036" w:rsidP="00404D17">
      <w:pPr>
        <w:spacing w:after="0" w:line="276" w:lineRule="auto"/>
        <w:rPr>
          <w:rFonts w:ascii="Seaford" w:hAnsi="Seaford"/>
        </w:rPr>
      </w:pPr>
    </w:p>
    <w:p w14:paraId="0160C715" w14:textId="78C22959" w:rsidR="00494036" w:rsidRDefault="00494036" w:rsidP="00404D17">
      <w:pPr>
        <w:spacing w:after="0" w:line="276" w:lineRule="auto"/>
        <w:rPr>
          <w:rFonts w:ascii="Seaford" w:hAnsi="Seaford"/>
        </w:rPr>
      </w:pPr>
    </w:p>
    <w:p w14:paraId="4BB9286E" w14:textId="77777777" w:rsidR="00494036" w:rsidRPr="00404D17" w:rsidRDefault="00494036" w:rsidP="00404D17">
      <w:pPr>
        <w:spacing w:after="0" w:line="276" w:lineRule="auto"/>
        <w:rPr>
          <w:rFonts w:ascii="Seaford" w:hAnsi="Seaford"/>
        </w:rPr>
      </w:pPr>
    </w:p>
    <w:sectPr w:rsidR="00494036" w:rsidRPr="0040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altName w:val="Seaford"/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B2"/>
    <w:rsid w:val="00114AF3"/>
    <w:rsid w:val="002C4E26"/>
    <w:rsid w:val="00332C9B"/>
    <w:rsid w:val="00376AA7"/>
    <w:rsid w:val="00404D17"/>
    <w:rsid w:val="00494036"/>
    <w:rsid w:val="00601FE3"/>
    <w:rsid w:val="006903B2"/>
    <w:rsid w:val="0077605C"/>
    <w:rsid w:val="008306B9"/>
    <w:rsid w:val="00893EE2"/>
    <w:rsid w:val="009168D2"/>
    <w:rsid w:val="009C723D"/>
    <w:rsid w:val="00A4435D"/>
    <w:rsid w:val="00AB0D59"/>
    <w:rsid w:val="00B06686"/>
    <w:rsid w:val="00BC4AE1"/>
    <w:rsid w:val="00DE37B0"/>
    <w:rsid w:val="00E345A3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EEF3"/>
  <w15:chartTrackingRefBased/>
  <w15:docId w15:val="{76438509-3F3D-461C-A00C-0D890485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18</cp:revision>
  <dcterms:created xsi:type="dcterms:W3CDTF">2021-06-21T08:16:00Z</dcterms:created>
  <dcterms:modified xsi:type="dcterms:W3CDTF">2021-06-28T09:35:00Z</dcterms:modified>
</cp:coreProperties>
</file>