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6D5EE" w14:textId="77777777" w:rsidR="00E2099A" w:rsidRDefault="00000000">
      <w:pPr>
        <w:pStyle w:val="Title"/>
      </w:pPr>
      <w:r>
        <w:t>Greenhouse Gas Emissions Scenario Planning</w:t>
      </w:r>
    </w:p>
    <w:p w14:paraId="1659FBC8" w14:textId="77777777" w:rsidR="00E2099A" w:rsidRDefault="00000000">
      <w:r>
        <w:t>Metropolitan Council</w:t>
      </w:r>
    </w:p>
    <w:p w14:paraId="151CE5DA" w14:textId="77777777" w:rsidR="00E2099A" w:rsidRDefault="00000000">
      <w:pPr>
        <w:pStyle w:val="Date"/>
      </w:pPr>
      <w:r>
        <w:t>January 2023</w:t>
      </w:r>
    </w:p>
    <w:sdt>
      <w:sdtPr>
        <w:rPr>
          <w:rFonts w:ascii="Arial" w:eastAsia="Times New Roman" w:hAnsi="Arial" w:cs="Times New Roman"/>
          <w:color w:val="161616" w:themeColor="background2" w:themeShade="1A"/>
          <w:sz w:val="22"/>
          <w:szCs w:val="20"/>
        </w:rPr>
        <w:id w:val="529081057"/>
        <w:docPartObj>
          <w:docPartGallery w:val="Table of Contents"/>
          <w:docPartUnique/>
        </w:docPartObj>
      </w:sdtPr>
      <w:sdtContent>
        <w:p w14:paraId="10AA8688" w14:textId="77777777" w:rsidR="00E2099A" w:rsidRDefault="00000000">
          <w:pPr>
            <w:pStyle w:val="TOCHeading"/>
          </w:pPr>
          <w:r>
            <w:t>Table of Contents</w:t>
          </w:r>
        </w:p>
        <w:p w14:paraId="724406EE" w14:textId="118EA738" w:rsidR="002C57E0" w:rsidRDefault="00000000">
          <w:pPr>
            <w:pStyle w:val="TOC2"/>
            <w:rPr>
              <w:rFonts w:eastAsiaTheme="minorEastAsia" w:cstheme="minorBidi"/>
              <w:b w:val="0"/>
              <w:bCs w:val="0"/>
              <w:color w:val="auto"/>
              <w:sz w:val="24"/>
              <w:szCs w:val="24"/>
            </w:rPr>
          </w:pPr>
          <w:r>
            <w:fldChar w:fldCharType="begin"/>
          </w:r>
          <w:r>
            <w:instrText>TOC \o "1-3" \h \z \u</w:instrText>
          </w:r>
          <w:r>
            <w:fldChar w:fldCharType="separate"/>
          </w:r>
          <w:hyperlink w:anchor="_Toc124529409" w:history="1">
            <w:r w:rsidR="002C57E0" w:rsidRPr="0015340E">
              <w:rPr>
                <w:rStyle w:val="Hyperlink"/>
              </w:rPr>
              <w:t>Disclaimer</w:t>
            </w:r>
            <w:r w:rsidR="002C57E0">
              <w:rPr>
                <w:webHidden/>
              </w:rPr>
              <w:tab/>
            </w:r>
            <w:r w:rsidR="002C57E0">
              <w:rPr>
                <w:webHidden/>
              </w:rPr>
              <w:fldChar w:fldCharType="begin"/>
            </w:r>
            <w:r w:rsidR="002C57E0">
              <w:rPr>
                <w:webHidden/>
              </w:rPr>
              <w:instrText xml:space="preserve"> PAGEREF _Toc124529409 \h </w:instrText>
            </w:r>
            <w:r w:rsidR="002C57E0">
              <w:rPr>
                <w:webHidden/>
              </w:rPr>
            </w:r>
            <w:r w:rsidR="002C57E0">
              <w:rPr>
                <w:webHidden/>
              </w:rPr>
              <w:fldChar w:fldCharType="separate"/>
            </w:r>
            <w:r w:rsidR="002C57E0">
              <w:rPr>
                <w:webHidden/>
              </w:rPr>
              <w:t>3</w:t>
            </w:r>
            <w:r w:rsidR="002C57E0">
              <w:rPr>
                <w:webHidden/>
              </w:rPr>
              <w:fldChar w:fldCharType="end"/>
            </w:r>
          </w:hyperlink>
        </w:p>
        <w:p w14:paraId="36CABBAB" w14:textId="635C2E59" w:rsidR="002C57E0" w:rsidRDefault="002C57E0">
          <w:pPr>
            <w:pStyle w:val="TOC2"/>
            <w:rPr>
              <w:rFonts w:eastAsiaTheme="minorEastAsia" w:cstheme="minorBidi"/>
              <w:b w:val="0"/>
              <w:bCs w:val="0"/>
              <w:color w:val="auto"/>
              <w:sz w:val="24"/>
              <w:szCs w:val="24"/>
            </w:rPr>
          </w:pPr>
          <w:hyperlink w:anchor="_Toc124529410" w:history="1">
            <w:r w:rsidRPr="0015340E">
              <w:rPr>
                <w:rStyle w:val="Hyperlink"/>
              </w:rPr>
              <w:t>Executive Summary</w:t>
            </w:r>
            <w:r>
              <w:rPr>
                <w:webHidden/>
              </w:rPr>
              <w:tab/>
            </w:r>
            <w:r>
              <w:rPr>
                <w:webHidden/>
              </w:rPr>
              <w:fldChar w:fldCharType="begin"/>
            </w:r>
            <w:r>
              <w:rPr>
                <w:webHidden/>
              </w:rPr>
              <w:instrText xml:space="preserve"> PAGEREF _Toc124529410 \h </w:instrText>
            </w:r>
            <w:r>
              <w:rPr>
                <w:webHidden/>
              </w:rPr>
            </w:r>
            <w:r>
              <w:rPr>
                <w:webHidden/>
              </w:rPr>
              <w:fldChar w:fldCharType="separate"/>
            </w:r>
            <w:r>
              <w:rPr>
                <w:webHidden/>
              </w:rPr>
              <w:t>3</w:t>
            </w:r>
            <w:r>
              <w:rPr>
                <w:webHidden/>
              </w:rPr>
              <w:fldChar w:fldCharType="end"/>
            </w:r>
          </w:hyperlink>
        </w:p>
        <w:p w14:paraId="1A8E557B" w14:textId="70F48F58" w:rsidR="002C57E0" w:rsidRDefault="002C57E0">
          <w:pPr>
            <w:pStyle w:val="TOC1"/>
            <w:tabs>
              <w:tab w:val="left" w:pos="440"/>
            </w:tabs>
            <w:rPr>
              <w:rFonts w:eastAsiaTheme="minorEastAsia" w:cstheme="minorBidi"/>
              <w:b w:val="0"/>
              <w:bCs w:val="0"/>
              <w:i w:val="0"/>
              <w:iCs w:val="0"/>
              <w:noProof/>
              <w:color w:val="auto"/>
            </w:rPr>
          </w:pPr>
          <w:hyperlink w:anchor="_Toc124529411" w:history="1">
            <w:r w:rsidRPr="0015340E">
              <w:rPr>
                <w:rStyle w:val="Hyperlink"/>
                <w:noProof/>
              </w:rPr>
              <w:t>1</w:t>
            </w:r>
            <w:r>
              <w:rPr>
                <w:rFonts w:eastAsiaTheme="minorEastAsia" w:cstheme="minorBidi"/>
                <w:b w:val="0"/>
                <w:bCs w:val="0"/>
                <w:i w:val="0"/>
                <w:iCs w:val="0"/>
                <w:noProof/>
                <w:color w:val="auto"/>
              </w:rPr>
              <w:tab/>
            </w:r>
            <w:r w:rsidRPr="0015340E">
              <w:rPr>
                <w:rStyle w:val="Hyperlink"/>
                <w:noProof/>
              </w:rPr>
              <w:t>Introduction</w:t>
            </w:r>
            <w:r>
              <w:rPr>
                <w:noProof/>
                <w:webHidden/>
              </w:rPr>
              <w:tab/>
            </w:r>
            <w:r>
              <w:rPr>
                <w:noProof/>
                <w:webHidden/>
              </w:rPr>
              <w:fldChar w:fldCharType="begin"/>
            </w:r>
            <w:r>
              <w:rPr>
                <w:noProof/>
                <w:webHidden/>
              </w:rPr>
              <w:instrText xml:space="preserve"> PAGEREF _Toc124529411 \h </w:instrText>
            </w:r>
            <w:r>
              <w:rPr>
                <w:noProof/>
                <w:webHidden/>
              </w:rPr>
            </w:r>
            <w:r>
              <w:rPr>
                <w:noProof/>
                <w:webHidden/>
              </w:rPr>
              <w:fldChar w:fldCharType="separate"/>
            </w:r>
            <w:r>
              <w:rPr>
                <w:noProof/>
                <w:webHidden/>
              </w:rPr>
              <w:t>4</w:t>
            </w:r>
            <w:r>
              <w:rPr>
                <w:noProof/>
                <w:webHidden/>
              </w:rPr>
              <w:fldChar w:fldCharType="end"/>
            </w:r>
          </w:hyperlink>
        </w:p>
        <w:p w14:paraId="617218A9" w14:textId="2BFEA6EF" w:rsidR="002C57E0" w:rsidRDefault="002C57E0">
          <w:pPr>
            <w:pStyle w:val="TOC2"/>
            <w:tabs>
              <w:tab w:val="left" w:pos="880"/>
            </w:tabs>
            <w:rPr>
              <w:rFonts w:eastAsiaTheme="minorEastAsia" w:cstheme="minorBidi"/>
              <w:b w:val="0"/>
              <w:bCs w:val="0"/>
              <w:color w:val="auto"/>
              <w:sz w:val="24"/>
              <w:szCs w:val="24"/>
            </w:rPr>
          </w:pPr>
          <w:hyperlink w:anchor="_Toc124529412" w:history="1">
            <w:r w:rsidRPr="0015340E">
              <w:rPr>
                <w:rStyle w:val="Hyperlink"/>
              </w:rPr>
              <w:t>1.1</w:t>
            </w:r>
            <w:r>
              <w:rPr>
                <w:rFonts w:eastAsiaTheme="minorEastAsia" w:cstheme="minorBidi"/>
                <w:b w:val="0"/>
                <w:bCs w:val="0"/>
                <w:color w:val="auto"/>
                <w:sz w:val="24"/>
                <w:szCs w:val="24"/>
              </w:rPr>
              <w:tab/>
            </w:r>
            <w:r w:rsidRPr="0015340E">
              <w:rPr>
                <w:rStyle w:val="Hyperlink"/>
              </w:rPr>
              <w:t>Overview</w:t>
            </w:r>
            <w:r>
              <w:rPr>
                <w:webHidden/>
              </w:rPr>
              <w:tab/>
            </w:r>
            <w:r>
              <w:rPr>
                <w:webHidden/>
              </w:rPr>
              <w:fldChar w:fldCharType="begin"/>
            </w:r>
            <w:r>
              <w:rPr>
                <w:webHidden/>
              </w:rPr>
              <w:instrText xml:space="preserve"> PAGEREF _Toc124529412 \h </w:instrText>
            </w:r>
            <w:r>
              <w:rPr>
                <w:webHidden/>
              </w:rPr>
            </w:r>
            <w:r>
              <w:rPr>
                <w:webHidden/>
              </w:rPr>
              <w:fldChar w:fldCharType="separate"/>
            </w:r>
            <w:r>
              <w:rPr>
                <w:webHidden/>
              </w:rPr>
              <w:t>4</w:t>
            </w:r>
            <w:r>
              <w:rPr>
                <w:webHidden/>
              </w:rPr>
              <w:fldChar w:fldCharType="end"/>
            </w:r>
          </w:hyperlink>
        </w:p>
        <w:p w14:paraId="71290872" w14:textId="660BC1F2" w:rsidR="002C57E0" w:rsidRDefault="002C57E0">
          <w:pPr>
            <w:pStyle w:val="TOC2"/>
            <w:tabs>
              <w:tab w:val="left" w:pos="880"/>
            </w:tabs>
            <w:rPr>
              <w:rFonts w:eastAsiaTheme="minorEastAsia" w:cstheme="minorBidi"/>
              <w:b w:val="0"/>
              <w:bCs w:val="0"/>
              <w:color w:val="auto"/>
              <w:sz w:val="24"/>
              <w:szCs w:val="24"/>
            </w:rPr>
          </w:pPr>
          <w:hyperlink w:anchor="_Toc124529413" w:history="1">
            <w:r w:rsidRPr="0015340E">
              <w:rPr>
                <w:rStyle w:val="Hyperlink"/>
              </w:rPr>
              <w:t>1.2</w:t>
            </w:r>
            <w:r>
              <w:rPr>
                <w:rFonts w:eastAsiaTheme="minorEastAsia" w:cstheme="minorBidi"/>
                <w:b w:val="0"/>
                <w:bCs w:val="0"/>
                <w:color w:val="auto"/>
                <w:sz w:val="24"/>
                <w:szCs w:val="24"/>
              </w:rPr>
              <w:tab/>
            </w:r>
            <w:r w:rsidRPr="0015340E">
              <w:rPr>
                <w:rStyle w:val="Hyperlink"/>
              </w:rPr>
              <w:t>Greenhouse Gas Emissions</w:t>
            </w:r>
            <w:r>
              <w:rPr>
                <w:webHidden/>
              </w:rPr>
              <w:tab/>
            </w:r>
            <w:r>
              <w:rPr>
                <w:webHidden/>
              </w:rPr>
              <w:fldChar w:fldCharType="begin"/>
            </w:r>
            <w:r>
              <w:rPr>
                <w:webHidden/>
              </w:rPr>
              <w:instrText xml:space="preserve"> PAGEREF _Toc124529413 \h </w:instrText>
            </w:r>
            <w:r>
              <w:rPr>
                <w:webHidden/>
              </w:rPr>
            </w:r>
            <w:r>
              <w:rPr>
                <w:webHidden/>
              </w:rPr>
              <w:fldChar w:fldCharType="separate"/>
            </w:r>
            <w:r>
              <w:rPr>
                <w:webHidden/>
              </w:rPr>
              <w:t>4</w:t>
            </w:r>
            <w:r>
              <w:rPr>
                <w:webHidden/>
              </w:rPr>
              <w:fldChar w:fldCharType="end"/>
            </w:r>
          </w:hyperlink>
        </w:p>
        <w:p w14:paraId="4E3603AF" w14:textId="25977A94" w:rsidR="002C57E0" w:rsidRDefault="002C57E0">
          <w:pPr>
            <w:pStyle w:val="TOC2"/>
            <w:tabs>
              <w:tab w:val="left" w:pos="880"/>
            </w:tabs>
            <w:rPr>
              <w:rFonts w:eastAsiaTheme="minorEastAsia" w:cstheme="minorBidi"/>
              <w:b w:val="0"/>
              <w:bCs w:val="0"/>
              <w:color w:val="auto"/>
              <w:sz w:val="24"/>
              <w:szCs w:val="24"/>
            </w:rPr>
          </w:pPr>
          <w:hyperlink w:anchor="_Toc124529414" w:history="1">
            <w:r w:rsidRPr="0015340E">
              <w:rPr>
                <w:rStyle w:val="Hyperlink"/>
              </w:rPr>
              <w:t>1.3</w:t>
            </w:r>
            <w:r>
              <w:rPr>
                <w:rFonts w:eastAsiaTheme="minorEastAsia" w:cstheme="minorBidi"/>
                <w:b w:val="0"/>
                <w:bCs w:val="0"/>
                <w:color w:val="auto"/>
                <w:sz w:val="24"/>
                <w:szCs w:val="24"/>
              </w:rPr>
              <w:tab/>
            </w:r>
            <w:r w:rsidRPr="0015340E">
              <w:rPr>
                <w:rStyle w:val="Hyperlink"/>
              </w:rPr>
              <w:t>Impact of Climate Change in Minnesota</w:t>
            </w:r>
            <w:r>
              <w:rPr>
                <w:webHidden/>
              </w:rPr>
              <w:tab/>
            </w:r>
            <w:r>
              <w:rPr>
                <w:webHidden/>
              </w:rPr>
              <w:fldChar w:fldCharType="begin"/>
            </w:r>
            <w:r>
              <w:rPr>
                <w:webHidden/>
              </w:rPr>
              <w:instrText xml:space="preserve"> PAGEREF _Toc124529414 \h </w:instrText>
            </w:r>
            <w:r>
              <w:rPr>
                <w:webHidden/>
              </w:rPr>
            </w:r>
            <w:r>
              <w:rPr>
                <w:webHidden/>
              </w:rPr>
              <w:fldChar w:fldCharType="separate"/>
            </w:r>
            <w:r>
              <w:rPr>
                <w:webHidden/>
              </w:rPr>
              <w:t>4</w:t>
            </w:r>
            <w:r>
              <w:rPr>
                <w:webHidden/>
              </w:rPr>
              <w:fldChar w:fldCharType="end"/>
            </w:r>
          </w:hyperlink>
        </w:p>
        <w:p w14:paraId="09383D99" w14:textId="585FCC2C" w:rsidR="002C57E0" w:rsidRDefault="002C57E0">
          <w:pPr>
            <w:pStyle w:val="TOC2"/>
            <w:tabs>
              <w:tab w:val="left" w:pos="880"/>
            </w:tabs>
            <w:rPr>
              <w:rFonts w:eastAsiaTheme="minorEastAsia" w:cstheme="minorBidi"/>
              <w:b w:val="0"/>
              <w:bCs w:val="0"/>
              <w:color w:val="auto"/>
              <w:sz w:val="24"/>
              <w:szCs w:val="24"/>
            </w:rPr>
          </w:pPr>
          <w:hyperlink w:anchor="_Toc124529415" w:history="1">
            <w:r w:rsidRPr="0015340E">
              <w:rPr>
                <w:rStyle w:val="Hyperlink"/>
              </w:rPr>
              <w:t>1.4</w:t>
            </w:r>
            <w:r>
              <w:rPr>
                <w:rFonts w:eastAsiaTheme="minorEastAsia" w:cstheme="minorBidi"/>
                <w:b w:val="0"/>
                <w:bCs w:val="0"/>
                <w:color w:val="auto"/>
                <w:sz w:val="24"/>
                <w:szCs w:val="24"/>
              </w:rPr>
              <w:tab/>
            </w:r>
            <w:r w:rsidRPr="0015340E">
              <w:rPr>
                <w:rStyle w:val="Hyperlink"/>
              </w:rPr>
              <w:t>Scenario Planning</w:t>
            </w:r>
            <w:r>
              <w:rPr>
                <w:webHidden/>
              </w:rPr>
              <w:tab/>
            </w:r>
            <w:r>
              <w:rPr>
                <w:webHidden/>
              </w:rPr>
              <w:fldChar w:fldCharType="begin"/>
            </w:r>
            <w:r>
              <w:rPr>
                <w:webHidden/>
              </w:rPr>
              <w:instrText xml:space="preserve"> PAGEREF _Toc124529415 \h </w:instrText>
            </w:r>
            <w:r>
              <w:rPr>
                <w:webHidden/>
              </w:rPr>
            </w:r>
            <w:r>
              <w:rPr>
                <w:webHidden/>
              </w:rPr>
              <w:fldChar w:fldCharType="separate"/>
            </w:r>
            <w:r>
              <w:rPr>
                <w:webHidden/>
              </w:rPr>
              <w:t>4</w:t>
            </w:r>
            <w:r>
              <w:rPr>
                <w:webHidden/>
              </w:rPr>
              <w:fldChar w:fldCharType="end"/>
            </w:r>
          </w:hyperlink>
        </w:p>
        <w:p w14:paraId="4D9FD512" w14:textId="223335B1" w:rsidR="002C57E0" w:rsidRDefault="002C57E0">
          <w:pPr>
            <w:pStyle w:val="TOC2"/>
            <w:tabs>
              <w:tab w:val="left" w:pos="880"/>
            </w:tabs>
            <w:rPr>
              <w:rFonts w:eastAsiaTheme="minorEastAsia" w:cstheme="minorBidi"/>
              <w:b w:val="0"/>
              <w:bCs w:val="0"/>
              <w:color w:val="auto"/>
              <w:sz w:val="24"/>
              <w:szCs w:val="24"/>
            </w:rPr>
          </w:pPr>
          <w:hyperlink w:anchor="_Toc124529416" w:history="1">
            <w:r w:rsidRPr="0015340E">
              <w:rPr>
                <w:rStyle w:val="Hyperlink"/>
              </w:rPr>
              <w:t>1.5</w:t>
            </w:r>
            <w:r>
              <w:rPr>
                <w:rFonts w:eastAsiaTheme="minorEastAsia" w:cstheme="minorBidi"/>
                <w:b w:val="0"/>
                <w:bCs w:val="0"/>
                <w:color w:val="auto"/>
                <w:sz w:val="24"/>
                <w:szCs w:val="24"/>
              </w:rPr>
              <w:tab/>
            </w:r>
            <w:r w:rsidRPr="0015340E">
              <w:rPr>
                <w:rStyle w:val="Hyperlink"/>
              </w:rPr>
              <w:t>Stakeholder Engagement</w:t>
            </w:r>
            <w:r>
              <w:rPr>
                <w:webHidden/>
              </w:rPr>
              <w:tab/>
            </w:r>
            <w:r>
              <w:rPr>
                <w:webHidden/>
              </w:rPr>
              <w:fldChar w:fldCharType="begin"/>
            </w:r>
            <w:r>
              <w:rPr>
                <w:webHidden/>
              </w:rPr>
              <w:instrText xml:space="preserve"> PAGEREF _Toc124529416 \h </w:instrText>
            </w:r>
            <w:r>
              <w:rPr>
                <w:webHidden/>
              </w:rPr>
            </w:r>
            <w:r>
              <w:rPr>
                <w:webHidden/>
              </w:rPr>
              <w:fldChar w:fldCharType="separate"/>
            </w:r>
            <w:r>
              <w:rPr>
                <w:webHidden/>
              </w:rPr>
              <w:t>5</w:t>
            </w:r>
            <w:r>
              <w:rPr>
                <w:webHidden/>
              </w:rPr>
              <w:fldChar w:fldCharType="end"/>
            </w:r>
          </w:hyperlink>
        </w:p>
        <w:p w14:paraId="07BE001D" w14:textId="06801BBE" w:rsidR="002C57E0" w:rsidRDefault="002C57E0">
          <w:pPr>
            <w:pStyle w:val="TOC3"/>
            <w:tabs>
              <w:tab w:val="left" w:pos="1100"/>
              <w:tab w:val="right" w:leader="dot" w:pos="10070"/>
            </w:tabs>
            <w:rPr>
              <w:rFonts w:eastAsiaTheme="minorEastAsia" w:cstheme="minorBidi"/>
              <w:noProof/>
              <w:color w:val="auto"/>
              <w:sz w:val="24"/>
              <w:szCs w:val="24"/>
            </w:rPr>
          </w:pPr>
          <w:hyperlink w:anchor="_Toc124529417" w:history="1">
            <w:r w:rsidRPr="0015340E">
              <w:rPr>
                <w:rStyle w:val="Hyperlink"/>
                <w:noProof/>
              </w:rPr>
              <w:t>1.5.1</w:t>
            </w:r>
            <w:r>
              <w:rPr>
                <w:rFonts w:eastAsiaTheme="minorEastAsia" w:cstheme="minorBidi"/>
                <w:noProof/>
                <w:color w:val="auto"/>
                <w:sz w:val="24"/>
                <w:szCs w:val="24"/>
              </w:rPr>
              <w:tab/>
            </w:r>
            <w:r w:rsidRPr="0015340E">
              <w:rPr>
                <w:rStyle w:val="Hyperlink"/>
                <w:noProof/>
              </w:rPr>
              <w:t>Vehicle Electrification</w:t>
            </w:r>
            <w:r>
              <w:rPr>
                <w:noProof/>
                <w:webHidden/>
              </w:rPr>
              <w:tab/>
            </w:r>
            <w:r>
              <w:rPr>
                <w:noProof/>
                <w:webHidden/>
              </w:rPr>
              <w:fldChar w:fldCharType="begin"/>
            </w:r>
            <w:r>
              <w:rPr>
                <w:noProof/>
                <w:webHidden/>
              </w:rPr>
              <w:instrText xml:space="preserve"> PAGEREF _Toc124529417 \h </w:instrText>
            </w:r>
            <w:r>
              <w:rPr>
                <w:noProof/>
                <w:webHidden/>
              </w:rPr>
            </w:r>
            <w:r>
              <w:rPr>
                <w:noProof/>
                <w:webHidden/>
              </w:rPr>
              <w:fldChar w:fldCharType="separate"/>
            </w:r>
            <w:r>
              <w:rPr>
                <w:noProof/>
                <w:webHidden/>
              </w:rPr>
              <w:t>5</w:t>
            </w:r>
            <w:r>
              <w:rPr>
                <w:noProof/>
                <w:webHidden/>
              </w:rPr>
              <w:fldChar w:fldCharType="end"/>
            </w:r>
          </w:hyperlink>
        </w:p>
        <w:p w14:paraId="1F171395" w14:textId="293A198E" w:rsidR="002C57E0" w:rsidRDefault="002C57E0">
          <w:pPr>
            <w:pStyle w:val="TOC3"/>
            <w:tabs>
              <w:tab w:val="left" w:pos="1100"/>
              <w:tab w:val="right" w:leader="dot" w:pos="10070"/>
            </w:tabs>
            <w:rPr>
              <w:rFonts w:eastAsiaTheme="minorEastAsia" w:cstheme="minorBidi"/>
              <w:noProof/>
              <w:color w:val="auto"/>
              <w:sz w:val="24"/>
              <w:szCs w:val="24"/>
            </w:rPr>
          </w:pPr>
          <w:hyperlink w:anchor="_Toc124529418" w:history="1">
            <w:r w:rsidRPr="0015340E">
              <w:rPr>
                <w:rStyle w:val="Hyperlink"/>
                <w:noProof/>
              </w:rPr>
              <w:t>1.5.2</w:t>
            </w:r>
            <w:r>
              <w:rPr>
                <w:rFonts w:eastAsiaTheme="minorEastAsia" w:cstheme="minorBidi"/>
                <w:noProof/>
                <w:color w:val="auto"/>
                <w:sz w:val="24"/>
                <w:szCs w:val="24"/>
              </w:rPr>
              <w:tab/>
            </w:r>
            <w:r w:rsidRPr="0015340E">
              <w:rPr>
                <w:rStyle w:val="Hyperlink"/>
                <w:noProof/>
              </w:rPr>
              <w:t>Grid Renewables</w:t>
            </w:r>
            <w:r>
              <w:rPr>
                <w:noProof/>
                <w:webHidden/>
              </w:rPr>
              <w:tab/>
            </w:r>
            <w:r>
              <w:rPr>
                <w:noProof/>
                <w:webHidden/>
              </w:rPr>
              <w:fldChar w:fldCharType="begin"/>
            </w:r>
            <w:r>
              <w:rPr>
                <w:noProof/>
                <w:webHidden/>
              </w:rPr>
              <w:instrText xml:space="preserve"> PAGEREF _Toc124529418 \h </w:instrText>
            </w:r>
            <w:r>
              <w:rPr>
                <w:noProof/>
                <w:webHidden/>
              </w:rPr>
            </w:r>
            <w:r>
              <w:rPr>
                <w:noProof/>
                <w:webHidden/>
              </w:rPr>
              <w:fldChar w:fldCharType="separate"/>
            </w:r>
            <w:r>
              <w:rPr>
                <w:noProof/>
                <w:webHidden/>
              </w:rPr>
              <w:t>5</w:t>
            </w:r>
            <w:r>
              <w:rPr>
                <w:noProof/>
                <w:webHidden/>
              </w:rPr>
              <w:fldChar w:fldCharType="end"/>
            </w:r>
          </w:hyperlink>
        </w:p>
        <w:p w14:paraId="5356F3B3" w14:textId="7618FF3C" w:rsidR="002C57E0" w:rsidRDefault="002C57E0">
          <w:pPr>
            <w:pStyle w:val="TOC3"/>
            <w:tabs>
              <w:tab w:val="left" w:pos="1100"/>
              <w:tab w:val="right" w:leader="dot" w:pos="10070"/>
            </w:tabs>
            <w:rPr>
              <w:rFonts w:eastAsiaTheme="minorEastAsia" w:cstheme="minorBidi"/>
              <w:noProof/>
              <w:color w:val="auto"/>
              <w:sz w:val="24"/>
              <w:szCs w:val="24"/>
            </w:rPr>
          </w:pPr>
          <w:hyperlink w:anchor="_Toc124529419" w:history="1">
            <w:r w:rsidRPr="0015340E">
              <w:rPr>
                <w:rStyle w:val="Hyperlink"/>
                <w:noProof/>
              </w:rPr>
              <w:t>1.5.3</w:t>
            </w:r>
            <w:r>
              <w:rPr>
                <w:rFonts w:eastAsiaTheme="minorEastAsia" w:cstheme="minorBidi"/>
                <w:noProof/>
                <w:color w:val="auto"/>
                <w:sz w:val="24"/>
                <w:szCs w:val="24"/>
              </w:rPr>
              <w:tab/>
            </w:r>
            <w:r w:rsidRPr="0015340E">
              <w:rPr>
                <w:rStyle w:val="Hyperlink"/>
                <w:noProof/>
              </w:rPr>
              <w:t>Building Retrofits</w:t>
            </w:r>
            <w:r>
              <w:rPr>
                <w:noProof/>
                <w:webHidden/>
              </w:rPr>
              <w:tab/>
            </w:r>
            <w:r>
              <w:rPr>
                <w:noProof/>
                <w:webHidden/>
              </w:rPr>
              <w:fldChar w:fldCharType="begin"/>
            </w:r>
            <w:r>
              <w:rPr>
                <w:noProof/>
                <w:webHidden/>
              </w:rPr>
              <w:instrText xml:space="preserve"> PAGEREF _Toc124529419 \h </w:instrText>
            </w:r>
            <w:r>
              <w:rPr>
                <w:noProof/>
                <w:webHidden/>
              </w:rPr>
            </w:r>
            <w:r>
              <w:rPr>
                <w:noProof/>
                <w:webHidden/>
              </w:rPr>
              <w:fldChar w:fldCharType="separate"/>
            </w:r>
            <w:r>
              <w:rPr>
                <w:noProof/>
                <w:webHidden/>
              </w:rPr>
              <w:t>6</w:t>
            </w:r>
            <w:r>
              <w:rPr>
                <w:noProof/>
                <w:webHidden/>
              </w:rPr>
              <w:fldChar w:fldCharType="end"/>
            </w:r>
          </w:hyperlink>
        </w:p>
        <w:p w14:paraId="49CFF930" w14:textId="13060DAD" w:rsidR="002C57E0" w:rsidRDefault="002C57E0">
          <w:pPr>
            <w:pStyle w:val="TOC3"/>
            <w:tabs>
              <w:tab w:val="left" w:pos="1100"/>
              <w:tab w:val="right" w:leader="dot" w:pos="10070"/>
            </w:tabs>
            <w:rPr>
              <w:rFonts w:eastAsiaTheme="minorEastAsia" w:cstheme="minorBidi"/>
              <w:noProof/>
              <w:color w:val="auto"/>
              <w:sz w:val="24"/>
              <w:szCs w:val="24"/>
            </w:rPr>
          </w:pPr>
          <w:hyperlink w:anchor="_Toc124529420" w:history="1">
            <w:r w:rsidRPr="0015340E">
              <w:rPr>
                <w:rStyle w:val="Hyperlink"/>
                <w:noProof/>
              </w:rPr>
              <w:t>1.5.4</w:t>
            </w:r>
            <w:r>
              <w:rPr>
                <w:rFonts w:eastAsiaTheme="minorEastAsia" w:cstheme="minorBidi"/>
                <w:noProof/>
                <w:color w:val="auto"/>
                <w:sz w:val="24"/>
                <w:szCs w:val="24"/>
              </w:rPr>
              <w:tab/>
            </w:r>
            <w:r w:rsidRPr="0015340E">
              <w:rPr>
                <w:rStyle w:val="Hyperlink"/>
                <w:noProof/>
              </w:rPr>
              <w:t>Mixed-Use Development</w:t>
            </w:r>
            <w:r>
              <w:rPr>
                <w:noProof/>
                <w:webHidden/>
              </w:rPr>
              <w:tab/>
            </w:r>
            <w:r>
              <w:rPr>
                <w:noProof/>
                <w:webHidden/>
              </w:rPr>
              <w:fldChar w:fldCharType="begin"/>
            </w:r>
            <w:r>
              <w:rPr>
                <w:noProof/>
                <w:webHidden/>
              </w:rPr>
              <w:instrText xml:space="preserve"> PAGEREF _Toc124529420 \h </w:instrText>
            </w:r>
            <w:r>
              <w:rPr>
                <w:noProof/>
                <w:webHidden/>
              </w:rPr>
            </w:r>
            <w:r>
              <w:rPr>
                <w:noProof/>
                <w:webHidden/>
              </w:rPr>
              <w:fldChar w:fldCharType="separate"/>
            </w:r>
            <w:r>
              <w:rPr>
                <w:noProof/>
                <w:webHidden/>
              </w:rPr>
              <w:t>6</w:t>
            </w:r>
            <w:r>
              <w:rPr>
                <w:noProof/>
                <w:webHidden/>
              </w:rPr>
              <w:fldChar w:fldCharType="end"/>
            </w:r>
          </w:hyperlink>
        </w:p>
        <w:p w14:paraId="4A977423" w14:textId="7FDD88B0" w:rsidR="002C57E0" w:rsidRDefault="002C57E0">
          <w:pPr>
            <w:pStyle w:val="TOC3"/>
            <w:tabs>
              <w:tab w:val="left" w:pos="1100"/>
              <w:tab w:val="right" w:leader="dot" w:pos="10070"/>
            </w:tabs>
            <w:rPr>
              <w:rFonts w:eastAsiaTheme="minorEastAsia" w:cstheme="minorBidi"/>
              <w:noProof/>
              <w:color w:val="auto"/>
              <w:sz w:val="24"/>
              <w:szCs w:val="24"/>
            </w:rPr>
          </w:pPr>
          <w:hyperlink w:anchor="_Toc124529421" w:history="1">
            <w:r w:rsidRPr="0015340E">
              <w:rPr>
                <w:rStyle w:val="Hyperlink"/>
                <w:noProof/>
              </w:rPr>
              <w:t>1.5.5</w:t>
            </w:r>
            <w:r>
              <w:rPr>
                <w:rFonts w:eastAsiaTheme="minorEastAsia" w:cstheme="minorBidi"/>
                <w:noProof/>
                <w:color w:val="auto"/>
                <w:sz w:val="24"/>
                <w:szCs w:val="24"/>
              </w:rPr>
              <w:tab/>
            </w:r>
            <w:r w:rsidRPr="0015340E">
              <w:rPr>
                <w:rStyle w:val="Hyperlink"/>
                <w:noProof/>
              </w:rPr>
              <w:t>Building Codes</w:t>
            </w:r>
            <w:r>
              <w:rPr>
                <w:noProof/>
                <w:webHidden/>
              </w:rPr>
              <w:tab/>
            </w:r>
            <w:r>
              <w:rPr>
                <w:noProof/>
                <w:webHidden/>
              </w:rPr>
              <w:fldChar w:fldCharType="begin"/>
            </w:r>
            <w:r>
              <w:rPr>
                <w:noProof/>
                <w:webHidden/>
              </w:rPr>
              <w:instrText xml:space="preserve"> PAGEREF _Toc124529421 \h </w:instrText>
            </w:r>
            <w:r>
              <w:rPr>
                <w:noProof/>
                <w:webHidden/>
              </w:rPr>
            </w:r>
            <w:r>
              <w:rPr>
                <w:noProof/>
                <w:webHidden/>
              </w:rPr>
              <w:fldChar w:fldCharType="separate"/>
            </w:r>
            <w:r>
              <w:rPr>
                <w:noProof/>
                <w:webHidden/>
              </w:rPr>
              <w:t>6</w:t>
            </w:r>
            <w:r>
              <w:rPr>
                <w:noProof/>
                <w:webHidden/>
              </w:rPr>
              <w:fldChar w:fldCharType="end"/>
            </w:r>
          </w:hyperlink>
        </w:p>
        <w:p w14:paraId="2F4F4A6B" w14:textId="0AEB5534" w:rsidR="002C57E0" w:rsidRDefault="002C57E0">
          <w:pPr>
            <w:pStyle w:val="TOC1"/>
            <w:tabs>
              <w:tab w:val="left" w:pos="440"/>
            </w:tabs>
            <w:rPr>
              <w:rFonts w:eastAsiaTheme="minorEastAsia" w:cstheme="minorBidi"/>
              <w:b w:val="0"/>
              <w:bCs w:val="0"/>
              <w:i w:val="0"/>
              <w:iCs w:val="0"/>
              <w:noProof/>
              <w:color w:val="auto"/>
            </w:rPr>
          </w:pPr>
          <w:hyperlink w:anchor="_Toc124529422" w:history="1">
            <w:r w:rsidRPr="0015340E">
              <w:rPr>
                <w:rStyle w:val="Hyperlink"/>
                <w:noProof/>
              </w:rPr>
              <w:t>2</w:t>
            </w:r>
            <w:r>
              <w:rPr>
                <w:rFonts w:eastAsiaTheme="minorEastAsia" w:cstheme="minorBidi"/>
                <w:b w:val="0"/>
                <w:bCs w:val="0"/>
                <w:i w:val="0"/>
                <w:iCs w:val="0"/>
                <w:noProof/>
                <w:color w:val="auto"/>
              </w:rPr>
              <w:tab/>
            </w:r>
            <w:r w:rsidRPr="0015340E">
              <w:rPr>
                <w:rStyle w:val="Hyperlink"/>
                <w:noProof/>
              </w:rPr>
              <w:t>Demographic Assumptions</w:t>
            </w:r>
            <w:r>
              <w:rPr>
                <w:noProof/>
                <w:webHidden/>
              </w:rPr>
              <w:tab/>
            </w:r>
            <w:r>
              <w:rPr>
                <w:noProof/>
                <w:webHidden/>
              </w:rPr>
              <w:fldChar w:fldCharType="begin"/>
            </w:r>
            <w:r>
              <w:rPr>
                <w:noProof/>
                <w:webHidden/>
              </w:rPr>
              <w:instrText xml:space="preserve"> PAGEREF _Toc124529422 \h </w:instrText>
            </w:r>
            <w:r>
              <w:rPr>
                <w:noProof/>
                <w:webHidden/>
              </w:rPr>
            </w:r>
            <w:r>
              <w:rPr>
                <w:noProof/>
                <w:webHidden/>
              </w:rPr>
              <w:fldChar w:fldCharType="separate"/>
            </w:r>
            <w:r>
              <w:rPr>
                <w:noProof/>
                <w:webHidden/>
              </w:rPr>
              <w:t>7</w:t>
            </w:r>
            <w:r>
              <w:rPr>
                <w:noProof/>
                <w:webHidden/>
              </w:rPr>
              <w:fldChar w:fldCharType="end"/>
            </w:r>
          </w:hyperlink>
        </w:p>
        <w:p w14:paraId="0FE6AD56" w14:textId="6310AFA8" w:rsidR="002C57E0" w:rsidRDefault="002C57E0">
          <w:pPr>
            <w:pStyle w:val="TOC1"/>
            <w:tabs>
              <w:tab w:val="left" w:pos="440"/>
            </w:tabs>
            <w:rPr>
              <w:rFonts w:eastAsiaTheme="minorEastAsia" w:cstheme="minorBidi"/>
              <w:b w:val="0"/>
              <w:bCs w:val="0"/>
              <w:i w:val="0"/>
              <w:iCs w:val="0"/>
              <w:noProof/>
              <w:color w:val="auto"/>
            </w:rPr>
          </w:pPr>
          <w:hyperlink w:anchor="_Toc124529423" w:history="1">
            <w:r w:rsidRPr="0015340E">
              <w:rPr>
                <w:rStyle w:val="Hyperlink"/>
                <w:noProof/>
              </w:rPr>
              <w:t>3</w:t>
            </w:r>
            <w:r>
              <w:rPr>
                <w:rFonts w:eastAsiaTheme="minorEastAsia" w:cstheme="minorBidi"/>
                <w:b w:val="0"/>
                <w:bCs w:val="0"/>
                <w:i w:val="0"/>
                <w:iCs w:val="0"/>
                <w:noProof/>
                <w:color w:val="auto"/>
              </w:rPr>
              <w:tab/>
            </w:r>
            <w:r w:rsidRPr="0015340E">
              <w:rPr>
                <w:rStyle w:val="Hyperlink"/>
                <w:noProof/>
              </w:rPr>
              <w:t>Reducing Emissions in the Building Energy Sector</w:t>
            </w:r>
            <w:r>
              <w:rPr>
                <w:noProof/>
                <w:webHidden/>
              </w:rPr>
              <w:tab/>
            </w:r>
            <w:r>
              <w:rPr>
                <w:noProof/>
                <w:webHidden/>
              </w:rPr>
              <w:fldChar w:fldCharType="begin"/>
            </w:r>
            <w:r>
              <w:rPr>
                <w:noProof/>
                <w:webHidden/>
              </w:rPr>
              <w:instrText xml:space="preserve"> PAGEREF _Toc124529423 \h </w:instrText>
            </w:r>
            <w:r>
              <w:rPr>
                <w:noProof/>
                <w:webHidden/>
              </w:rPr>
            </w:r>
            <w:r>
              <w:rPr>
                <w:noProof/>
                <w:webHidden/>
              </w:rPr>
              <w:fldChar w:fldCharType="separate"/>
            </w:r>
            <w:r>
              <w:rPr>
                <w:noProof/>
                <w:webHidden/>
              </w:rPr>
              <w:t>10</w:t>
            </w:r>
            <w:r>
              <w:rPr>
                <w:noProof/>
                <w:webHidden/>
              </w:rPr>
              <w:fldChar w:fldCharType="end"/>
            </w:r>
          </w:hyperlink>
        </w:p>
        <w:p w14:paraId="1F947424" w14:textId="3CDC081B" w:rsidR="002C57E0" w:rsidRDefault="002C57E0">
          <w:pPr>
            <w:pStyle w:val="TOC2"/>
            <w:tabs>
              <w:tab w:val="left" w:pos="880"/>
            </w:tabs>
            <w:rPr>
              <w:rFonts w:eastAsiaTheme="minorEastAsia" w:cstheme="minorBidi"/>
              <w:b w:val="0"/>
              <w:bCs w:val="0"/>
              <w:color w:val="auto"/>
              <w:sz w:val="24"/>
              <w:szCs w:val="24"/>
            </w:rPr>
          </w:pPr>
          <w:hyperlink w:anchor="_Toc124529424" w:history="1">
            <w:r w:rsidRPr="0015340E">
              <w:rPr>
                <w:rStyle w:val="Hyperlink"/>
              </w:rPr>
              <w:t>3.1</w:t>
            </w:r>
            <w:r>
              <w:rPr>
                <w:rFonts w:eastAsiaTheme="minorEastAsia" w:cstheme="minorBidi"/>
                <w:b w:val="0"/>
                <w:bCs w:val="0"/>
                <w:color w:val="auto"/>
                <w:sz w:val="24"/>
                <w:szCs w:val="24"/>
              </w:rPr>
              <w:tab/>
            </w:r>
            <w:r w:rsidRPr="0015340E">
              <w:rPr>
                <w:rStyle w:val="Hyperlink"/>
              </w:rPr>
              <w:t>Residential Energy Assumptions</w:t>
            </w:r>
            <w:r>
              <w:rPr>
                <w:webHidden/>
              </w:rPr>
              <w:tab/>
            </w:r>
            <w:r>
              <w:rPr>
                <w:webHidden/>
              </w:rPr>
              <w:fldChar w:fldCharType="begin"/>
            </w:r>
            <w:r>
              <w:rPr>
                <w:webHidden/>
              </w:rPr>
              <w:instrText xml:space="preserve"> PAGEREF _Toc124529424 \h </w:instrText>
            </w:r>
            <w:r>
              <w:rPr>
                <w:webHidden/>
              </w:rPr>
            </w:r>
            <w:r>
              <w:rPr>
                <w:webHidden/>
              </w:rPr>
              <w:fldChar w:fldCharType="separate"/>
            </w:r>
            <w:r>
              <w:rPr>
                <w:webHidden/>
              </w:rPr>
              <w:t>10</w:t>
            </w:r>
            <w:r>
              <w:rPr>
                <w:webHidden/>
              </w:rPr>
              <w:fldChar w:fldCharType="end"/>
            </w:r>
          </w:hyperlink>
        </w:p>
        <w:p w14:paraId="1D384FE3" w14:textId="2BC99DDD" w:rsidR="002C57E0" w:rsidRDefault="002C57E0">
          <w:pPr>
            <w:pStyle w:val="TOC3"/>
            <w:tabs>
              <w:tab w:val="left" w:pos="1100"/>
              <w:tab w:val="right" w:leader="dot" w:pos="10070"/>
            </w:tabs>
            <w:rPr>
              <w:rFonts w:eastAsiaTheme="minorEastAsia" w:cstheme="minorBidi"/>
              <w:noProof/>
              <w:color w:val="auto"/>
              <w:sz w:val="24"/>
              <w:szCs w:val="24"/>
            </w:rPr>
          </w:pPr>
          <w:hyperlink w:anchor="_Toc124529425" w:history="1">
            <w:r w:rsidRPr="0015340E">
              <w:rPr>
                <w:rStyle w:val="Hyperlink"/>
                <w:noProof/>
              </w:rPr>
              <w:t>3.1.1</w:t>
            </w:r>
            <w:r>
              <w:rPr>
                <w:rFonts w:eastAsiaTheme="minorEastAsia" w:cstheme="minorBidi"/>
                <w:noProof/>
                <w:color w:val="auto"/>
                <w:sz w:val="24"/>
                <w:szCs w:val="24"/>
              </w:rPr>
              <w:tab/>
            </w:r>
            <w:r w:rsidRPr="0015340E">
              <w:rPr>
                <w:rStyle w:val="Hyperlink"/>
                <w:noProof/>
              </w:rPr>
              <w:t>Residential Energy Strategies</w:t>
            </w:r>
            <w:r>
              <w:rPr>
                <w:noProof/>
                <w:webHidden/>
              </w:rPr>
              <w:tab/>
            </w:r>
            <w:r>
              <w:rPr>
                <w:noProof/>
                <w:webHidden/>
              </w:rPr>
              <w:fldChar w:fldCharType="begin"/>
            </w:r>
            <w:r>
              <w:rPr>
                <w:noProof/>
                <w:webHidden/>
              </w:rPr>
              <w:instrText xml:space="preserve"> PAGEREF _Toc124529425 \h </w:instrText>
            </w:r>
            <w:r>
              <w:rPr>
                <w:noProof/>
                <w:webHidden/>
              </w:rPr>
            </w:r>
            <w:r>
              <w:rPr>
                <w:noProof/>
                <w:webHidden/>
              </w:rPr>
              <w:fldChar w:fldCharType="separate"/>
            </w:r>
            <w:r>
              <w:rPr>
                <w:noProof/>
                <w:webHidden/>
              </w:rPr>
              <w:t>11</w:t>
            </w:r>
            <w:r>
              <w:rPr>
                <w:noProof/>
                <w:webHidden/>
              </w:rPr>
              <w:fldChar w:fldCharType="end"/>
            </w:r>
          </w:hyperlink>
        </w:p>
        <w:p w14:paraId="145D83E5" w14:textId="2580F44F" w:rsidR="002C57E0" w:rsidRDefault="002C57E0">
          <w:pPr>
            <w:pStyle w:val="TOC2"/>
            <w:tabs>
              <w:tab w:val="left" w:pos="880"/>
            </w:tabs>
            <w:rPr>
              <w:rFonts w:eastAsiaTheme="minorEastAsia" w:cstheme="minorBidi"/>
              <w:b w:val="0"/>
              <w:bCs w:val="0"/>
              <w:color w:val="auto"/>
              <w:sz w:val="24"/>
              <w:szCs w:val="24"/>
            </w:rPr>
          </w:pPr>
          <w:hyperlink w:anchor="_Toc124529426" w:history="1">
            <w:r w:rsidRPr="0015340E">
              <w:rPr>
                <w:rStyle w:val="Hyperlink"/>
              </w:rPr>
              <w:t>3.2</w:t>
            </w:r>
            <w:r>
              <w:rPr>
                <w:rFonts w:eastAsiaTheme="minorEastAsia" w:cstheme="minorBidi"/>
                <w:b w:val="0"/>
                <w:bCs w:val="0"/>
                <w:color w:val="auto"/>
                <w:sz w:val="24"/>
                <w:szCs w:val="24"/>
              </w:rPr>
              <w:tab/>
            </w:r>
            <w:r w:rsidRPr="0015340E">
              <w:rPr>
                <w:rStyle w:val="Hyperlink"/>
              </w:rPr>
              <w:t>Non-Residential Energy Assumptions</w:t>
            </w:r>
            <w:r>
              <w:rPr>
                <w:webHidden/>
              </w:rPr>
              <w:tab/>
            </w:r>
            <w:r>
              <w:rPr>
                <w:webHidden/>
              </w:rPr>
              <w:fldChar w:fldCharType="begin"/>
            </w:r>
            <w:r>
              <w:rPr>
                <w:webHidden/>
              </w:rPr>
              <w:instrText xml:space="preserve"> PAGEREF _Toc124529426 \h </w:instrText>
            </w:r>
            <w:r>
              <w:rPr>
                <w:webHidden/>
              </w:rPr>
            </w:r>
            <w:r>
              <w:rPr>
                <w:webHidden/>
              </w:rPr>
              <w:fldChar w:fldCharType="separate"/>
            </w:r>
            <w:r>
              <w:rPr>
                <w:webHidden/>
              </w:rPr>
              <w:t>21</w:t>
            </w:r>
            <w:r>
              <w:rPr>
                <w:webHidden/>
              </w:rPr>
              <w:fldChar w:fldCharType="end"/>
            </w:r>
          </w:hyperlink>
        </w:p>
        <w:p w14:paraId="6299A628" w14:textId="343AA42E" w:rsidR="002C57E0" w:rsidRDefault="002C57E0">
          <w:pPr>
            <w:pStyle w:val="TOC3"/>
            <w:tabs>
              <w:tab w:val="left" w:pos="1100"/>
              <w:tab w:val="right" w:leader="dot" w:pos="10070"/>
            </w:tabs>
            <w:rPr>
              <w:rFonts w:eastAsiaTheme="minorEastAsia" w:cstheme="minorBidi"/>
              <w:noProof/>
              <w:color w:val="auto"/>
              <w:sz w:val="24"/>
              <w:szCs w:val="24"/>
            </w:rPr>
          </w:pPr>
          <w:hyperlink w:anchor="_Toc124529427" w:history="1">
            <w:r w:rsidRPr="0015340E">
              <w:rPr>
                <w:rStyle w:val="Hyperlink"/>
                <w:noProof/>
              </w:rPr>
              <w:t>3.2.1</w:t>
            </w:r>
            <w:r>
              <w:rPr>
                <w:rFonts w:eastAsiaTheme="minorEastAsia" w:cstheme="minorBidi"/>
                <w:noProof/>
                <w:color w:val="auto"/>
                <w:sz w:val="24"/>
                <w:szCs w:val="24"/>
              </w:rPr>
              <w:tab/>
            </w:r>
            <w:r w:rsidRPr="0015340E">
              <w:rPr>
                <w:rStyle w:val="Hyperlink"/>
                <w:noProof/>
              </w:rPr>
              <w:t>Non-Residential Energy Strategies</w:t>
            </w:r>
            <w:r>
              <w:rPr>
                <w:noProof/>
                <w:webHidden/>
              </w:rPr>
              <w:tab/>
            </w:r>
            <w:r>
              <w:rPr>
                <w:noProof/>
                <w:webHidden/>
              </w:rPr>
              <w:fldChar w:fldCharType="begin"/>
            </w:r>
            <w:r>
              <w:rPr>
                <w:noProof/>
                <w:webHidden/>
              </w:rPr>
              <w:instrText xml:space="preserve"> PAGEREF _Toc124529427 \h </w:instrText>
            </w:r>
            <w:r>
              <w:rPr>
                <w:noProof/>
                <w:webHidden/>
              </w:rPr>
            </w:r>
            <w:r>
              <w:rPr>
                <w:noProof/>
                <w:webHidden/>
              </w:rPr>
              <w:fldChar w:fldCharType="separate"/>
            </w:r>
            <w:r>
              <w:rPr>
                <w:noProof/>
                <w:webHidden/>
              </w:rPr>
              <w:t>22</w:t>
            </w:r>
            <w:r>
              <w:rPr>
                <w:noProof/>
                <w:webHidden/>
              </w:rPr>
              <w:fldChar w:fldCharType="end"/>
            </w:r>
          </w:hyperlink>
        </w:p>
        <w:p w14:paraId="3B882EB0" w14:textId="2DB7824A" w:rsidR="002C57E0" w:rsidRDefault="002C57E0">
          <w:pPr>
            <w:pStyle w:val="TOC1"/>
            <w:tabs>
              <w:tab w:val="left" w:pos="440"/>
            </w:tabs>
            <w:rPr>
              <w:rFonts w:eastAsiaTheme="minorEastAsia" w:cstheme="minorBidi"/>
              <w:b w:val="0"/>
              <w:bCs w:val="0"/>
              <w:i w:val="0"/>
              <w:iCs w:val="0"/>
              <w:noProof/>
              <w:color w:val="auto"/>
            </w:rPr>
          </w:pPr>
          <w:hyperlink w:anchor="_Toc124529428" w:history="1">
            <w:r w:rsidRPr="0015340E">
              <w:rPr>
                <w:rStyle w:val="Hyperlink"/>
                <w:noProof/>
              </w:rPr>
              <w:t>4</w:t>
            </w:r>
            <w:r>
              <w:rPr>
                <w:rFonts w:eastAsiaTheme="minorEastAsia" w:cstheme="minorBidi"/>
                <w:b w:val="0"/>
                <w:bCs w:val="0"/>
                <w:i w:val="0"/>
                <w:iCs w:val="0"/>
                <w:noProof/>
                <w:color w:val="auto"/>
              </w:rPr>
              <w:tab/>
            </w:r>
            <w:r w:rsidRPr="0015340E">
              <w:rPr>
                <w:rStyle w:val="Hyperlink"/>
                <w:noProof/>
              </w:rPr>
              <w:t>Reducing Emissions in the Transportation Sector</w:t>
            </w:r>
            <w:r>
              <w:rPr>
                <w:noProof/>
                <w:webHidden/>
              </w:rPr>
              <w:tab/>
            </w:r>
            <w:r>
              <w:rPr>
                <w:noProof/>
                <w:webHidden/>
              </w:rPr>
              <w:fldChar w:fldCharType="begin"/>
            </w:r>
            <w:r>
              <w:rPr>
                <w:noProof/>
                <w:webHidden/>
              </w:rPr>
              <w:instrText xml:space="preserve"> PAGEREF _Toc124529428 \h </w:instrText>
            </w:r>
            <w:r>
              <w:rPr>
                <w:noProof/>
                <w:webHidden/>
              </w:rPr>
            </w:r>
            <w:r>
              <w:rPr>
                <w:noProof/>
                <w:webHidden/>
              </w:rPr>
              <w:fldChar w:fldCharType="separate"/>
            </w:r>
            <w:r>
              <w:rPr>
                <w:noProof/>
                <w:webHidden/>
              </w:rPr>
              <w:t>23</w:t>
            </w:r>
            <w:r>
              <w:rPr>
                <w:noProof/>
                <w:webHidden/>
              </w:rPr>
              <w:fldChar w:fldCharType="end"/>
            </w:r>
          </w:hyperlink>
        </w:p>
        <w:p w14:paraId="7273EDD3" w14:textId="2E8B22C0" w:rsidR="002C57E0" w:rsidRDefault="002C57E0">
          <w:pPr>
            <w:pStyle w:val="TOC2"/>
            <w:tabs>
              <w:tab w:val="left" w:pos="880"/>
            </w:tabs>
            <w:rPr>
              <w:rFonts w:eastAsiaTheme="minorEastAsia" w:cstheme="minorBidi"/>
              <w:b w:val="0"/>
              <w:bCs w:val="0"/>
              <w:color w:val="auto"/>
              <w:sz w:val="24"/>
              <w:szCs w:val="24"/>
            </w:rPr>
          </w:pPr>
          <w:hyperlink w:anchor="_Toc124529429" w:history="1">
            <w:r w:rsidRPr="0015340E">
              <w:rPr>
                <w:rStyle w:val="Hyperlink"/>
              </w:rPr>
              <w:t>4.1</w:t>
            </w:r>
            <w:r>
              <w:rPr>
                <w:rFonts w:eastAsiaTheme="minorEastAsia" w:cstheme="minorBidi"/>
                <w:b w:val="0"/>
                <w:bCs w:val="0"/>
                <w:color w:val="auto"/>
                <w:sz w:val="24"/>
                <w:szCs w:val="24"/>
              </w:rPr>
              <w:tab/>
            </w:r>
            <w:r w:rsidRPr="0015340E">
              <w:rPr>
                <w:rStyle w:val="Hyperlink"/>
              </w:rPr>
              <w:t>Framework</w:t>
            </w:r>
            <w:r>
              <w:rPr>
                <w:webHidden/>
              </w:rPr>
              <w:tab/>
            </w:r>
            <w:r>
              <w:rPr>
                <w:webHidden/>
              </w:rPr>
              <w:fldChar w:fldCharType="begin"/>
            </w:r>
            <w:r>
              <w:rPr>
                <w:webHidden/>
              </w:rPr>
              <w:instrText xml:space="preserve"> PAGEREF _Toc124529429 \h </w:instrText>
            </w:r>
            <w:r>
              <w:rPr>
                <w:webHidden/>
              </w:rPr>
            </w:r>
            <w:r>
              <w:rPr>
                <w:webHidden/>
              </w:rPr>
              <w:fldChar w:fldCharType="separate"/>
            </w:r>
            <w:r>
              <w:rPr>
                <w:webHidden/>
              </w:rPr>
              <w:t>24</w:t>
            </w:r>
            <w:r>
              <w:rPr>
                <w:webHidden/>
              </w:rPr>
              <w:fldChar w:fldCharType="end"/>
            </w:r>
          </w:hyperlink>
        </w:p>
        <w:p w14:paraId="6477BA53" w14:textId="3853A5EF" w:rsidR="002C57E0" w:rsidRDefault="002C57E0">
          <w:pPr>
            <w:pStyle w:val="TOC2"/>
            <w:tabs>
              <w:tab w:val="left" w:pos="880"/>
            </w:tabs>
            <w:rPr>
              <w:rFonts w:eastAsiaTheme="minorEastAsia" w:cstheme="minorBidi"/>
              <w:b w:val="0"/>
              <w:bCs w:val="0"/>
              <w:color w:val="auto"/>
              <w:sz w:val="24"/>
              <w:szCs w:val="24"/>
            </w:rPr>
          </w:pPr>
          <w:hyperlink w:anchor="_Toc124529430" w:history="1">
            <w:r w:rsidRPr="0015340E">
              <w:rPr>
                <w:rStyle w:val="Hyperlink"/>
              </w:rPr>
              <w:t>4.2</w:t>
            </w:r>
            <w:r>
              <w:rPr>
                <w:rFonts w:eastAsiaTheme="minorEastAsia" w:cstheme="minorBidi"/>
                <w:b w:val="0"/>
                <w:bCs w:val="0"/>
                <w:color w:val="auto"/>
                <w:sz w:val="24"/>
                <w:szCs w:val="24"/>
              </w:rPr>
              <w:tab/>
            </w:r>
            <w:r w:rsidRPr="0015340E">
              <w:rPr>
                <w:rStyle w:val="Hyperlink"/>
              </w:rPr>
              <w:t>Transportation Baseline and Data</w:t>
            </w:r>
            <w:r>
              <w:rPr>
                <w:webHidden/>
              </w:rPr>
              <w:tab/>
            </w:r>
            <w:r>
              <w:rPr>
                <w:webHidden/>
              </w:rPr>
              <w:fldChar w:fldCharType="begin"/>
            </w:r>
            <w:r>
              <w:rPr>
                <w:webHidden/>
              </w:rPr>
              <w:instrText xml:space="preserve"> PAGEREF _Toc124529430 \h </w:instrText>
            </w:r>
            <w:r>
              <w:rPr>
                <w:webHidden/>
              </w:rPr>
            </w:r>
            <w:r>
              <w:rPr>
                <w:webHidden/>
              </w:rPr>
              <w:fldChar w:fldCharType="separate"/>
            </w:r>
            <w:r>
              <w:rPr>
                <w:webHidden/>
              </w:rPr>
              <w:t>24</w:t>
            </w:r>
            <w:r>
              <w:rPr>
                <w:webHidden/>
              </w:rPr>
              <w:fldChar w:fldCharType="end"/>
            </w:r>
          </w:hyperlink>
        </w:p>
        <w:p w14:paraId="6033F9F6" w14:textId="0A5B8AE1" w:rsidR="002C57E0" w:rsidRDefault="002C57E0">
          <w:pPr>
            <w:pStyle w:val="TOC3"/>
            <w:tabs>
              <w:tab w:val="left" w:pos="1100"/>
              <w:tab w:val="right" w:leader="dot" w:pos="10070"/>
            </w:tabs>
            <w:rPr>
              <w:rFonts w:eastAsiaTheme="minorEastAsia" w:cstheme="minorBidi"/>
              <w:noProof/>
              <w:color w:val="auto"/>
              <w:sz w:val="24"/>
              <w:szCs w:val="24"/>
            </w:rPr>
          </w:pPr>
          <w:hyperlink w:anchor="_Toc124529431" w:history="1">
            <w:r w:rsidRPr="0015340E">
              <w:rPr>
                <w:rStyle w:val="Hyperlink"/>
                <w:noProof/>
              </w:rPr>
              <w:t>4.2.1</w:t>
            </w:r>
            <w:r>
              <w:rPr>
                <w:rFonts w:eastAsiaTheme="minorEastAsia" w:cstheme="minorBidi"/>
                <w:noProof/>
                <w:color w:val="auto"/>
                <w:sz w:val="24"/>
                <w:szCs w:val="24"/>
              </w:rPr>
              <w:tab/>
            </w:r>
            <w:r w:rsidRPr="0015340E">
              <w:rPr>
                <w:rStyle w:val="Hyperlink"/>
                <w:noProof/>
              </w:rPr>
              <w:t>Annual Energy Outlook (AEO)</w:t>
            </w:r>
            <w:r>
              <w:rPr>
                <w:noProof/>
                <w:webHidden/>
              </w:rPr>
              <w:tab/>
            </w:r>
            <w:r>
              <w:rPr>
                <w:noProof/>
                <w:webHidden/>
              </w:rPr>
              <w:fldChar w:fldCharType="begin"/>
            </w:r>
            <w:r>
              <w:rPr>
                <w:noProof/>
                <w:webHidden/>
              </w:rPr>
              <w:instrText xml:space="preserve"> PAGEREF _Toc124529431 \h </w:instrText>
            </w:r>
            <w:r>
              <w:rPr>
                <w:noProof/>
                <w:webHidden/>
              </w:rPr>
            </w:r>
            <w:r>
              <w:rPr>
                <w:noProof/>
                <w:webHidden/>
              </w:rPr>
              <w:fldChar w:fldCharType="separate"/>
            </w:r>
            <w:r>
              <w:rPr>
                <w:noProof/>
                <w:webHidden/>
              </w:rPr>
              <w:t>24</w:t>
            </w:r>
            <w:r>
              <w:rPr>
                <w:noProof/>
                <w:webHidden/>
              </w:rPr>
              <w:fldChar w:fldCharType="end"/>
            </w:r>
          </w:hyperlink>
        </w:p>
        <w:p w14:paraId="45093D37" w14:textId="76CCCCBF" w:rsidR="002C57E0" w:rsidRDefault="002C57E0">
          <w:pPr>
            <w:pStyle w:val="TOC3"/>
            <w:tabs>
              <w:tab w:val="left" w:pos="1100"/>
              <w:tab w:val="right" w:leader="dot" w:pos="10070"/>
            </w:tabs>
            <w:rPr>
              <w:rFonts w:eastAsiaTheme="minorEastAsia" w:cstheme="minorBidi"/>
              <w:noProof/>
              <w:color w:val="auto"/>
              <w:sz w:val="24"/>
              <w:szCs w:val="24"/>
            </w:rPr>
          </w:pPr>
          <w:hyperlink w:anchor="_Toc124529432" w:history="1">
            <w:r w:rsidRPr="0015340E">
              <w:rPr>
                <w:rStyle w:val="Hyperlink"/>
                <w:noProof/>
              </w:rPr>
              <w:t>4.2.2</w:t>
            </w:r>
            <w:r>
              <w:rPr>
                <w:rFonts w:eastAsiaTheme="minorEastAsia" w:cstheme="minorBidi"/>
                <w:noProof/>
                <w:color w:val="auto"/>
                <w:sz w:val="24"/>
                <w:szCs w:val="24"/>
              </w:rPr>
              <w:tab/>
            </w:r>
            <w:r w:rsidRPr="0015340E">
              <w:rPr>
                <w:rStyle w:val="Hyperlink"/>
                <w:noProof/>
              </w:rPr>
              <w:t>Passenger</w:t>
            </w:r>
            <w:r>
              <w:rPr>
                <w:noProof/>
                <w:webHidden/>
              </w:rPr>
              <w:tab/>
            </w:r>
            <w:r>
              <w:rPr>
                <w:noProof/>
                <w:webHidden/>
              </w:rPr>
              <w:fldChar w:fldCharType="begin"/>
            </w:r>
            <w:r>
              <w:rPr>
                <w:noProof/>
                <w:webHidden/>
              </w:rPr>
              <w:instrText xml:space="preserve"> PAGEREF _Toc124529432 \h </w:instrText>
            </w:r>
            <w:r>
              <w:rPr>
                <w:noProof/>
                <w:webHidden/>
              </w:rPr>
            </w:r>
            <w:r>
              <w:rPr>
                <w:noProof/>
                <w:webHidden/>
              </w:rPr>
              <w:fldChar w:fldCharType="separate"/>
            </w:r>
            <w:r>
              <w:rPr>
                <w:noProof/>
                <w:webHidden/>
              </w:rPr>
              <w:t>25</w:t>
            </w:r>
            <w:r>
              <w:rPr>
                <w:noProof/>
                <w:webHidden/>
              </w:rPr>
              <w:fldChar w:fldCharType="end"/>
            </w:r>
          </w:hyperlink>
        </w:p>
        <w:p w14:paraId="0E7E4192" w14:textId="0453F341" w:rsidR="002C57E0" w:rsidRDefault="002C57E0">
          <w:pPr>
            <w:pStyle w:val="TOC3"/>
            <w:tabs>
              <w:tab w:val="left" w:pos="1100"/>
              <w:tab w:val="right" w:leader="dot" w:pos="10070"/>
            </w:tabs>
            <w:rPr>
              <w:rFonts w:eastAsiaTheme="minorEastAsia" w:cstheme="minorBidi"/>
              <w:noProof/>
              <w:color w:val="auto"/>
              <w:sz w:val="24"/>
              <w:szCs w:val="24"/>
            </w:rPr>
          </w:pPr>
          <w:hyperlink w:anchor="_Toc124529433" w:history="1">
            <w:r w:rsidRPr="0015340E">
              <w:rPr>
                <w:rStyle w:val="Hyperlink"/>
                <w:noProof/>
              </w:rPr>
              <w:t>4.2.3</w:t>
            </w:r>
            <w:r>
              <w:rPr>
                <w:rFonts w:eastAsiaTheme="minorEastAsia" w:cstheme="minorBidi"/>
                <w:noProof/>
                <w:color w:val="auto"/>
                <w:sz w:val="24"/>
                <w:szCs w:val="24"/>
              </w:rPr>
              <w:tab/>
            </w:r>
            <w:r w:rsidRPr="0015340E">
              <w:rPr>
                <w:rStyle w:val="Hyperlink"/>
                <w:noProof/>
              </w:rPr>
              <w:t>Freight</w:t>
            </w:r>
            <w:r>
              <w:rPr>
                <w:noProof/>
                <w:webHidden/>
              </w:rPr>
              <w:tab/>
            </w:r>
            <w:r>
              <w:rPr>
                <w:noProof/>
                <w:webHidden/>
              </w:rPr>
              <w:fldChar w:fldCharType="begin"/>
            </w:r>
            <w:r>
              <w:rPr>
                <w:noProof/>
                <w:webHidden/>
              </w:rPr>
              <w:instrText xml:space="preserve"> PAGEREF _Toc124529433 \h </w:instrText>
            </w:r>
            <w:r>
              <w:rPr>
                <w:noProof/>
                <w:webHidden/>
              </w:rPr>
            </w:r>
            <w:r>
              <w:rPr>
                <w:noProof/>
                <w:webHidden/>
              </w:rPr>
              <w:fldChar w:fldCharType="separate"/>
            </w:r>
            <w:r>
              <w:rPr>
                <w:noProof/>
                <w:webHidden/>
              </w:rPr>
              <w:t>25</w:t>
            </w:r>
            <w:r>
              <w:rPr>
                <w:noProof/>
                <w:webHidden/>
              </w:rPr>
              <w:fldChar w:fldCharType="end"/>
            </w:r>
          </w:hyperlink>
        </w:p>
        <w:p w14:paraId="1CA648AC" w14:textId="133B7607" w:rsidR="002C57E0" w:rsidRDefault="002C57E0">
          <w:pPr>
            <w:pStyle w:val="TOC2"/>
            <w:tabs>
              <w:tab w:val="left" w:pos="880"/>
            </w:tabs>
            <w:rPr>
              <w:rFonts w:eastAsiaTheme="minorEastAsia" w:cstheme="minorBidi"/>
              <w:b w:val="0"/>
              <w:bCs w:val="0"/>
              <w:color w:val="auto"/>
              <w:sz w:val="24"/>
              <w:szCs w:val="24"/>
            </w:rPr>
          </w:pPr>
          <w:hyperlink w:anchor="_Toc124529434" w:history="1">
            <w:r w:rsidRPr="0015340E">
              <w:rPr>
                <w:rStyle w:val="Hyperlink"/>
              </w:rPr>
              <w:t>4.3</w:t>
            </w:r>
            <w:r>
              <w:rPr>
                <w:rFonts w:eastAsiaTheme="minorEastAsia" w:cstheme="minorBidi"/>
                <w:b w:val="0"/>
                <w:bCs w:val="0"/>
                <w:color w:val="auto"/>
                <w:sz w:val="24"/>
                <w:szCs w:val="24"/>
              </w:rPr>
              <w:tab/>
            </w:r>
            <w:r w:rsidRPr="0015340E">
              <w:rPr>
                <w:rStyle w:val="Hyperlink"/>
              </w:rPr>
              <w:t>Transportation Baseline and Forecast</w:t>
            </w:r>
            <w:r>
              <w:rPr>
                <w:webHidden/>
              </w:rPr>
              <w:tab/>
            </w:r>
            <w:r>
              <w:rPr>
                <w:webHidden/>
              </w:rPr>
              <w:fldChar w:fldCharType="begin"/>
            </w:r>
            <w:r>
              <w:rPr>
                <w:webHidden/>
              </w:rPr>
              <w:instrText xml:space="preserve"> PAGEREF _Toc124529434 \h </w:instrText>
            </w:r>
            <w:r>
              <w:rPr>
                <w:webHidden/>
              </w:rPr>
            </w:r>
            <w:r>
              <w:rPr>
                <w:webHidden/>
              </w:rPr>
              <w:fldChar w:fldCharType="separate"/>
            </w:r>
            <w:r>
              <w:rPr>
                <w:webHidden/>
              </w:rPr>
              <w:t>25</w:t>
            </w:r>
            <w:r>
              <w:rPr>
                <w:webHidden/>
              </w:rPr>
              <w:fldChar w:fldCharType="end"/>
            </w:r>
          </w:hyperlink>
        </w:p>
        <w:p w14:paraId="323E9EAA" w14:textId="022B5944" w:rsidR="002C57E0" w:rsidRDefault="002C57E0">
          <w:pPr>
            <w:pStyle w:val="TOC2"/>
            <w:tabs>
              <w:tab w:val="left" w:pos="880"/>
            </w:tabs>
            <w:rPr>
              <w:rFonts w:eastAsiaTheme="minorEastAsia" w:cstheme="minorBidi"/>
              <w:b w:val="0"/>
              <w:bCs w:val="0"/>
              <w:color w:val="auto"/>
              <w:sz w:val="24"/>
              <w:szCs w:val="24"/>
            </w:rPr>
          </w:pPr>
          <w:hyperlink w:anchor="_Toc124529435" w:history="1">
            <w:r w:rsidRPr="0015340E">
              <w:rPr>
                <w:rStyle w:val="Hyperlink"/>
              </w:rPr>
              <w:t>4.4</w:t>
            </w:r>
            <w:r>
              <w:rPr>
                <w:rFonts w:eastAsiaTheme="minorEastAsia" w:cstheme="minorBidi"/>
                <w:b w:val="0"/>
                <w:bCs w:val="0"/>
                <w:color w:val="auto"/>
                <w:sz w:val="24"/>
                <w:szCs w:val="24"/>
              </w:rPr>
              <w:tab/>
            </w:r>
            <w:r w:rsidRPr="0015340E">
              <w:rPr>
                <w:rStyle w:val="Hyperlink"/>
              </w:rPr>
              <w:t>Interventions/Strategies</w:t>
            </w:r>
            <w:r>
              <w:rPr>
                <w:webHidden/>
              </w:rPr>
              <w:tab/>
            </w:r>
            <w:r>
              <w:rPr>
                <w:webHidden/>
              </w:rPr>
              <w:fldChar w:fldCharType="begin"/>
            </w:r>
            <w:r>
              <w:rPr>
                <w:webHidden/>
              </w:rPr>
              <w:instrText xml:space="preserve"> PAGEREF _Toc124529435 \h </w:instrText>
            </w:r>
            <w:r>
              <w:rPr>
                <w:webHidden/>
              </w:rPr>
            </w:r>
            <w:r>
              <w:rPr>
                <w:webHidden/>
              </w:rPr>
              <w:fldChar w:fldCharType="separate"/>
            </w:r>
            <w:r>
              <w:rPr>
                <w:webHidden/>
              </w:rPr>
              <w:t>27</w:t>
            </w:r>
            <w:r>
              <w:rPr>
                <w:webHidden/>
              </w:rPr>
              <w:fldChar w:fldCharType="end"/>
            </w:r>
          </w:hyperlink>
        </w:p>
        <w:p w14:paraId="2759B1BB" w14:textId="6E6EB373" w:rsidR="002C57E0" w:rsidRDefault="002C57E0">
          <w:pPr>
            <w:pStyle w:val="TOC3"/>
            <w:tabs>
              <w:tab w:val="left" w:pos="1100"/>
              <w:tab w:val="right" w:leader="dot" w:pos="10070"/>
            </w:tabs>
            <w:rPr>
              <w:rFonts w:eastAsiaTheme="minorEastAsia" w:cstheme="minorBidi"/>
              <w:noProof/>
              <w:color w:val="auto"/>
              <w:sz w:val="24"/>
              <w:szCs w:val="24"/>
            </w:rPr>
          </w:pPr>
          <w:hyperlink w:anchor="_Toc124529436" w:history="1">
            <w:r w:rsidRPr="0015340E">
              <w:rPr>
                <w:rStyle w:val="Hyperlink"/>
                <w:noProof/>
              </w:rPr>
              <w:t>4.4.1</w:t>
            </w:r>
            <w:r>
              <w:rPr>
                <w:rFonts w:eastAsiaTheme="minorEastAsia" w:cstheme="minorBidi"/>
                <w:noProof/>
                <w:color w:val="auto"/>
                <w:sz w:val="24"/>
                <w:szCs w:val="24"/>
              </w:rPr>
              <w:tab/>
            </w:r>
            <w:r w:rsidRPr="0015340E">
              <w:rPr>
                <w:rStyle w:val="Hyperlink"/>
                <w:noProof/>
              </w:rPr>
              <w:t>Land Use</w:t>
            </w:r>
            <w:r>
              <w:rPr>
                <w:noProof/>
                <w:webHidden/>
              </w:rPr>
              <w:tab/>
            </w:r>
            <w:r>
              <w:rPr>
                <w:noProof/>
                <w:webHidden/>
              </w:rPr>
              <w:fldChar w:fldCharType="begin"/>
            </w:r>
            <w:r>
              <w:rPr>
                <w:noProof/>
                <w:webHidden/>
              </w:rPr>
              <w:instrText xml:space="preserve"> PAGEREF _Toc124529436 \h </w:instrText>
            </w:r>
            <w:r>
              <w:rPr>
                <w:noProof/>
                <w:webHidden/>
              </w:rPr>
            </w:r>
            <w:r>
              <w:rPr>
                <w:noProof/>
                <w:webHidden/>
              </w:rPr>
              <w:fldChar w:fldCharType="separate"/>
            </w:r>
            <w:r>
              <w:rPr>
                <w:noProof/>
                <w:webHidden/>
              </w:rPr>
              <w:t>27</w:t>
            </w:r>
            <w:r>
              <w:rPr>
                <w:noProof/>
                <w:webHidden/>
              </w:rPr>
              <w:fldChar w:fldCharType="end"/>
            </w:r>
          </w:hyperlink>
        </w:p>
        <w:p w14:paraId="370421D5" w14:textId="767C4BD8" w:rsidR="002C57E0" w:rsidRDefault="002C57E0">
          <w:pPr>
            <w:pStyle w:val="TOC3"/>
            <w:tabs>
              <w:tab w:val="left" w:pos="1100"/>
              <w:tab w:val="right" w:leader="dot" w:pos="10070"/>
            </w:tabs>
            <w:rPr>
              <w:rFonts w:eastAsiaTheme="minorEastAsia" w:cstheme="minorBidi"/>
              <w:noProof/>
              <w:color w:val="auto"/>
              <w:sz w:val="24"/>
              <w:szCs w:val="24"/>
            </w:rPr>
          </w:pPr>
          <w:hyperlink w:anchor="_Toc124529437" w:history="1">
            <w:r w:rsidRPr="0015340E">
              <w:rPr>
                <w:rStyle w:val="Hyperlink"/>
                <w:noProof/>
              </w:rPr>
              <w:t>4.4.2</w:t>
            </w:r>
            <w:r>
              <w:rPr>
                <w:rFonts w:eastAsiaTheme="minorEastAsia" w:cstheme="minorBidi"/>
                <w:noProof/>
                <w:color w:val="auto"/>
                <w:sz w:val="24"/>
                <w:szCs w:val="24"/>
              </w:rPr>
              <w:tab/>
            </w:r>
            <w:r w:rsidRPr="0015340E">
              <w:rPr>
                <w:rStyle w:val="Hyperlink"/>
                <w:noProof/>
              </w:rPr>
              <w:t>Vehicle Electrification</w:t>
            </w:r>
            <w:r>
              <w:rPr>
                <w:noProof/>
                <w:webHidden/>
              </w:rPr>
              <w:tab/>
            </w:r>
            <w:r>
              <w:rPr>
                <w:noProof/>
                <w:webHidden/>
              </w:rPr>
              <w:fldChar w:fldCharType="begin"/>
            </w:r>
            <w:r>
              <w:rPr>
                <w:noProof/>
                <w:webHidden/>
              </w:rPr>
              <w:instrText xml:space="preserve"> PAGEREF _Toc124529437 \h </w:instrText>
            </w:r>
            <w:r>
              <w:rPr>
                <w:noProof/>
                <w:webHidden/>
              </w:rPr>
            </w:r>
            <w:r>
              <w:rPr>
                <w:noProof/>
                <w:webHidden/>
              </w:rPr>
              <w:fldChar w:fldCharType="separate"/>
            </w:r>
            <w:r>
              <w:rPr>
                <w:noProof/>
                <w:webHidden/>
              </w:rPr>
              <w:t>27</w:t>
            </w:r>
            <w:r>
              <w:rPr>
                <w:noProof/>
                <w:webHidden/>
              </w:rPr>
              <w:fldChar w:fldCharType="end"/>
            </w:r>
          </w:hyperlink>
        </w:p>
        <w:p w14:paraId="3492CC7C" w14:textId="6982FCEB" w:rsidR="002C57E0" w:rsidRDefault="002C57E0">
          <w:pPr>
            <w:pStyle w:val="TOC3"/>
            <w:tabs>
              <w:tab w:val="left" w:pos="1100"/>
              <w:tab w:val="right" w:leader="dot" w:pos="10070"/>
            </w:tabs>
            <w:rPr>
              <w:rFonts w:eastAsiaTheme="minorEastAsia" w:cstheme="minorBidi"/>
              <w:noProof/>
              <w:color w:val="auto"/>
              <w:sz w:val="24"/>
              <w:szCs w:val="24"/>
            </w:rPr>
          </w:pPr>
          <w:hyperlink w:anchor="_Toc124529438" w:history="1">
            <w:r w:rsidRPr="0015340E">
              <w:rPr>
                <w:rStyle w:val="Hyperlink"/>
                <w:noProof/>
              </w:rPr>
              <w:t>4.4.3</w:t>
            </w:r>
            <w:r>
              <w:rPr>
                <w:rFonts w:eastAsiaTheme="minorEastAsia" w:cstheme="minorBidi"/>
                <w:noProof/>
                <w:color w:val="auto"/>
                <w:sz w:val="24"/>
                <w:szCs w:val="24"/>
              </w:rPr>
              <w:tab/>
            </w:r>
            <w:r w:rsidRPr="0015340E">
              <w:rPr>
                <w:rStyle w:val="Hyperlink"/>
                <w:noProof/>
              </w:rPr>
              <w:t>Public Transit</w:t>
            </w:r>
            <w:r>
              <w:rPr>
                <w:noProof/>
                <w:webHidden/>
              </w:rPr>
              <w:tab/>
            </w:r>
            <w:r>
              <w:rPr>
                <w:noProof/>
                <w:webHidden/>
              </w:rPr>
              <w:fldChar w:fldCharType="begin"/>
            </w:r>
            <w:r>
              <w:rPr>
                <w:noProof/>
                <w:webHidden/>
              </w:rPr>
              <w:instrText xml:space="preserve"> PAGEREF _Toc124529438 \h </w:instrText>
            </w:r>
            <w:r>
              <w:rPr>
                <w:noProof/>
                <w:webHidden/>
              </w:rPr>
            </w:r>
            <w:r>
              <w:rPr>
                <w:noProof/>
                <w:webHidden/>
              </w:rPr>
              <w:fldChar w:fldCharType="separate"/>
            </w:r>
            <w:r>
              <w:rPr>
                <w:noProof/>
                <w:webHidden/>
              </w:rPr>
              <w:t>28</w:t>
            </w:r>
            <w:r>
              <w:rPr>
                <w:noProof/>
                <w:webHidden/>
              </w:rPr>
              <w:fldChar w:fldCharType="end"/>
            </w:r>
          </w:hyperlink>
        </w:p>
        <w:p w14:paraId="7EBB7E4B" w14:textId="22CEB9A8" w:rsidR="002C57E0" w:rsidRDefault="002C57E0">
          <w:pPr>
            <w:pStyle w:val="TOC3"/>
            <w:tabs>
              <w:tab w:val="left" w:pos="1100"/>
              <w:tab w:val="right" w:leader="dot" w:pos="10070"/>
            </w:tabs>
            <w:rPr>
              <w:rFonts w:eastAsiaTheme="minorEastAsia" w:cstheme="minorBidi"/>
              <w:noProof/>
              <w:color w:val="auto"/>
              <w:sz w:val="24"/>
              <w:szCs w:val="24"/>
            </w:rPr>
          </w:pPr>
          <w:hyperlink w:anchor="_Toc124529439" w:history="1">
            <w:r w:rsidRPr="0015340E">
              <w:rPr>
                <w:rStyle w:val="Hyperlink"/>
                <w:noProof/>
              </w:rPr>
              <w:t>4.4.4</w:t>
            </w:r>
            <w:r>
              <w:rPr>
                <w:rFonts w:eastAsiaTheme="minorEastAsia" w:cstheme="minorBidi"/>
                <w:noProof/>
                <w:color w:val="auto"/>
                <w:sz w:val="24"/>
                <w:szCs w:val="24"/>
              </w:rPr>
              <w:tab/>
            </w:r>
            <w:r w:rsidRPr="0015340E">
              <w:rPr>
                <w:rStyle w:val="Hyperlink"/>
                <w:noProof/>
              </w:rPr>
              <w:t>Telework</w:t>
            </w:r>
            <w:r>
              <w:rPr>
                <w:noProof/>
                <w:webHidden/>
              </w:rPr>
              <w:tab/>
            </w:r>
            <w:r>
              <w:rPr>
                <w:noProof/>
                <w:webHidden/>
              </w:rPr>
              <w:fldChar w:fldCharType="begin"/>
            </w:r>
            <w:r>
              <w:rPr>
                <w:noProof/>
                <w:webHidden/>
              </w:rPr>
              <w:instrText xml:space="preserve"> PAGEREF _Toc124529439 \h </w:instrText>
            </w:r>
            <w:r>
              <w:rPr>
                <w:noProof/>
                <w:webHidden/>
              </w:rPr>
            </w:r>
            <w:r>
              <w:rPr>
                <w:noProof/>
                <w:webHidden/>
              </w:rPr>
              <w:fldChar w:fldCharType="separate"/>
            </w:r>
            <w:r>
              <w:rPr>
                <w:noProof/>
                <w:webHidden/>
              </w:rPr>
              <w:t>29</w:t>
            </w:r>
            <w:r>
              <w:rPr>
                <w:noProof/>
                <w:webHidden/>
              </w:rPr>
              <w:fldChar w:fldCharType="end"/>
            </w:r>
          </w:hyperlink>
        </w:p>
        <w:p w14:paraId="79E90DDC" w14:textId="6175E1D9" w:rsidR="002C57E0" w:rsidRDefault="002C57E0">
          <w:pPr>
            <w:pStyle w:val="TOC3"/>
            <w:tabs>
              <w:tab w:val="left" w:pos="1100"/>
              <w:tab w:val="right" w:leader="dot" w:pos="10070"/>
            </w:tabs>
            <w:rPr>
              <w:rFonts w:eastAsiaTheme="minorEastAsia" w:cstheme="minorBidi"/>
              <w:noProof/>
              <w:color w:val="auto"/>
              <w:sz w:val="24"/>
              <w:szCs w:val="24"/>
            </w:rPr>
          </w:pPr>
          <w:hyperlink w:anchor="_Toc124529440" w:history="1">
            <w:r w:rsidRPr="0015340E">
              <w:rPr>
                <w:rStyle w:val="Hyperlink"/>
                <w:noProof/>
              </w:rPr>
              <w:t>4.4.5</w:t>
            </w:r>
            <w:r>
              <w:rPr>
                <w:rFonts w:eastAsiaTheme="minorEastAsia" w:cstheme="minorBidi"/>
                <w:noProof/>
                <w:color w:val="auto"/>
                <w:sz w:val="24"/>
                <w:szCs w:val="24"/>
              </w:rPr>
              <w:tab/>
            </w:r>
            <w:r w:rsidRPr="0015340E">
              <w:rPr>
                <w:rStyle w:val="Hyperlink"/>
                <w:noProof/>
              </w:rPr>
              <w:t>Road Pricing</w:t>
            </w:r>
            <w:r>
              <w:rPr>
                <w:noProof/>
                <w:webHidden/>
              </w:rPr>
              <w:tab/>
            </w:r>
            <w:r>
              <w:rPr>
                <w:noProof/>
                <w:webHidden/>
              </w:rPr>
              <w:fldChar w:fldCharType="begin"/>
            </w:r>
            <w:r>
              <w:rPr>
                <w:noProof/>
                <w:webHidden/>
              </w:rPr>
              <w:instrText xml:space="preserve"> PAGEREF _Toc124529440 \h </w:instrText>
            </w:r>
            <w:r>
              <w:rPr>
                <w:noProof/>
                <w:webHidden/>
              </w:rPr>
            </w:r>
            <w:r>
              <w:rPr>
                <w:noProof/>
                <w:webHidden/>
              </w:rPr>
              <w:fldChar w:fldCharType="separate"/>
            </w:r>
            <w:r>
              <w:rPr>
                <w:noProof/>
                <w:webHidden/>
              </w:rPr>
              <w:t>29</w:t>
            </w:r>
            <w:r>
              <w:rPr>
                <w:noProof/>
                <w:webHidden/>
              </w:rPr>
              <w:fldChar w:fldCharType="end"/>
            </w:r>
          </w:hyperlink>
        </w:p>
        <w:p w14:paraId="7CC5B29F" w14:textId="349AF4DC" w:rsidR="002C57E0" w:rsidRDefault="002C57E0">
          <w:pPr>
            <w:pStyle w:val="TOC3"/>
            <w:tabs>
              <w:tab w:val="left" w:pos="1100"/>
              <w:tab w:val="right" w:leader="dot" w:pos="10070"/>
            </w:tabs>
            <w:rPr>
              <w:rFonts w:eastAsiaTheme="minorEastAsia" w:cstheme="minorBidi"/>
              <w:noProof/>
              <w:color w:val="auto"/>
              <w:sz w:val="24"/>
              <w:szCs w:val="24"/>
            </w:rPr>
          </w:pPr>
          <w:hyperlink w:anchor="_Toc124529441" w:history="1">
            <w:r w:rsidRPr="0015340E">
              <w:rPr>
                <w:rStyle w:val="Hyperlink"/>
                <w:noProof/>
              </w:rPr>
              <w:t>4.4.6</w:t>
            </w:r>
            <w:r>
              <w:rPr>
                <w:rFonts w:eastAsiaTheme="minorEastAsia" w:cstheme="minorBidi"/>
                <w:noProof/>
                <w:color w:val="auto"/>
                <w:sz w:val="24"/>
                <w:szCs w:val="24"/>
              </w:rPr>
              <w:tab/>
            </w:r>
            <w:r w:rsidRPr="0015340E">
              <w:rPr>
                <w:rStyle w:val="Hyperlink"/>
                <w:noProof/>
              </w:rPr>
              <w:t>Parking Policy</w:t>
            </w:r>
            <w:r>
              <w:rPr>
                <w:noProof/>
                <w:webHidden/>
              </w:rPr>
              <w:tab/>
            </w:r>
            <w:r>
              <w:rPr>
                <w:noProof/>
                <w:webHidden/>
              </w:rPr>
              <w:fldChar w:fldCharType="begin"/>
            </w:r>
            <w:r>
              <w:rPr>
                <w:noProof/>
                <w:webHidden/>
              </w:rPr>
              <w:instrText xml:space="preserve"> PAGEREF _Toc124529441 \h </w:instrText>
            </w:r>
            <w:r>
              <w:rPr>
                <w:noProof/>
                <w:webHidden/>
              </w:rPr>
            </w:r>
            <w:r>
              <w:rPr>
                <w:noProof/>
                <w:webHidden/>
              </w:rPr>
              <w:fldChar w:fldCharType="separate"/>
            </w:r>
            <w:r>
              <w:rPr>
                <w:noProof/>
                <w:webHidden/>
              </w:rPr>
              <w:t>30</w:t>
            </w:r>
            <w:r>
              <w:rPr>
                <w:noProof/>
                <w:webHidden/>
              </w:rPr>
              <w:fldChar w:fldCharType="end"/>
            </w:r>
          </w:hyperlink>
        </w:p>
        <w:p w14:paraId="476267C9" w14:textId="448A32F8" w:rsidR="002C57E0" w:rsidRDefault="002C57E0">
          <w:pPr>
            <w:pStyle w:val="TOC1"/>
            <w:tabs>
              <w:tab w:val="left" w:pos="440"/>
            </w:tabs>
            <w:rPr>
              <w:rFonts w:eastAsiaTheme="minorEastAsia" w:cstheme="minorBidi"/>
              <w:b w:val="0"/>
              <w:bCs w:val="0"/>
              <w:i w:val="0"/>
              <w:iCs w:val="0"/>
              <w:noProof/>
              <w:color w:val="auto"/>
            </w:rPr>
          </w:pPr>
          <w:hyperlink w:anchor="_Toc124529442" w:history="1">
            <w:r w:rsidRPr="0015340E">
              <w:rPr>
                <w:rStyle w:val="Hyperlink"/>
                <w:noProof/>
              </w:rPr>
              <w:t>5</w:t>
            </w:r>
            <w:r>
              <w:rPr>
                <w:rFonts w:eastAsiaTheme="minorEastAsia" w:cstheme="minorBidi"/>
                <w:b w:val="0"/>
                <w:bCs w:val="0"/>
                <w:i w:val="0"/>
                <w:iCs w:val="0"/>
                <w:noProof/>
                <w:color w:val="auto"/>
              </w:rPr>
              <w:tab/>
            </w:r>
            <w:r w:rsidRPr="0015340E">
              <w:rPr>
                <w:rStyle w:val="Hyperlink"/>
                <w:noProof/>
              </w:rPr>
              <w:t>Reducing Emission from Land Use and Forestry</w:t>
            </w:r>
            <w:r>
              <w:rPr>
                <w:noProof/>
                <w:webHidden/>
              </w:rPr>
              <w:tab/>
            </w:r>
            <w:r>
              <w:rPr>
                <w:noProof/>
                <w:webHidden/>
              </w:rPr>
              <w:fldChar w:fldCharType="begin"/>
            </w:r>
            <w:r>
              <w:rPr>
                <w:noProof/>
                <w:webHidden/>
              </w:rPr>
              <w:instrText xml:space="preserve"> PAGEREF _Toc124529442 \h </w:instrText>
            </w:r>
            <w:r>
              <w:rPr>
                <w:noProof/>
                <w:webHidden/>
              </w:rPr>
            </w:r>
            <w:r>
              <w:rPr>
                <w:noProof/>
                <w:webHidden/>
              </w:rPr>
              <w:fldChar w:fldCharType="separate"/>
            </w:r>
            <w:r>
              <w:rPr>
                <w:noProof/>
                <w:webHidden/>
              </w:rPr>
              <w:t>31</w:t>
            </w:r>
            <w:r>
              <w:rPr>
                <w:noProof/>
                <w:webHidden/>
              </w:rPr>
              <w:fldChar w:fldCharType="end"/>
            </w:r>
          </w:hyperlink>
        </w:p>
        <w:p w14:paraId="253464C2" w14:textId="37474866" w:rsidR="002C57E0" w:rsidRDefault="002C57E0">
          <w:pPr>
            <w:pStyle w:val="TOC2"/>
            <w:tabs>
              <w:tab w:val="left" w:pos="880"/>
            </w:tabs>
            <w:rPr>
              <w:rFonts w:eastAsiaTheme="minorEastAsia" w:cstheme="minorBidi"/>
              <w:b w:val="0"/>
              <w:bCs w:val="0"/>
              <w:color w:val="auto"/>
              <w:sz w:val="24"/>
              <w:szCs w:val="24"/>
            </w:rPr>
          </w:pPr>
          <w:hyperlink w:anchor="_Toc124529443" w:history="1">
            <w:r w:rsidRPr="0015340E">
              <w:rPr>
                <w:rStyle w:val="Hyperlink"/>
              </w:rPr>
              <w:t>5.1</w:t>
            </w:r>
            <w:r>
              <w:rPr>
                <w:rFonts w:eastAsiaTheme="minorEastAsia" w:cstheme="minorBidi"/>
                <w:b w:val="0"/>
                <w:bCs w:val="0"/>
                <w:color w:val="auto"/>
                <w:sz w:val="24"/>
                <w:szCs w:val="24"/>
              </w:rPr>
              <w:tab/>
            </w:r>
            <w:r w:rsidRPr="0015340E">
              <w:rPr>
                <w:rStyle w:val="Hyperlink"/>
              </w:rPr>
              <w:t>Land Use and Forestry Baseline</w:t>
            </w:r>
            <w:r>
              <w:rPr>
                <w:webHidden/>
              </w:rPr>
              <w:tab/>
            </w:r>
            <w:r>
              <w:rPr>
                <w:webHidden/>
              </w:rPr>
              <w:fldChar w:fldCharType="begin"/>
            </w:r>
            <w:r>
              <w:rPr>
                <w:webHidden/>
              </w:rPr>
              <w:instrText xml:space="preserve"> PAGEREF _Toc124529443 \h </w:instrText>
            </w:r>
            <w:r>
              <w:rPr>
                <w:webHidden/>
              </w:rPr>
            </w:r>
            <w:r>
              <w:rPr>
                <w:webHidden/>
              </w:rPr>
              <w:fldChar w:fldCharType="separate"/>
            </w:r>
            <w:r>
              <w:rPr>
                <w:webHidden/>
              </w:rPr>
              <w:t>32</w:t>
            </w:r>
            <w:r>
              <w:rPr>
                <w:webHidden/>
              </w:rPr>
              <w:fldChar w:fldCharType="end"/>
            </w:r>
          </w:hyperlink>
        </w:p>
        <w:p w14:paraId="660A3F0A" w14:textId="385B2E01" w:rsidR="002C57E0" w:rsidRDefault="002C57E0">
          <w:pPr>
            <w:pStyle w:val="TOC3"/>
            <w:tabs>
              <w:tab w:val="left" w:pos="1100"/>
              <w:tab w:val="right" w:leader="dot" w:pos="10070"/>
            </w:tabs>
            <w:rPr>
              <w:rFonts w:eastAsiaTheme="minorEastAsia" w:cstheme="minorBidi"/>
              <w:noProof/>
              <w:color w:val="auto"/>
              <w:sz w:val="24"/>
              <w:szCs w:val="24"/>
            </w:rPr>
          </w:pPr>
          <w:hyperlink w:anchor="_Toc124529444" w:history="1">
            <w:r w:rsidRPr="0015340E">
              <w:rPr>
                <w:rStyle w:val="Hyperlink"/>
                <w:noProof/>
              </w:rPr>
              <w:t>5.1.1</w:t>
            </w:r>
            <w:r>
              <w:rPr>
                <w:rFonts w:eastAsiaTheme="minorEastAsia" w:cstheme="minorBidi"/>
                <w:noProof/>
                <w:color w:val="auto"/>
                <w:sz w:val="24"/>
                <w:szCs w:val="24"/>
              </w:rPr>
              <w:tab/>
            </w:r>
            <w:r w:rsidRPr="0015340E">
              <w:rPr>
                <w:rStyle w:val="Hyperlink"/>
                <w:noProof/>
              </w:rPr>
              <w:t>Land Cover Baseline</w:t>
            </w:r>
            <w:r>
              <w:rPr>
                <w:noProof/>
                <w:webHidden/>
              </w:rPr>
              <w:tab/>
            </w:r>
            <w:r>
              <w:rPr>
                <w:noProof/>
                <w:webHidden/>
              </w:rPr>
              <w:fldChar w:fldCharType="begin"/>
            </w:r>
            <w:r>
              <w:rPr>
                <w:noProof/>
                <w:webHidden/>
              </w:rPr>
              <w:instrText xml:space="preserve"> PAGEREF _Toc124529444 \h </w:instrText>
            </w:r>
            <w:r>
              <w:rPr>
                <w:noProof/>
                <w:webHidden/>
              </w:rPr>
            </w:r>
            <w:r>
              <w:rPr>
                <w:noProof/>
                <w:webHidden/>
              </w:rPr>
              <w:fldChar w:fldCharType="separate"/>
            </w:r>
            <w:r>
              <w:rPr>
                <w:noProof/>
                <w:webHidden/>
              </w:rPr>
              <w:t>32</w:t>
            </w:r>
            <w:r>
              <w:rPr>
                <w:noProof/>
                <w:webHidden/>
              </w:rPr>
              <w:fldChar w:fldCharType="end"/>
            </w:r>
          </w:hyperlink>
        </w:p>
        <w:p w14:paraId="3221574C" w14:textId="5BF1AE4A" w:rsidR="002C57E0" w:rsidRDefault="002C57E0">
          <w:pPr>
            <w:pStyle w:val="TOC3"/>
            <w:tabs>
              <w:tab w:val="left" w:pos="1100"/>
              <w:tab w:val="right" w:leader="dot" w:pos="10070"/>
            </w:tabs>
            <w:rPr>
              <w:rFonts w:eastAsiaTheme="minorEastAsia" w:cstheme="minorBidi"/>
              <w:noProof/>
              <w:color w:val="auto"/>
              <w:sz w:val="24"/>
              <w:szCs w:val="24"/>
            </w:rPr>
          </w:pPr>
          <w:hyperlink w:anchor="_Toc124529445" w:history="1">
            <w:r w:rsidRPr="0015340E">
              <w:rPr>
                <w:rStyle w:val="Hyperlink"/>
                <w:noProof/>
              </w:rPr>
              <w:t>5.1.2</w:t>
            </w:r>
            <w:r>
              <w:rPr>
                <w:rFonts w:eastAsiaTheme="minorEastAsia" w:cstheme="minorBidi"/>
                <w:noProof/>
                <w:color w:val="auto"/>
                <w:sz w:val="24"/>
                <w:szCs w:val="24"/>
              </w:rPr>
              <w:tab/>
            </w:r>
            <w:r w:rsidRPr="0015340E">
              <w:rPr>
                <w:rStyle w:val="Hyperlink"/>
                <w:noProof/>
              </w:rPr>
              <w:t>Land Use Baseline</w:t>
            </w:r>
            <w:r>
              <w:rPr>
                <w:noProof/>
                <w:webHidden/>
              </w:rPr>
              <w:tab/>
            </w:r>
            <w:r>
              <w:rPr>
                <w:noProof/>
                <w:webHidden/>
              </w:rPr>
              <w:fldChar w:fldCharType="begin"/>
            </w:r>
            <w:r>
              <w:rPr>
                <w:noProof/>
                <w:webHidden/>
              </w:rPr>
              <w:instrText xml:space="preserve"> PAGEREF _Toc124529445 \h </w:instrText>
            </w:r>
            <w:r>
              <w:rPr>
                <w:noProof/>
                <w:webHidden/>
              </w:rPr>
            </w:r>
            <w:r>
              <w:rPr>
                <w:noProof/>
                <w:webHidden/>
              </w:rPr>
              <w:fldChar w:fldCharType="separate"/>
            </w:r>
            <w:r>
              <w:rPr>
                <w:noProof/>
                <w:webHidden/>
              </w:rPr>
              <w:t>32</w:t>
            </w:r>
            <w:r>
              <w:rPr>
                <w:noProof/>
                <w:webHidden/>
              </w:rPr>
              <w:fldChar w:fldCharType="end"/>
            </w:r>
          </w:hyperlink>
        </w:p>
        <w:p w14:paraId="441ED155" w14:textId="3442650D" w:rsidR="002C57E0" w:rsidRDefault="002C57E0">
          <w:pPr>
            <w:pStyle w:val="TOC2"/>
            <w:tabs>
              <w:tab w:val="left" w:pos="880"/>
            </w:tabs>
            <w:rPr>
              <w:rFonts w:eastAsiaTheme="minorEastAsia" w:cstheme="minorBidi"/>
              <w:b w:val="0"/>
              <w:bCs w:val="0"/>
              <w:color w:val="auto"/>
              <w:sz w:val="24"/>
              <w:szCs w:val="24"/>
            </w:rPr>
          </w:pPr>
          <w:hyperlink w:anchor="_Toc124529446" w:history="1">
            <w:r w:rsidRPr="0015340E">
              <w:rPr>
                <w:rStyle w:val="Hyperlink"/>
              </w:rPr>
              <w:t>5.2</w:t>
            </w:r>
            <w:r>
              <w:rPr>
                <w:rFonts w:eastAsiaTheme="minorEastAsia" w:cstheme="minorBidi"/>
                <w:b w:val="0"/>
                <w:bCs w:val="0"/>
                <w:color w:val="auto"/>
                <w:sz w:val="24"/>
                <w:szCs w:val="24"/>
              </w:rPr>
              <w:tab/>
            </w:r>
            <w:r w:rsidRPr="0015340E">
              <w:rPr>
                <w:rStyle w:val="Hyperlink"/>
              </w:rPr>
              <w:t>Land Use and Forestry Forecast</w:t>
            </w:r>
            <w:r>
              <w:rPr>
                <w:webHidden/>
              </w:rPr>
              <w:tab/>
            </w:r>
            <w:r>
              <w:rPr>
                <w:webHidden/>
              </w:rPr>
              <w:fldChar w:fldCharType="begin"/>
            </w:r>
            <w:r>
              <w:rPr>
                <w:webHidden/>
              </w:rPr>
              <w:instrText xml:space="preserve"> PAGEREF _Toc124529446 \h </w:instrText>
            </w:r>
            <w:r>
              <w:rPr>
                <w:webHidden/>
              </w:rPr>
            </w:r>
            <w:r>
              <w:rPr>
                <w:webHidden/>
              </w:rPr>
              <w:fldChar w:fldCharType="separate"/>
            </w:r>
            <w:r>
              <w:rPr>
                <w:webHidden/>
              </w:rPr>
              <w:t>32</w:t>
            </w:r>
            <w:r>
              <w:rPr>
                <w:webHidden/>
              </w:rPr>
              <w:fldChar w:fldCharType="end"/>
            </w:r>
          </w:hyperlink>
        </w:p>
        <w:p w14:paraId="6D5171BC" w14:textId="3B9CA1A6" w:rsidR="002C57E0" w:rsidRDefault="002C57E0">
          <w:pPr>
            <w:pStyle w:val="TOC2"/>
            <w:tabs>
              <w:tab w:val="left" w:pos="880"/>
            </w:tabs>
            <w:rPr>
              <w:rFonts w:eastAsiaTheme="minorEastAsia" w:cstheme="minorBidi"/>
              <w:b w:val="0"/>
              <w:bCs w:val="0"/>
              <w:color w:val="auto"/>
              <w:sz w:val="24"/>
              <w:szCs w:val="24"/>
            </w:rPr>
          </w:pPr>
          <w:hyperlink w:anchor="_Toc124529447" w:history="1">
            <w:r w:rsidRPr="0015340E">
              <w:rPr>
                <w:rStyle w:val="Hyperlink"/>
              </w:rPr>
              <w:t>5.3</w:t>
            </w:r>
            <w:r>
              <w:rPr>
                <w:rFonts w:eastAsiaTheme="minorEastAsia" w:cstheme="minorBidi"/>
                <w:b w:val="0"/>
                <w:bCs w:val="0"/>
                <w:color w:val="auto"/>
                <w:sz w:val="24"/>
                <w:szCs w:val="24"/>
              </w:rPr>
              <w:tab/>
            </w:r>
            <w:r w:rsidRPr="0015340E">
              <w:rPr>
                <w:rStyle w:val="Hyperlink"/>
              </w:rPr>
              <w:t>Land Use and Forestry Strategies</w:t>
            </w:r>
            <w:r>
              <w:rPr>
                <w:webHidden/>
              </w:rPr>
              <w:tab/>
            </w:r>
            <w:r>
              <w:rPr>
                <w:webHidden/>
              </w:rPr>
              <w:fldChar w:fldCharType="begin"/>
            </w:r>
            <w:r>
              <w:rPr>
                <w:webHidden/>
              </w:rPr>
              <w:instrText xml:space="preserve"> PAGEREF _Toc124529447 \h </w:instrText>
            </w:r>
            <w:r>
              <w:rPr>
                <w:webHidden/>
              </w:rPr>
            </w:r>
            <w:r>
              <w:rPr>
                <w:webHidden/>
              </w:rPr>
              <w:fldChar w:fldCharType="separate"/>
            </w:r>
            <w:r>
              <w:rPr>
                <w:webHidden/>
              </w:rPr>
              <w:t>32</w:t>
            </w:r>
            <w:r>
              <w:rPr>
                <w:webHidden/>
              </w:rPr>
              <w:fldChar w:fldCharType="end"/>
            </w:r>
          </w:hyperlink>
        </w:p>
        <w:p w14:paraId="68851A8D" w14:textId="7655E556" w:rsidR="002C57E0" w:rsidRDefault="002C57E0">
          <w:pPr>
            <w:pStyle w:val="TOC3"/>
            <w:tabs>
              <w:tab w:val="left" w:pos="1100"/>
              <w:tab w:val="right" w:leader="dot" w:pos="10070"/>
            </w:tabs>
            <w:rPr>
              <w:rFonts w:eastAsiaTheme="minorEastAsia" w:cstheme="minorBidi"/>
              <w:noProof/>
              <w:color w:val="auto"/>
              <w:sz w:val="24"/>
              <w:szCs w:val="24"/>
            </w:rPr>
          </w:pPr>
          <w:hyperlink w:anchor="_Toc124529448" w:history="1">
            <w:r w:rsidRPr="0015340E">
              <w:rPr>
                <w:rStyle w:val="Hyperlink"/>
                <w:noProof/>
              </w:rPr>
              <w:t>5.3.1</w:t>
            </w:r>
            <w:r>
              <w:rPr>
                <w:rFonts w:eastAsiaTheme="minorEastAsia" w:cstheme="minorBidi"/>
                <w:noProof/>
                <w:color w:val="auto"/>
                <w:sz w:val="24"/>
                <w:szCs w:val="24"/>
              </w:rPr>
              <w:tab/>
            </w:r>
            <w:r w:rsidRPr="0015340E">
              <w:rPr>
                <w:rStyle w:val="Hyperlink"/>
                <w:noProof/>
              </w:rPr>
              <w:t>Conservation Tillage</w:t>
            </w:r>
            <w:r>
              <w:rPr>
                <w:noProof/>
                <w:webHidden/>
              </w:rPr>
              <w:tab/>
            </w:r>
            <w:r>
              <w:rPr>
                <w:noProof/>
                <w:webHidden/>
              </w:rPr>
              <w:fldChar w:fldCharType="begin"/>
            </w:r>
            <w:r>
              <w:rPr>
                <w:noProof/>
                <w:webHidden/>
              </w:rPr>
              <w:instrText xml:space="preserve"> PAGEREF _Toc124529448 \h </w:instrText>
            </w:r>
            <w:r>
              <w:rPr>
                <w:noProof/>
                <w:webHidden/>
              </w:rPr>
            </w:r>
            <w:r>
              <w:rPr>
                <w:noProof/>
                <w:webHidden/>
              </w:rPr>
              <w:fldChar w:fldCharType="separate"/>
            </w:r>
            <w:r>
              <w:rPr>
                <w:noProof/>
                <w:webHidden/>
              </w:rPr>
              <w:t>32</w:t>
            </w:r>
            <w:r>
              <w:rPr>
                <w:noProof/>
                <w:webHidden/>
              </w:rPr>
              <w:fldChar w:fldCharType="end"/>
            </w:r>
          </w:hyperlink>
        </w:p>
        <w:p w14:paraId="55588ABB" w14:textId="03409C9B" w:rsidR="002C57E0" w:rsidRDefault="002C57E0">
          <w:pPr>
            <w:pStyle w:val="TOC3"/>
            <w:tabs>
              <w:tab w:val="left" w:pos="1100"/>
              <w:tab w:val="right" w:leader="dot" w:pos="10070"/>
            </w:tabs>
            <w:rPr>
              <w:rFonts w:eastAsiaTheme="minorEastAsia" w:cstheme="minorBidi"/>
              <w:noProof/>
              <w:color w:val="auto"/>
              <w:sz w:val="24"/>
              <w:szCs w:val="24"/>
            </w:rPr>
          </w:pPr>
          <w:hyperlink w:anchor="_Toc124529449" w:history="1">
            <w:r w:rsidRPr="0015340E">
              <w:rPr>
                <w:rStyle w:val="Hyperlink"/>
                <w:noProof/>
              </w:rPr>
              <w:t>5.3.2</w:t>
            </w:r>
            <w:r>
              <w:rPr>
                <w:rFonts w:eastAsiaTheme="minorEastAsia" w:cstheme="minorBidi"/>
                <w:noProof/>
                <w:color w:val="auto"/>
                <w:sz w:val="24"/>
                <w:szCs w:val="24"/>
              </w:rPr>
              <w:tab/>
            </w:r>
            <w:r w:rsidRPr="0015340E">
              <w:rPr>
                <w:rStyle w:val="Hyperlink"/>
                <w:noProof/>
              </w:rPr>
              <w:t>Urban Tree Planting</w:t>
            </w:r>
            <w:r>
              <w:rPr>
                <w:noProof/>
                <w:webHidden/>
              </w:rPr>
              <w:tab/>
            </w:r>
            <w:r>
              <w:rPr>
                <w:noProof/>
                <w:webHidden/>
              </w:rPr>
              <w:fldChar w:fldCharType="begin"/>
            </w:r>
            <w:r>
              <w:rPr>
                <w:noProof/>
                <w:webHidden/>
              </w:rPr>
              <w:instrText xml:space="preserve"> PAGEREF _Toc124529449 \h </w:instrText>
            </w:r>
            <w:r>
              <w:rPr>
                <w:noProof/>
                <w:webHidden/>
              </w:rPr>
            </w:r>
            <w:r>
              <w:rPr>
                <w:noProof/>
                <w:webHidden/>
              </w:rPr>
              <w:fldChar w:fldCharType="separate"/>
            </w:r>
            <w:r>
              <w:rPr>
                <w:noProof/>
                <w:webHidden/>
              </w:rPr>
              <w:t>33</w:t>
            </w:r>
            <w:r>
              <w:rPr>
                <w:noProof/>
                <w:webHidden/>
              </w:rPr>
              <w:fldChar w:fldCharType="end"/>
            </w:r>
          </w:hyperlink>
        </w:p>
        <w:p w14:paraId="40CF1D46" w14:textId="709708E0" w:rsidR="002C57E0" w:rsidRDefault="002C57E0">
          <w:pPr>
            <w:pStyle w:val="TOC3"/>
            <w:tabs>
              <w:tab w:val="left" w:pos="1100"/>
              <w:tab w:val="right" w:leader="dot" w:pos="10070"/>
            </w:tabs>
            <w:rPr>
              <w:rFonts w:eastAsiaTheme="minorEastAsia" w:cstheme="minorBidi"/>
              <w:noProof/>
              <w:color w:val="auto"/>
              <w:sz w:val="24"/>
              <w:szCs w:val="24"/>
            </w:rPr>
          </w:pPr>
          <w:hyperlink w:anchor="_Toc124529450" w:history="1">
            <w:r w:rsidRPr="0015340E">
              <w:rPr>
                <w:rStyle w:val="Hyperlink"/>
                <w:noProof/>
              </w:rPr>
              <w:t>5.3.3</w:t>
            </w:r>
            <w:r>
              <w:rPr>
                <w:rFonts w:eastAsiaTheme="minorEastAsia" w:cstheme="minorBidi"/>
                <w:noProof/>
                <w:color w:val="auto"/>
                <w:sz w:val="24"/>
                <w:szCs w:val="24"/>
              </w:rPr>
              <w:tab/>
            </w:r>
            <w:r w:rsidRPr="0015340E">
              <w:rPr>
                <w:rStyle w:val="Hyperlink"/>
                <w:noProof/>
              </w:rPr>
              <w:t>Reduced Parking Area</w:t>
            </w:r>
            <w:r>
              <w:rPr>
                <w:noProof/>
                <w:webHidden/>
              </w:rPr>
              <w:tab/>
            </w:r>
            <w:r>
              <w:rPr>
                <w:noProof/>
                <w:webHidden/>
              </w:rPr>
              <w:fldChar w:fldCharType="begin"/>
            </w:r>
            <w:r>
              <w:rPr>
                <w:noProof/>
                <w:webHidden/>
              </w:rPr>
              <w:instrText xml:space="preserve"> PAGEREF _Toc124529450 \h </w:instrText>
            </w:r>
            <w:r>
              <w:rPr>
                <w:noProof/>
                <w:webHidden/>
              </w:rPr>
            </w:r>
            <w:r>
              <w:rPr>
                <w:noProof/>
                <w:webHidden/>
              </w:rPr>
              <w:fldChar w:fldCharType="separate"/>
            </w:r>
            <w:r>
              <w:rPr>
                <w:noProof/>
                <w:webHidden/>
              </w:rPr>
              <w:t>34</w:t>
            </w:r>
            <w:r>
              <w:rPr>
                <w:noProof/>
                <w:webHidden/>
              </w:rPr>
              <w:fldChar w:fldCharType="end"/>
            </w:r>
          </w:hyperlink>
        </w:p>
        <w:p w14:paraId="64A2CB23" w14:textId="16E50A25" w:rsidR="002C57E0" w:rsidRDefault="002C57E0">
          <w:pPr>
            <w:pStyle w:val="TOC1"/>
            <w:tabs>
              <w:tab w:val="left" w:pos="440"/>
            </w:tabs>
            <w:rPr>
              <w:rFonts w:eastAsiaTheme="minorEastAsia" w:cstheme="minorBidi"/>
              <w:b w:val="0"/>
              <w:bCs w:val="0"/>
              <w:i w:val="0"/>
              <w:iCs w:val="0"/>
              <w:noProof/>
              <w:color w:val="auto"/>
            </w:rPr>
          </w:pPr>
          <w:hyperlink w:anchor="_Toc124529451" w:history="1">
            <w:r w:rsidRPr="0015340E">
              <w:rPr>
                <w:rStyle w:val="Hyperlink"/>
                <w:noProof/>
              </w:rPr>
              <w:t>6</w:t>
            </w:r>
            <w:r>
              <w:rPr>
                <w:rFonts w:eastAsiaTheme="minorEastAsia" w:cstheme="minorBidi"/>
                <w:b w:val="0"/>
                <w:bCs w:val="0"/>
                <w:i w:val="0"/>
                <w:iCs w:val="0"/>
                <w:noProof/>
                <w:color w:val="auto"/>
              </w:rPr>
              <w:tab/>
            </w:r>
            <w:r w:rsidRPr="0015340E">
              <w:rPr>
                <w:rStyle w:val="Hyperlink"/>
                <w:noProof/>
              </w:rPr>
              <w:t>Conclusion</w:t>
            </w:r>
            <w:r>
              <w:rPr>
                <w:noProof/>
                <w:webHidden/>
              </w:rPr>
              <w:tab/>
            </w:r>
            <w:r>
              <w:rPr>
                <w:noProof/>
                <w:webHidden/>
              </w:rPr>
              <w:fldChar w:fldCharType="begin"/>
            </w:r>
            <w:r>
              <w:rPr>
                <w:noProof/>
                <w:webHidden/>
              </w:rPr>
              <w:instrText xml:space="preserve"> PAGEREF _Toc124529451 \h </w:instrText>
            </w:r>
            <w:r>
              <w:rPr>
                <w:noProof/>
                <w:webHidden/>
              </w:rPr>
            </w:r>
            <w:r>
              <w:rPr>
                <w:noProof/>
                <w:webHidden/>
              </w:rPr>
              <w:fldChar w:fldCharType="separate"/>
            </w:r>
            <w:r>
              <w:rPr>
                <w:noProof/>
                <w:webHidden/>
              </w:rPr>
              <w:t>34</w:t>
            </w:r>
            <w:r>
              <w:rPr>
                <w:noProof/>
                <w:webHidden/>
              </w:rPr>
              <w:fldChar w:fldCharType="end"/>
            </w:r>
          </w:hyperlink>
        </w:p>
        <w:p w14:paraId="5457ED35" w14:textId="1EA643E2" w:rsidR="002C57E0" w:rsidRDefault="002C57E0">
          <w:pPr>
            <w:pStyle w:val="TOC2"/>
            <w:tabs>
              <w:tab w:val="left" w:pos="880"/>
            </w:tabs>
            <w:rPr>
              <w:rFonts w:eastAsiaTheme="minorEastAsia" w:cstheme="minorBidi"/>
              <w:b w:val="0"/>
              <w:bCs w:val="0"/>
              <w:color w:val="auto"/>
              <w:sz w:val="24"/>
              <w:szCs w:val="24"/>
            </w:rPr>
          </w:pPr>
          <w:hyperlink w:anchor="_Toc124529452" w:history="1">
            <w:r w:rsidRPr="0015340E">
              <w:rPr>
                <w:rStyle w:val="Hyperlink"/>
              </w:rPr>
              <w:t>6.1</w:t>
            </w:r>
            <w:r>
              <w:rPr>
                <w:rFonts w:eastAsiaTheme="minorEastAsia" w:cstheme="minorBidi"/>
                <w:b w:val="0"/>
                <w:bCs w:val="0"/>
                <w:color w:val="auto"/>
                <w:sz w:val="24"/>
                <w:szCs w:val="24"/>
              </w:rPr>
              <w:tab/>
            </w:r>
            <w:r w:rsidRPr="0015340E">
              <w:rPr>
                <w:rStyle w:val="Hyperlink"/>
              </w:rPr>
              <w:t>Glossary</w:t>
            </w:r>
            <w:r>
              <w:rPr>
                <w:webHidden/>
              </w:rPr>
              <w:tab/>
            </w:r>
            <w:r>
              <w:rPr>
                <w:webHidden/>
              </w:rPr>
              <w:fldChar w:fldCharType="begin"/>
            </w:r>
            <w:r>
              <w:rPr>
                <w:webHidden/>
              </w:rPr>
              <w:instrText xml:space="preserve"> PAGEREF _Toc124529452 \h </w:instrText>
            </w:r>
            <w:r>
              <w:rPr>
                <w:webHidden/>
              </w:rPr>
            </w:r>
            <w:r>
              <w:rPr>
                <w:webHidden/>
              </w:rPr>
              <w:fldChar w:fldCharType="separate"/>
            </w:r>
            <w:r>
              <w:rPr>
                <w:webHidden/>
              </w:rPr>
              <w:t>34</w:t>
            </w:r>
            <w:r>
              <w:rPr>
                <w:webHidden/>
              </w:rPr>
              <w:fldChar w:fldCharType="end"/>
            </w:r>
          </w:hyperlink>
        </w:p>
        <w:p w14:paraId="4C33EEE2" w14:textId="1EC7AD0F" w:rsidR="002C57E0" w:rsidRDefault="002C57E0">
          <w:pPr>
            <w:pStyle w:val="TOC1"/>
            <w:rPr>
              <w:rFonts w:eastAsiaTheme="minorEastAsia" w:cstheme="minorBidi"/>
              <w:b w:val="0"/>
              <w:bCs w:val="0"/>
              <w:i w:val="0"/>
              <w:iCs w:val="0"/>
              <w:noProof/>
              <w:color w:val="auto"/>
            </w:rPr>
          </w:pPr>
          <w:hyperlink w:anchor="_Toc124529453" w:history="1">
            <w:r w:rsidRPr="0015340E">
              <w:rPr>
                <w:rStyle w:val="Hyperlink"/>
                <w:noProof/>
              </w:rPr>
              <w:t>Appendix</w:t>
            </w:r>
            <w:r>
              <w:rPr>
                <w:noProof/>
                <w:webHidden/>
              </w:rPr>
              <w:tab/>
            </w:r>
            <w:r>
              <w:rPr>
                <w:noProof/>
                <w:webHidden/>
              </w:rPr>
              <w:fldChar w:fldCharType="begin"/>
            </w:r>
            <w:r>
              <w:rPr>
                <w:noProof/>
                <w:webHidden/>
              </w:rPr>
              <w:instrText xml:space="preserve"> PAGEREF _Toc124529453 \h </w:instrText>
            </w:r>
            <w:r>
              <w:rPr>
                <w:noProof/>
                <w:webHidden/>
              </w:rPr>
            </w:r>
            <w:r>
              <w:rPr>
                <w:noProof/>
                <w:webHidden/>
              </w:rPr>
              <w:fldChar w:fldCharType="separate"/>
            </w:r>
            <w:r>
              <w:rPr>
                <w:noProof/>
                <w:webHidden/>
              </w:rPr>
              <w:t>34</w:t>
            </w:r>
            <w:r>
              <w:rPr>
                <w:noProof/>
                <w:webHidden/>
              </w:rPr>
              <w:fldChar w:fldCharType="end"/>
            </w:r>
          </w:hyperlink>
        </w:p>
        <w:p w14:paraId="7F602BC4" w14:textId="09BCE548" w:rsidR="002C57E0" w:rsidRDefault="002C57E0">
          <w:pPr>
            <w:pStyle w:val="TOC1"/>
            <w:tabs>
              <w:tab w:val="left" w:pos="440"/>
            </w:tabs>
            <w:rPr>
              <w:rFonts w:eastAsiaTheme="minorEastAsia" w:cstheme="minorBidi"/>
              <w:b w:val="0"/>
              <w:bCs w:val="0"/>
              <w:i w:val="0"/>
              <w:iCs w:val="0"/>
              <w:noProof/>
              <w:color w:val="auto"/>
            </w:rPr>
          </w:pPr>
          <w:hyperlink w:anchor="_Toc124529454" w:history="1">
            <w:r w:rsidRPr="0015340E">
              <w:rPr>
                <w:rStyle w:val="Hyperlink"/>
                <w:noProof/>
              </w:rPr>
              <w:t>7</w:t>
            </w:r>
            <w:r>
              <w:rPr>
                <w:rFonts w:eastAsiaTheme="minorEastAsia" w:cstheme="minorBidi"/>
                <w:b w:val="0"/>
                <w:bCs w:val="0"/>
                <w:i w:val="0"/>
                <w:iCs w:val="0"/>
                <w:noProof/>
                <w:color w:val="auto"/>
              </w:rPr>
              <w:tab/>
            </w:r>
            <w:r w:rsidRPr="0015340E">
              <w:rPr>
                <w:rStyle w:val="Hyperlink"/>
                <w:noProof/>
              </w:rPr>
              <w:t>Transportation</w:t>
            </w:r>
            <w:r>
              <w:rPr>
                <w:noProof/>
                <w:webHidden/>
              </w:rPr>
              <w:tab/>
            </w:r>
            <w:r>
              <w:rPr>
                <w:noProof/>
                <w:webHidden/>
              </w:rPr>
              <w:fldChar w:fldCharType="begin"/>
            </w:r>
            <w:r>
              <w:rPr>
                <w:noProof/>
                <w:webHidden/>
              </w:rPr>
              <w:instrText xml:space="preserve"> PAGEREF _Toc124529454 \h </w:instrText>
            </w:r>
            <w:r>
              <w:rPr>
                <w:noProof/>
                <w:webHidden/>
              </w:rPr>
            </w:r>
            <w:r>
              <w:rPr>
                <w:noProof/>
                <w:webHidden/>
              </w:rPr>
              <w:fldChar w:fldCharType="separate"/>
            </w:r>
            <w:r>
              <w:rPr>
                <w:noProof/>
                <w:webHidden/>
              </w:rPr>
              <w:t>34</w:t>
            </w:r>
            <w:r>
              <w:rPr>
                <w:noProof/>
                <w:webHidden/>
              </w:rPr>
              <w:fldChar w:fldCharType="end"/>
            </w:r>
          </w:hyperlink>
        </w:p>
        <w:p w14:paraId="277BEBFA" w14:textId="4BAA9206" w:rsidR="002C57E0" w:rsidRDefault="002C57E0">
          <w:pPr>
            <w:pStyle w:val="TOC2"/>
            <w:tabs>
              <w:tab w:val="left" w:pos="880"/>
            </w:tabs>
            <w:rPr>
              <w:rFonts w:eastAsiaTheme="minorEastAsia" w:cstheme="minorBidi"/>
              <w:b w:val="0"/>
              <w:bCs w:val="0"/>
              <w:color w:val="auto"/>
              <w:sz w:val="24"/>
              <w:szCs w:val="24"/>
            </w:rPr>
          </w:pPr>
          <w:hyperlink w:anchor="_Toc124529455" w:history="1">
            <w:r w:rsidRPr="0015340E">
              <w:rPr>
                <w:rStyle w:val="Hyperlink"/>
              </w:rPr>
              <w:t>7.1</w:t>
            </w:r>
            <w:r>
              <w:rPr>
                <w:rFonts w:eastAsiaTheme="minorEastAsia" w:cstheme="minorBidi"/>
                <w:b w:val="0"/>
                <w:bCs w:val="0"/>
                <w:color w:val="auto"/>
                <w:sz w:val="24"/>
                <w:szCs w:val="24"/>
              </w:rPr>
              <w:tab/>
            </w:r>
            <w:r w:rsidRPr="0015340E">
              <w:rPr>
                <w:rStyle w:val="Hyperlink"/>
              </w:rPr>
              <w:t>Data sources</w:t>
            </w:r>
            <w:r>
              <w:rPr>
                <w:webHidden/>
              </w:rPr>
              <w:tab/>
            </w:r>
            <w:r>
              <w:rPr>
                <w:webHidden/>
              </w:rPr>
              <w:fldChar w:fldCharType="begin"/>
            </w:r>
            <w:r>
              <w:rPr>
                <w:webHidden/>
              </w:rPr>
              <w:instrText xml:space="preserve"> PAGEREF _Toc124529455 \h </w:instrText>
            </w:r>
            <w:r>
              <w:rPr>
                <w:webHidden/>
              </w:rPr>
            </w:r>
            <w:r>
              <w:rPr>
                <w:webHidden/>
              </w:rPr>
              <w:fldChar w:fldCharType="separate"/>
            </w:r>
            <w:r>
              <w:rPr>
                <w:webHidden/>
              </w:rPr>
              <w:t>34</w:t>
            </w:r>
            <w:r>
              <w:rPr>
                <w:webHidden/>
              </w:rPr>
              <w:fldChar w:fldCharType="end"/>
            </w:r>
          </w:hyperlink>
        </w:p>
        <w:p w14:paraId="58188D57" w14:textId="15C44486" w:rsidR="002C57E0" w:rsidRDefault="002C57E0">
          <w:pPr>
            <w:pStyle w:val="TOC3"/>
            <w:tabs>
              <w:tab w:val="left" w:pos="1100"/>
              <w:tab w:val="right" w:leader="dot" w:pos="10070"/>
            </w:tabs>
            <w:rPr>
              <w:rFonts w:eastAsiaTheme="minorEastAsia" w:cstheme="minorBidi"/>
              <w:noProof/>
              <w:color w:val="auto"/>
              <w:sz w:val="24"/>
              <w:szCs w:val="24"/>
            </w:rPr>
          </w:pPr>
          <w:hyperlink w:anchor="_Toc124529456" w:history="1">
            <w:r w:rsidRPr="0015340E">
              <w:rPr>
                <w:rStyle w:val="Hyperlink"/>
                <w:noProof/>
              </w:rPr>
              <w:t>7.1.1</w:t>
            </w:r>
            <w:r>
              <w:rPr>
                <w:rFonts w:eastAsiaTheme="minorEastAsia" w:cstheme="minorBidi"/>
                <w:noProof/>
                <w:color w:val="auto"/>
                <w:sz w:val="24"/>
                <w:szCs w:val="24"/>
              </w:rPr>
              <w:tab/>
            </w:r>
            <w:r w:rsidRPr="0015340E">
              <w:rPr>
                <w:rStyle w:val="Hyperlink"/>
                <w:noProof/>
              </w:rPr>
              <w:t>Source summaries</w:t>
            </w:r>
            <w:r>
              <w:rPr>
                <w:noProof/>
                <w:webHidden/>
              </w:rPr>
              <w:tab/>
            </w:r>
            <w:r>
              <w:rPr>
                <w:noProof/>
                <w:webHidden/>
              </w:rPr>
              <w:fldChar w:fldCharType="begin"/>
            </w:r>
            <w:r>
              <w:rPr>
                <w:noProof/>
                <w:webHidden/>
              </w:rPr>
              <w:instrText xml:space="preserve"> PAGEREF _Toc124529456 \h </w:instrText>
            </w:r>
            <w:r>
              <w:rPr>
                <w:noProof/>
                <w:webHidden/>
              </w:rPr>
            </w:r>
            <w:r>
              <w:rPr>
                <w:noProof/>
                <w:webHidden/>
              </w:rPr>
              <w:fldChar w:fldCharType="separate"/>
            </w:r>
            <w:r>
              <w:rPr>
                <w:noProof/>
                <w:webHidden/>
              </w:rPr>
              <w:t>37</w:t>
            </w:r>
            <w:r>
              <w:rPr>
                <w:noProof/>
                <w:webHidden/>
              </w:rPr>
              <w:fldChar w:fldCharType="end"/>
            </w:r>
          </w:hyperlink>
        </w:p>
        <w:p w14:paraId="40F3334C" w14:textId="1AC47ED4" w:rsidR="002C57E0" w:rsidRDefault="002C57E0">
          <w:pPr>
            <w:pStyle w:val="TOC2"/>
            <w:tabs>
              <w:tab w:val="left" w:pos="880"/>
            </w:tabs>
            <w:rPr>
              <w:rFonts w:eastAsiaTheme="minorEastAsia" w:cstheme="minorBidi"/>
              <w:b w:val="0"/>
              <w:bCs w:val="0"/>
              <w:color w:val="auto"/>
              <w:sz w:val="24"/>
              <w:szCs w:val="24"/>
            </w:rPr>
          </w:pPr>
          <w:hyperlink w:anchor="_Toc124529457" w:history="1">
            <w:r w:rsidRPr="0015340E">
              <w:rPr>
                <w:rStyle w:val="Hyperlink"/>
              </w:rPr>
              <w:t>7.2</w:t>
            </w:r>
            <w:r>
              <w:rPr>
                <w:rFonts w:eastAsiaTheme="minorEastAsia" w:cstheme="minorBidi"/>
                <w:b w:val="0"/>
                <w:bCs w:val="0"/>
                <w:color w:val="auto"/>
                <w:sz w:val="24"/>
                <w:szCs w:val="24"/>
              </w:rPr>
              <w:tab/>
            </w:r>
            <w:r w:rsidRPr="0015340E">
              <w:rPr>
                <w:rStyle w:val="Hyperlink"/>
              </w:rPr>
              <w:t>Forecasted Electricity Energy Mix</w:t>
            </w:r>
            <w:r>
              <w:rPr>
                <w:webHidden/>
              </w:rPr>
              <w:tab/>
            </w:r>
            <w:r>
              <w:rPr>
                <w:webHidden/>
              </w:rPr>
              <w:fldChar w:fldCharType="begin"/>
            </w:r>
            <w:r>
              <w:rPr>
                <w:webHidden/>
              </w:rPr>
              <w:instrText xml:space="preserve"> PAGEREF _Toc124529457 \h </w:instrText>
            </w:r>
            <w:r>
              <w:rPr>
                <w:webHidden/>
              </w:rPr>
            </w:r>
            <w:r>
              <w:rPr>
                <w:webHidden/>
              </w:rPr>
              <w:fldChar w:fldCharType="separate"/>
            </w:r>
            <w:r>
              <w:rPr>
                <w:webHidden/>
              </w:rPr>
              <w:t>40</w:t>
            </w:r>
            <w:r>
              <w:rPr>
                <w:webHidden/>
              </w:rPr>
              <w:fldChar w:fldCharType="end"/>
            </w:r>
          </w:hyperlink>
        </w:p>
        <w:p w14:paraId="4D03CBA4" w14:textId="424DF7A7" w:rsidR="002C57E0" w:rsidRDefault="002C57E0">
          <w:pPr>
            <w:pStyle w:val="TOC2"/>
            <w:tabs>
              <w:tab w:val="left" w:pos="880"/>
            </w:tabs>
            <w:rPr>
              <w:rFonts w:eastAsiaTheme="minorEastAsia" w:cstheme="minorBidi"/>
              <w:b w:val="0"/>
              <w:bCs w:val="0"/>
              <w:color w:val="auto"/>
              <w:sz w:val="24"/>
              <w:szCs w:val="24"/>
            </w:rPr>
          </w:pPr>
          <w:hyperlink w:anchor="_Toc124529458" w:history="1">
            <w:r w:rsidRPr="0015340E">
              <w:rPr>
                <w:rStyle w:val="Hyperlink"/>
              </w:rPr>
              <w:t>7.3</w:t>
            </w:r>
            <w:r>
              <w:rPr>
                <w:rFonts w:eastAsiaTheme="minorEastAsia" w:cstheme="minorBidi"/>
                <w:b w:val="0"/>
                <w:bCs w:val="0"/>
                <w:color w:val="auto"/>
                <w:sz w:val="24"/>
                <w:szCs w:val="24"/>
              </w:rPr>
              <w:tab/>
            </w:r>
            <w:r w:rsidRPr="0015340E">
              <w:rPr>
                <w:rStyle w:val="Hyperlink"/>
              </w:rPr>
              <w:t>Emission Sources</w:t>
            </w:r>
            <w:r>
              <w:rPr>
                <w:webHidden/>
              </w:rPr>
              <w:tab/>
            </w:r>
            <w:r>
              <w:rPr>
                <w:webHidden/>
              </w:rPr>
              <w:fldChar w:fldCharType="begin"/>
            </w:r>
            <w:r>
              <w:rPr>
                <w:webHidden/>
              </w:rPr>
              <w:instrText xml:space="preserve"> PAGEREF _Toc124529458 \h </w:instrText>
            </w:r>
            <w:r>
              <w:rPr>
                <w:webHidden/>
              </w:rPr>
            </w:r>
            <w:r>
              <w:rPr>
                <w:webHidden/>
              </w:rPr>
              <w:fldChar w:fldCharType="separate"/>
            </w:r>
            <w:r>
              <w:rPr>
                <w:webHidden/>
              </w:rPr>
              <w:t>41</w:t>
            </w:r>
            <w:r>
              <w:rPr>
                <w:webHidden/>
              </w:rPr>
              <w:fldChar w:fldCharType="end"/>
            </w:r>
          </w:hyperlink>
        </w:p>
        <w:p w14:paraId="25A83509" w14:textId="366FBCFF" w:rsidR="002C57E0" w:rsidRDefault="002C57E0">
          <w:pPr>
            <w:pStyle w:val="TOC2"/>
            <w:tabs>
              <w:tab w:val="left" w:pos="880"/>
            </w:tabs>
            <w:rPr>
              <w:rFonts w:eastAsiaTheme="minorEastAsia" w:cstheme="minorBidi"/>
              <w:b w:val="0"/>
              <w:bCs w:val="0"/>
              <w:color w:val="auto"/>
              <w:sz w:val="24"/>
              <w:szCs w:val="24"/>
            </w:rPr>
          </w:pPr>
          <w:hyperlink w:anchor="_Toc124529459" w:history="1">
            <w:r w:rsidRPr="0015340E">
              <w:rPr>
                <w:rStyle w:val="Hyperlink"/>
              </w:rPr>
              <w:t>7.4</w:t>
            </w:r>
            <w:r>
              <w:rPr>
                <w:rFonts w:eastAsiaTheme="minorEastAsia" w:cstheme="minorBidi"/>
                <w:b w:val="0"/>
                <w:bCs w:val="0"/>
                <w:color w:val="auto"/>
                <w:sz w:val="24"/>
                <w:szCs w:val="24"/>
              </w:rPr>
              <w:tab/>
            </w:r>
            <w:r w:rsidRPr="0015340E">
              <w:rPr>
                <w:rStyle w:val="Hyperlink"/>
              </w:rPr>
              <w:t>Transportation modes</w:t>
            </w:r>
            <w:r>
              <w:rPr>
                <w:webHidden/>
              </w:rPr>
              <w:tab/>
            </w:r>
            <w:r>
              <w:rPr>
                <w:webHidden/>
              </w:rPr>
              <w:fldChar w:fldCharType="begin"/>
            </w:r>
            <w:r>
              <w:rPr>
                <w:webHidden/>
              </w:rPr>
              <w:instrText xml:space="preserve"> PAGEREF _Toc124529459 \h </w:instrText>
            </w:r>
            <w:r>
              <w:rPr>
                <w:webHidden/>
              </w:rPr>
            </w:r>
            <w:r>
              <w:rPr>
                <w:webHidden/>
              </w:rPr>
              <w:fldChar w:fldCharType="separate"/>
            </w:r>
            <w:r>
              <w:rPr>
                <w:webHidden/>
              </w:rPr>
              <w:t>41</w:t>
            </w:r>
            <w:r>
              <w:rPr>
                <w:webHidden/>
              </w:rPr>
              <w:fldChar w:fldCharType="end"/>
            </w:r>
          </w:hyperlink>
        </w:p>
        <w:p w14:paraId="410767AC" w14:textId="6797B324" w:rsidR="002C57E0" w:rsidRDefault="002C57E0">
          <w:pPr>
            <w:pStyle w:val="TOC2"/>
            <w:tabs>
              <w:tab w:val="left" w:pos="880"/>
            </w:tabs>
            <w:rPr>
              <w:rFonts w:eastAsiaTheme="minorEastAsia" w:cstheme="minorBidi"/>
              <w:b w:val="0"/>
              <w:bCs w:val="0"/>
              <w:color w:val="auto"/>
              <w:sz w:val="24"/>
              <w:szCs w:val="24"/>
            </w:rPr>
          </w:pPr>
          <w:hyperlink w:anchor="_Toc124529460" w:history="1">
            <w:r w:rsidRPr="0015340E">
              <w:rPr>
                <w:rStyle w:val="Hyperlink"/>
              </w:rPr>
              <w:t>7.5</w:t>
            </w:r>
            <w:r>
              <w:rPr>
                <w:rFonts w:eastAsiaTheme="minorEastAsia" w:cstheme="minorBidi"/>
                <w:b w:val="0"/>
                <w:bCs w:val="0"/>
                <w:color w:val="auto"/>
                <w:sz w:val="24"/>
                <w:szCs w:val="24"/>
              </w:rPr>
              <w:tab/>
            </w:r>
            <w:r w:rsidRPr="0015340E">
              <w:rPr>
                <w:rStyle w:val="Hyperlink"/>
              </w:rPr>
              <w:t>Future costs per mile</w:t>
            </w:r>
            <w:r>
              <w:rPr>
                <w:webHidden/>
              </w:rPr>
              <w:tab/>
            </w:r>
            <w:r>
              <w:rPr>
                <w:webHidden/>
              </w:rPr>
              <w:fldChar w:fldCharType="begin"/>
            </w:r>
            <w:r>
              <w:rPr>
                <w:webHidden/>
              </w:rPr>
              <w:instrText xml:space="preserve"> PAGEREF _Toc124529460 \h </w:instrText>
            </w:r>
            <w:r>
              <w:rPr>
                <w:webHidden/>
              </w:rPr>
            </w:r>
            <w:r>
              <w:rPr>
                <w:webHidden/>
              </w:rPr>
              <w:fldChar w:fldCharType="separate"/>
            </w:r>
            <w:r>
              <w:rPr>
                <w:webHidden/>
              </w:rPr>
              <w:t>42</w:t>
            </w:r>
            <w:r>
              <w:rPr>
                <w:webHidden/>
              </w:rPr>
              <w:fldChar w:fldCharType="end"/>
            </w:r>
          </w:hyperlink>
        </w:p>
        <w:p w14:paraId="5420FD50" w14:textId="02E26B82" w:rsidR="002C57E0" w:rsidRDefault="002C57E0">
          <w:pPr>
            <w:pStyle w:val="TOC1"/>
            <w:tabs>
              <w:tab w:val="left" w:pos="440"/>
            </w:tabs>
            <w:rPr>
              <w:rFonts w:eastAsiaTheme="minorEastAsia" w:cstheme="minorBidi"/>
              <w:b w:val="0"/>
              <w:bCs w:val="0"/>
              <w:i w:val="0"/>
              <w:iCs w:val="0"/>
              <w:noProof/>
              <w:color w:val="auto"/>
            </w:rPr>
          </w:pPr>
          <w:hyperlink w:anchor="_Toc124529461" w:history="1">
            <w:r w:rsidRPr="0015340E">
              <w:rPr>
                <w:rStyle w:val="Hyperlink"/>
                <w:noProof/>
              </w:rPr>
              <w:t>8</w:t>
            </w:r>
            <w:r>
              <w:rPr>
                <w:rFonts w:eastAsiaTheme="minorEastAsia" w:cstheme="minorBidi"/>
                <w:b w:val="0"/>
                <w:bCs w:val="0"/>
                <w:i w:val="0"/>
                <w:iCs w:val="0"/>
                <w:noProof/>
                <w:color w:val="auto"/>
              </w:rPr>
              <w:tab/>
            </w:r>
            <w:r w:rsidRPr="0015340E">
              <w:rPr>
                <w:rStyle w:val="Hyperlink"/>
                <w:noProof/>
              </w:rPr>
              <w:t>References</w:t>
            </w:r>
            <w:r>
              <w:rPr>
                <w:noProof/>
                <w:webHidden/>
              </w:rPr>
              <w:tab/>
            </w:r>
            <w:r>
              <w:rPr>
                <w:noProof/>
                <w:webHidden/>
              </w:rPr>
              <w:fldChar w:fldCharType="begin"/>
            </w:r>
            <w:r>
              <w:rPr>
                <w:noProof/>
                <w:webHidden/>
              </w:rPr>
              <w:instrText xml:space="preserve"> PAGEREF _Toc124529461 \h </w:instrText>
            </w:r>
            <w:r>
              <w:rPr>
                <w:noProof/>
                <w:webHidden/>
              </w:rPr>
            </w:r>
            <w:r>
              <w:rPr>
                <w:noProof/>
                <w:webHidden/>
              </w:rPr>
              <w:fldChar w:fldCharType="separate"/>
            </w:r>
            <w:r>
              <w:rPr>
                <w:noProof/>
                <w:webHidden/>
              </w:rPr>
              <w:t>43</w:t>
            </w:r>
            <w:r>
              <w:rPr>
                <w:noProof/>
                <w:webHidden/>
              </w:rPr>
              <w:fldChar w:fldCharType="end"/>
            </w:r>
          </w:hyperlink>
        </w:p>
        <w:p w14:paraId="74D8B71F" w14:textId="10A2B903" w:rsidR="00E2099A" w:rsidRDefault="00000000">
          <w:r>
            <w:fldChar w:fldCharType="end"/>
          </w:r>
        </w:p>
      </w:sdtContent>
    </w:sdt>
    <w:p w14:paraId="38F604BE" w14:textId="77777777" w:rsidR="00E2099A" w:rsidRDefault="00000000">
      <w:pPr>
        <w:pStyle w:val="FirstParagraph"/>
      </w:pPr>
      <w:r>
        <w:rPr>
          <w:i/>
          <w:iCs/>
        </w:rPr>
        <w:t>Prepared for the City of Minneapolis</w:t>
      </w:r>
    </w:p>
    <w:p w14:paraId="5120B6D4" w14:textId="77777777" w:rsidR="00E2099A" w:rsidRDefault="00000000">
      <w:pPr>
        <w:pStyle w:val="SourceCode"/>
      </w:pPr>
      <w:r>
        <w:t>#&gt; Warning in !is.null(rmarkdown::metadata$output) &amp;&amp; rmarkdown::metadata$output</w:t>
      </w:r>
      <w:r>
        <w:br/>
        <w:t>#&gt; %in% : 'length(x) = 2 &gt; 1' in coercion to 'logical(1)'</w:t>
      </w:r>
    </w:p>
    <w:p w14:paraId="6F12B9A1" w14:textId="77777777" w:rsidR="00E2099A" w:rsidRDefault="00000000">
      <w:pPr>
        <w:pStyle w:val="FirstParagraph"/>
      </w:pPr>
      <w:r>
        <w:rPr>
          <w:noProof/>
        </w:rPr>
        <w:drawing>
          <wp:inline distT="0" distB="0" distL="0" distR="0" wp14:anchorId="345A302D" wp14:editId="02F6EDAB">
            <wp:extent cx="6400800" cy="4199986"/>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2788.jpg"/>
                    <pic:cNvPicPr>
                      <a:picLocks noChangeAspect="1" noChangeArrowheads="1"/>
                    </pic:cNvPicPr>
                  </pic:nvPicPr>
                  <pic:blipFill>
                    <a:blip r:embed="rId7"/>
                    <a:stretch>
                      <a:fillRect/>
                    </a:stretch>
                  </pic:blipFill>
                  <pic:spPr bwMode="auto">
                    <a:xfrm>
                      <a:off x="0" y="0"/>
                      <a:ext cx="6400800" cy="4199986"/>
                    </a:xfrm>
                    <a:prstGeom prst="rect">
                      <a:avLst/>
                    </a:prstGeom>
                    <a:noFill/>
                    <a:ln w="9525">
                      <a:noFill/>
                      <a:headEnd/>
                      <a:tailEnd/>
                    </a:ln>
                  </pic:spPr>
                </pic:pic>
              </a:graphicData>
            </a:graphic>
          </wp:inline>
        </w:drawing>
      </w:r>
    </w:p>
    <w:p w14:paraId="3C6854CB" w14:textId="77777777" w:rsidR="00E2099A" w:rsidRDefault="00F47372">
      <w:r>
        <w:rPr>
          <w:noProof/>
        </w:rPr>
        <w:pict w14:anchorId="560858E4">
          <v:rect id="_x0000_i1027" alt="" style="width:468pt;height:.05pt;mso-width-percent:0;mso-height-percent:0;mso-width-percent:0;mso-height-percent:0" o:hralign="center" o:hrstd="t" o:hr="t"/>
        </w:pict>
      </w:r>
    </w:p>
    <w:p w14:paraId="0989BA9A" w14:textId="77777777" w:rsidR="00E2099A" w:rsidRDefault="00000000">
      <w:pPr>
        <w:pStyle w:val="FirstParagraph"/>
      </w:pPr>
      <w:r>
        <w:lastRenderedPageBreak/>
        <w:t>Metropolitan Council Members</w:t>
      </w:r>
    </w:p>
    <w:tbl>
      <w:tblPr>
        <w:tblW w:w="0" w:type="auto"/>
        <w:jc w:val="center"/>
        <w:tblLayout w:type="fixed"/>
        <w:tblLook w:val="0420" w:firstRow="1" w:lastRow="0" w:firstColumn="0" w:lastColumn="0" w:noHBand="0" w:noVBand="1"/>
      </w:tblPr>
      <w:tblGrid>
        <w:gridCol w:w="2538"/>
        <w:gridCol w:w="1266"/>
        <w:gridCol w:w="2587"/>
        <w:gridCol w:w="1389"/>
      </w:tblGrid>
      <w:tr w:rsidR="00E2099A" w14:paraId="6C057795" w14:textId="77777777">
        <w:trPr>
          <w:cantSplit/>
          <w:jc w:val="center"/>
        </w:trPr>
        <w:tc>
          <w:tcPr>
            <w:tcW w:w="2538" w:type="dxa"/>
            <w:shd w:val="clear" w:color="auto" w:fill="FFFFFF"/>
            <w:tcMar>
              <w:top w:w="0" w:type="dxa"/>
              <w:left w:w="0" w:type="dxa"/>
              <w:bottom w:w="0" w:type="dxa"/>
              <w:right w:w="0" w:type="dxa"/>
            </w:tcMar>
            <w:vAlign w:val="center"/>
          </w:tcPr>
          <w:p w14:paraId="03C86B08" w14:textId="77777777" w:rsidR="00E2099A" w:rsidRDefault="00000000">
            <w:pPr>
              <w:spacing w:before="100" w:after="100"/>
              <w:ind w:left="100" w:right="100"/>
            </w:pPr>
            <w:r>
              <w:rPr>
                <w:rFonts w:ascii="Helvetica" w:eastAsia="Helvetica" w:hAnsi="Helvetica" w:cs="Helvetica"/>
                <w:color w:val="000000"/>
                <w:szCs w:val="22"/>
              </w:rPr>
              <w:t>Charlie Zelle</w:t>
            </w:r>
          </w:p>
        </w:tc>
        <w:tc>
          <w:tcPr>
            <w:tcW w:w="1266" w:type="dxa"/>
            <w:shd w:val="clear" w:color="auto" w:fill="FFFFFF"/>
            <w:tcMar>
              <w:top w:w="0" w:type="dxa"/>
              <w:left w:w="0" w:type="dxa"/>
              <w:bottom w:w="0" w:type="dxa"/>
              <w:right w:w="0" w:type="dxa"/>
            </w:tcMar>
            <w:vAlign w:val="center"/>
          </w:tcPr>
          <w:p w14:paraId="3ABED784" w14:textId="77777777" w:rsidR="00E2099A" w:rsidRDefault="00000000">
            <w:pPr>
              <w:spacing w:before="100" w:after="100"/>
              <w:ind w:left="100" w:right="100"/>
            </w:pPr>
            <w:r>
              <w:rPr>
                <w:rFonts w:ascii="Helvetica" w:eastAsia="Helvetica" w:hAnsi="Helvetica" w:cs="Helvetica"/>
                <w:color w:val="000000"/>
                <w:szCs w:val="22"/>
              </w:rPr>
              <w:t>Chair</w:t>
            </w:r>
          </w:p>
        </w:tc>
        <w:tc>
          <w:tcPr>
            <w:tcW w:w="2587" w:type="dxa"/>
            <w:shd w:val="clear" w:color="auto" w:fill="FFFFFF"/>
            <w:tcMar>
              <w:top w:w="0" w:type="dxa"/>
              <w:left w:w="0" w:type="dxa"/>
              <w:bottom w:w="0" w:type="dxa"/>
              <w:right w:w="0" w:type="dxa"/>
            </w:tcMar>
            <w:vAlign w:val="center"/>
          </w:tcPr>
          <w:p w14:paraId="465EB2FA" w14:textId="77777777" w:rsidR="00E2099A" w:rsidRDefault="00000000">
            <w:pPr>
              <w:spacing w:before="100" w:after="100"/>
              <w:ind w:left="100" w:right="100"/>
            </w:pPr>
            <w:r>
              <w:rPr>
                <w:rFonts w:ascii="Helvetica" w:eastAsia="Helvetica" w:hAnsi="Helvetica" w:cs="Helvetica"/>
                <w:color w:val="000000"/>
                <w:szCs w:val="22"/>
              </w:rPr>
              <w:t>Raymond Zeran</w:t>
            </w:r>
          </w:p>
        </w:tc>
        <w:tc>
          <w:tcPr>
            <w:tcW w:w="1389" w:type="dxa"/>
            <w:shd w:val="clear" w:color="auto" w:fill="FFFFFF"/>
            <w:tcMar>
              <w:top w:w="0" w:type="dxa"/>
              <w:left w:w="0" w:type="dxa"/>
              <w:bottom w:w="0" w:type="dxa"/>
              <w:right w:w="0" w:type="dxa"/>
            </w:tcMar>
            <w:vAlign w:val="center"/>
          </w:tcPr>
          <w:p w14:paraId="3A04FA5C" w14:textId="77777777" w:rsidR="00E2099A" w:rsidRDefault="00000000">
            <w:pPr>
              <w:spacing w:before="100" w:after="100"/>
              <w:ind w:left="100" w:right="100"/>
            </w:pPr>
            <w:r>
              <w:rPr>
                <w:rFonts w:ascii="Helvetica" w:eastAsia="Helvetica" w:hAnsi="Helvetica" w:cs="Helvetica"/>
                <w:color w:val="000000"/>
                <w:szCs w:val="22"/>
              </w:rPr>
              <w:t>District 9</w:t>
            </w:r>
          </w:p>
        </w:tc>
      </w:tr>
      <w:tr w:rsidR="00E2099A" w14:paraId="5EBF2255" w14:textId="77777777">
        <w:trPr>
          <w:cantSplit/>
          <w:jc w:val="center"/>
        </w:trPr>
        <w:tc>
          <w:tcPr>
            <w:tcW w:w="2538" w:type="dxa"/>
            <w:shd w:val="clear" w:color="auto" w:fill="FFFFFF"/>
            <w:tcMar>
              <w:top w:w="0" w:type="dxa"/>
              <w:left w:w="0" w:type="dxa"/>
              <w:bottom w:w="0" w:type="dxa"/>
              <w:right w:w="0" w:type="dxa"/>
            </w:tcMar>
            <w:vAlign w:val="center"/>
          </w:tcPr>
          <w:p w14:paraId="28C97901" w14:textId="77777777" w:rsidR="00E2099A" w:rsidRDefault="00000000">
            <w:pPr>
              <w:spacing w:before="100" w:after="100"/>
              <w:ind w:left="100" w:right="100"/>
            </w:pPr>
            <w:r>
              <w:rPr>
                <w:rFonts w:ascii="Helvetica" w:eastAsia="Helvetica" w:hAnsi="Helvetica" w:cs="Helvetica"/>
                <w:color w:val="000000"/>
                <w:szCs w:val="22"/>
              </w:rPr>
              <w:t>Judy Johnson</w:t>
            </w:r>
          </w:p>
        </w:tc>
        <w:tc>
          <w:tcPr>
            <w:tcW w:w="1266" w:type="dxa"/>
            <w:shd w:val="clear" w:color="auto" w:fill="FFFFFF"/>
            <w:tcMar>
              <w:top w:w="0" w:type="dxa"/>
              <w:left w:w="0" w:type="dxa"/>
              <w:bottom w:w="0" w:type="dxa"/>
              <w:right w:w="0" w:type="dxa"/>
            </w:tcMar>
            <w:vAlign w:val="center"/>
          </w:tcPr>
          <w:p w14:paraId="5433E82A" w14:textId="77777777" w:rsidR="00E2099A" w:rsidRDefault="00000000">
            <w:pPr>
              <w:spacing w:before="100" w:after="100"/>
              <w:ind w:left="100" w:right="100"/>
            </w:pPr>
            <w:r>
              <w:rPr>
                <w:rFonts w:ascii="Helvetica" w:eastAsia="Helvetica" w:hAnsi="Helvetica" w:cs="Helvetica"/>
                <w:color w:val="000000"/>
                <w:szCs w:val="22"/>
              </w:rPr>
              <w:t>District 1</w:t>
            </w:r>
          </w:p>
        </w:tc>
        <w:tc>
          <w:tcPr>
            <w:tcW w:w="2587" w:type="dxa"/>
            <w:shd w:val="clear" w:color="auto" w:fill="FFFFFF"/>
            <w:tcMar>
              <w:top w:w="0" w:type="dxa"/>
              <w:left w:w="0" w:type="dxa"/>
              <w:bottom w:w="0" w:type="dxa"/>
              <w:right w:w="0" w:type="dxa"/>
            </w:tcMar>
            <w:vAlign w:val="center"/>
          </w:tcPr>
          <w:p w14:paraId="665E7410" w14:textId="77777777" w:rsidR="00E2099A" w:rsidRDefault="00000000">
            <w:pPr>
              <w:spacing w:before="100" w:after="100"/>
              <w:ind w:left="100" w:right="100"/>
            </w:pPr>
            <w:r>
              <w:rPr>
                <w:rFonts w:ascii="Helvetica" w:eastAsia="Helvetica" w:hAnsi="Helvetica" w:cs="Helvetica"/>
                <w:color w:val="000000"/>
                <w:szCs w:val="22"/>
              </w:rPr>
              <w:t>Peter Lindstrom</w:t>
            </w:r>
          </w:p>
        </w:tc>
        <w:tc>
          <w:tcPr>
            <w:tcW w:w="1389" w:type="dxa"/>
            <w:shd w:val="clear" w:color="auto" w:fill="FFFFFF"/>
            <w:tcMar>
              <w:top w:w="0" w:type="dxa"/>
              <w:left w:w="0" w:type="dxa"/>
              <w:bottom w:w="0" w:type="dxa"/>
              <w:right w:w="0" w:type="dxa"/>
            </w:tcMar>
            <w:vAlign w:val="center"/>
          </w:tcPr>
          <w:p w14:paraId="50977DBA" w14:textId="77777777" w:rsidR="00E2099A" w:rsidRDefault="00000000">
            <w:pPr>
              <w:spacing w:before="100" w:after="100"/>
              <w:ind w:left="100" w:right="100"/>
            </w:pPr>
            <w:r>
              <w:rPr>
                <w:rFonts w:ascii="Helvetica" w:eastAsia="Helvetica" w:hAnsi="Helvetica" w:cs="Helvetica"/>
                <w:color w:val="000000"/>
                <w:szCs w:val="22"/>
              </w:rPr>
              <w:t>District 10</w:t>
            </w:r>
          </w:p>
        </w:tc>
      </w:tr>
      <w:tr w:rsidR="00E2099A" w14:paraId="358BA94E" w14:textId="77777777">
        <w:trPr>
          <w:cantSplit/>
          <w:jc w:val="center"/>
        </w:trPr>
        <w:tc>
          <w:tcPr>
            <w:tcW w:w="2538" w:type="dxa"/>
            <w:shd w:val="clear" w:color="auto" w:fill="FFFFFF"/>
            <w:tcMar>
              <w:top w:w="0" w:type="dxa"/>
              <w:left w:w="0" w:type="dxa"/>
              <w:bottom w:w="0" w:type="dxa"/>
              <w:right w:w="0" w:type="dxa"/>
            </w:tcMar>
            <w:vAlign w:val="center"/>
          </w:tcPr>
          <w:p w14:paraId="659507F2" w14:textId="77777777" w:rsidR="00E2099A" w:rsidRDefault="00000000">
            <w:pPr>
              <w:spacing w:before="100" w:after="100"/>
              <w:ind w:left="100" w:right="100"/>
            </w:pPr>
            <w:r>
              <w:rPr>
                <w:rFonts w:ascii="Helvetica" w:eastAsia="Helvetica" w:hAnsi="Helvetica" w:cs="Helvetica"/>
                <w:color w:val="000000"/>
                <w:szCs w:val="22"/>
              </w:rPr>
              <w:t>Reva Chamblis</w:t>
            </w:r>
          </w:p>
        </w:tc>
        <w:tc>
          <w:tcPr>
            <w:tcW w:w="1266" w:type="dxa"/>
            <w:shd w:val="clear" w:color="auto" w:fill="FFFFFF"/>
            <w:tcMar>
              <w:top w:w="0" w:type="dxa"/>
              <w:left w:w="0" w:type="dxa"/>
              <w:bottom w:w="0" w:type="dxa"/>
              <w:right w:w="0" w:type="dxa"/>
            </w:tcMar>
            <w:vAlign w:val="center"/>
          </w:tcPr>
          <w:p w14:paraId="215EAC6D" w14:textId="77777777" w:rsidR="00E2099A" w:rsidRDefault="00000000">
            <w:pPr>
              <w:spacing w:before="100" w:after="100"/>
              <w:ind w:left="100" w:right="100"/>
            </w:pPr>
            <w:r>
              <w:rPr>
                <w:rFonts w:ascii="Helvetica" w:eastAsia="Helvetica" w:hAnsi="Helvetica" w:cs="Helvetica"/>
                <w:color w:val="000000"/>
                <w:szCs w:val="22"/>
              </w:rPr>
              <w:t>District 2</w:t>
            </w:r>
          </w:p>
        </w:tc>
        <w:tc>
          <w:tcPr>
            <w:tcW w:w="2587" w:type="dxa"/>
            <w:shd w:val="clear" w:color="auto" w:fill="FFFFFF"/>
            <w:tcMar>
              <w:top w:w="0" w:type="dxa"/>
              <w:left w:w="0" w:type="dxa"/>
              <w:bottom w:w="0" w:type="dxa"/>
              <w:right w:w="0" w:type="dxa"/>
            </w:tcMar>
            <w:vAlign w:val="center"/>
          </w:tcPr>
          <w:p w14:paraId="48099F73" w14:textId="77777777" w:rsidR="00E2099A" w:rsidRDefault="00000000">
            <w:pPr>
              <w:spacing w:before="100" w:after="100"/>
              <w:ind w:left="100" w:right="100"/>
            </w:pPr>
            <w:r>
              <w:rPr>
                <w:rFonts w:ascii="Helvetica" w:eastAsia="Helvetica" w:hAnsi="Helvetica" w:cs="Helvetica"/>
                <w:color w:val="000000"/>
                <w:szCs w:val="22"/>
              </w:rPr>
              <w:t>Susan Vento</w:t>
            </w:r>
          </w:p>
        </w:tc>
        <w:tc>
          <w:tcPr>
            <w:tcW w:w="1389" w:type="dxa"/>
            <w:shd w:val="clear" w:color="auto" w:fill="FFFFFF"/>
            <w:tcMar>
              <w:top w:w="0" w:type="dxa"/>
              <w:left w:w="0" w:type="dxa"/>
              <w:bottom w:w="0" w:type="dxa"/>
              <w:right w:w="0" w:type="dxa"/>
            </w:tcMar>
            <w:vAlign w:val="center"/>
          </w:tcPr>
          <w:p w14:paraId="3436CE0D" w14:textId="77777777" w:rsidR="00E2099A" w:rsidRDefault="00000000">
            <w:pPr>
              <w:spacing w:before="100" w:after="100"/>
              <w:ind w:left="100" w:right="100"/>
            </w:pPr>
            <w:r>
              <w:rPr>
                <w:rFonts w:ascii="Helvetica" w:eastAsia="Helvetica" w:hAnsi="Helvetica" w:cs="Helvetica"/>
                <w:color w:val="000000"/>
                <w:szCs w:val="22"/>
              </w:rPr>
              <w:t>District 11</w:t>
            </w:r>
          </w:p>
        </w:tc>
      </w:tr>
      <w:tr w:rsidR="00E2099A" w14:paraId="7CD6B9E5" w14:textId="77777777">
        <w:trPr>
          <w:cantSplit/>
          <w:jc w:val="center"/>
        </w:trPr>
        <w:tc>
          <w:tcPr>
            <w:tcW w:w="2538" w:type="dxa"/>
            <w:shd w:val="clear" w:color="auto" w:fill="FFFFFF"/>
            <w:tcMar>
              <w:top w:w="0" w:type="dxa"/>
              <w:left w:w="0" w:type="dxa"/>
              <w:bottom w:w="0" w:type="dxa"/>
              <w:right w:w="0" w:type="dxa"/>
            </w:tcMar>
            <w:vAlign w:val="center"/>
          </w:tcPr>
          <w:p w14:paraId="49EAF458" w14:textId="77777777" w:rsidR="00E2099A" w:rsidRDefault="00000000">
            <w:pPr>
              <w:spacing w:before="100" w:after="100"/>
              <w:ind w:left="100" w:right="100"/>
            </w:pPr>
            <w:r>
              <w:rPr>
                <w:rFonts w:ascii="Helvetica" w:eastAsia="Helvetica" w:hAnsi="Helvetica" w:cs="Helvetica"/>
                <w:color w:val="000000"/>
                <w:szCs w:val="22"/>
              </w:rPr>
              <w:t>Christopher Ferguson</w:t>
            </w:r>
          </w:p>
        </w:tc>
        <w:tc>
          <w:tcPr>
            <w:tcW w:w="1266" w:type="dxa"/>
            <w:shd w:val="clear" w:color="auto" w:fill="FFFFFF"/>
            <w:tcMar>
              <w:top w:w="0" w:type="dxa"/>
              <w:left w:w="0" w:type="dxa"/>
              <w:bottom w:w="0" w:type="dxa"/>
              <w:right w:w="0" w:type="dxa"/>
            </w:tcMar>
            <w:vAlign w:val="center"/>
          </w:tcPr>
          <w:p w14:paraId="55ACBA18" w14:textId="77777777" w:rsidR="00E2099A" w:rsidRDefault="00000000">
            <w:pPr>
              <w:spacing w:before="100" w:after="100"/>
              <w:ind w:left="100" w:right="100"/>
            </w:pPr>
            <w:r>
              <w:rPr>
                <w:rFonts w:ascii="Helvetica" w:eastAsia="Helvetica" w:hAnsi="Helvetica" w:cs="Helvetica"/>
                <w:color w:val="000000"/>
                <w:szCs w:val="22"/>
              </w:rPr>
              <w:t>District 3</w:t>
            </w:r>
          </w:p>
        </w:tc>
        <w:tc>
          <w:tcPr>
            <w:tcW w:w="2587" w:type="dxa"/>
            <w:shd w:val="clear" w:color="auto" w:fill="FFFFFF"/>
            <w:tcMar>
              <w:top w:w="0" w:type="dxa"/>
              <w:left w:w="0" w:type="dxa"/>
              <w:bottom w:w="0" w:type="dxa"/>
              <w:right w:w="0" w:type="dxa"/>
            </w:tcMar>
            <w:vAlign w:val="center"/>
          </w:tcPr>
          <w:p w14:paraId="5E6C1AA9" w14:textId="77777777" w:rsidR="00E2099A" w:rsidRDefault="00000000">
            <w:pPr>
              <w:spacing w:before="100" w:after="100"/>
              <w:ind w:left="100" w:right="100"/>
            </w:pPr>
            <w:r>
              <w:rPr>
                <w:rFonts w:ascii="Helvetica" w:eastAsia="Helvetica" w:hAnsi="Helvetica" w:cs="Helvetica"/>
                <w:color w:val="000000"/>
                <w:szCs w:val="22"/>
              </w:rPr>
              <w:t>Francisco J. Gonzalez</w:t>
            </w:r>
          </w:p>
        </w:tc>
        <w:tc>
          <w:tcPr>
            <w:tcW w:w="1389" w:type="dxa"/>
            <w:shd w:val="clear" w:color="auto" w:fill="FFFFFF"/>
            <w:tcMar>
              <w:top w:w="0" w:type="dxa"/>
              <w:left w:w="0" w:type="dxa"/>
              <w:bottom w:w="0" w:type="dxa"/>
              <w:right w:w="0" w:type="dxa"/>
            </w:tcMar>
            <w:vAlign w:val="center"/>
          </w:tcPr>
          <w:p w14:paraId="7447AD78" w14:textId="77777777" w:rsidR="00E2099A" w:rsidRDefault="00000000">
            <w:pPr>
              <w:spacing w:before="100" w:after="100"/>
              <w:ind w:left="100" w:right="100"/>
            </w:pPr>
            <w:r>
              <w:rPr>
                <w:rFonts w:ascii="Helvetica" w:eastAsia="Helvetica" w:hAnsi="Helvetica" w:cs="Helvetica"/>
                <w:color w:val="000000"/>
                <w:szCs w:val="22"/>
              </w:rPr>
              <w:t>District 12</w:t>
            </w:r>
          </w:p>
        </w:tc>
      </w:tr>
      <w:tr w:rsidR="00E2099A" w14:paraId="1F1142BB" w14:textId="77777777">
        <w:trPr>
          <w:cantSplit/>
          <w:jc w:val="center"/>
        </w:trPr>
        <w:tc>
          <w:tcPr>
            <w:tcW w:w="2538" w:type="dxa"/>
            <w:shd w:val="clear" w:color="auto" w:fill="FFFFFF"/>
            <w:tcMar>
              <w:top w:w="0" w:type="dxa"/>
              <w:left w:w="0" w:type="dxa"/>
              <w:bottom w:w="0" w:type="dxa"/>
              <w:right w:w="0" w:type="dxa"/>
            </w:tcMar>
            <w:vAlign w:val="center"/>
          </w:tcPr>
          <w:p w14:paraId="54A67635" w14:textId="77777777" w:rsidR="00E2099A" w:rsidRDefault="00000000">
            <w:pPr>
              <w:spacing w:before="100" w:after="100"/>
              <w:ind w:left="100" w:right="100"/>
            </w:pPr>
            <w:r>
              <w:rPr>
                <w:rFonts w:ascii="Helvetica" w:eastAsia="Helvetica" w:hAnsi="Helvetica" w:cs="Helvetica"/>
                <w:color w:val="000000"/>
                <w:szCs w:val="22"/>
              </w:rPr>
              <w:t>Deb Barber</w:t>
            </w:r>
          </w:p>
        </w:tc>
        <w:tc>
          <w:tcPr>
            <w:tcW w:w="1266" w:type="dxa"/>
            <w:shd w:val="clear" w:color="auto" w:fill="FFFFFF"/>
            <w:tcMar>
              <w:top w:w="0" w:type="dxa"/>
              <w:left w:w="0" w:type="dxa"/>
              <w:bottom w:w="0" w:type="dxa"/>
              <w:right w:w="0" w:type="dxa"/>
            </w:tcMar>
            <w:vAlign w:val="center"/>
          </w:tcPr>
          <w:p w14:paraId="1111BE60" w14:textId="77777777" w:rsidR="00E2099A" w:rsidRDefault="00000000">
            <w:pPr>
              <w:spacing w:before="100" w:after="100"/>
              <w:ind w:left="100" w:right="100"/>
            </w:pPr>
            <w:r>
              <w:rPr>
                <w:rFonts w:ascii="Helvetica" w:eastAsia="Helvetica" w:hAnsi="Helvetica" w:cs="Helvetica"/>
                <w:color w:val="000000"/>
                <w:szCs w:val="22"/>
              </w:rPr>
              <w:t>District 4</w:t>
            </w:r>
          </w:p>
        </w:tc>
        <w:tc>
          <w:tcPr>
            <w:tcW w:w="2587" w:type="dxa"/>
            <w:shd w:val="clear" w:color="auto" w:fill="FFFFFF"/>
            <w:tcMar>
              <w:top w:w="0" w:type="dxa"/>
              <w:left w:w="0" w:type="dxa"/>
              <w:bottom w:w="0" w:type="dxa"/>
              <w:right w:w="0" w:type="dxa"/>
            </w:tcMar>
            <w:vAlign w:val="center"/>
          </w:tcPr>
          <w:p w14:paraId="70C12AA9" w14:textId="77777777" w:rsidR="00E2099A" w:rsidRDefault="00000000">
            <w:pPr>
              <w:spacing w:before="100" w:after="100"/>
              <w:ind w:left="100" w:right="100"/>
            </w:pPr>
            <w:r>
              <w:rPr>
                <w:rFonts w:ascii="Helvetica" w:eastAsia="Helvetica" w:hAnsi="Helvetica" w:cs="Helvetica"/>
                <w:color w:val="000000"/>
                <w:szCs w:val="22"/>
              </w:rPr>
              <w:t>Chai Lee</w:t>
            </w:r>
          </w:p>
        </w:tc>
        <w:tc>
          <w:tcPr>
            <w:tcW w:w="1389" w:type="dxa"/>
            <w:shd w:val="clear" w:color="auto" w:fill="FFFFFF"/>
            <w:tcMar>
              <w:top w:w="0" w:type="dxa"/>
              <w:left w:w="0" w:type="dxa"/>
              <w:bottom w:w="0" w:type="dxa"/>
              <w:right w:w="0" w:type="dxa"/>
            </w:tcMar>
            <w:vAlign w:val="center"/>
          </w:tcPr>
          <w:p w14:paraId="3D8E81AB" w14:textId="77777777" w:rsidR="00E2099A" w:rsidRDefault="00000000">
            <w:pPr>
              <w:spacing w:before="100" w:after="100"/>
              <w:ind w:left="100" w:right="100"/>
            </w:pPr>
            <w:r>
              <w:rPr>
                <w:rFonts w:ascii="Helvetica" w:eastAsia="Helvetica" w:hAnsi="Helvetica" w:cs="Helvetica"/>
                <w:color w:val="000000"/>
                <w:szCs w:val="22"/>
              </w:rPr>
              <w:t>District 13</w:t>
            </w:r>
          </w:p>
        </w:tc>
      </w:tr>
      <w:tr w:rsidR="00E2099A" w14:paraId="7FE5F7E5" w14:textId="77777777">
        <w:trPr>
          <w:cantSplit/>
          <w:jc w:val="center"/>
        </w:trPr>
        <w:tc>
          <w:tcPr>
            <w:tcW w:w="2538" w:type="dxa"/>
            <w:shd w:val="clear" w:color="auto" w:fill="FFFFFF"/>
            <w:tcMar>
              <w:top w:w="0" w:type="dxa"/>
              <w:left w:w="0" w:type="dxa"/>
              <w:bottom w:w="0" w:type="dxa"/>
              <w:right w:w="0" w:type="dxa"/>
            </w:tcMar>
            <w:vAlign w:val="center"/>
          </w:tcPr>
          <w:p w14:paraId="7439CFF4" w14:textId="77777777" w:rsidR="00E2099A" w:rsidRDefault="00000000">
            <w:pPr>
              <w:spacing w:before="100" w:after="100"/>
              <w:ind w:left="100" w:right="100"/>
            </w:pPr>
            <w:r>
              <w:rPr>
                <w:rFonts w:ascii="Helvetica" w:eastAsia="Helvetica" w:hAnsi="Helvetica" w:cs="Helvetica"/>
                <w:color w:val="000000"/>
                <w:szCs w:val="22"/>
              </w:rPr>
              <w:t>Molly Cummings</w:t>
            </w:r>
          </w:p>
        </w:tc>
        <w:tc>
          <w:tcPr>
            <w:tcW w:w="1266" w:type="dxa"/>
            <w:shd w:val="clear" w:color="auto" w:fill="FFFFFF"/>
            <w:tcMar>
              <w:top w:w="0" w:type="dxa"/>
              <w:left w:w="0" w:type="dxa"/>
              <w:bottom w:w="0" w:type="dxa"/>
              <w:right w:w="0" w:type="dxa"/>
            </w:tcMar>
            <w:vAlign w:val="center"/>
          </w:tcPr>
          <w:p w14:paraId="68EBC38B" w14:textId="77777777" w:rsidR="00E2099A" w:rsidRDefault="00000000">
            <w:pPr>
              <w:spacing w:before="100" w:after="100"/>
              <w:ind w:left="100" w:right="100"/>
            </w:pPr>
            <w:r>
              <w:rPr>
                <w:rFonts w:ascii="Helvetica" w:eastAsia="Helvetica" w:hAnsi="Helvetica" w:cs="Helvetica"/>
                <w:color w:val="000000"/>
                <w:szCs w:val="22"/>
              </w:rPr>
              <w:t>District 5</w:t>
            </w:r>
          </w:p>
        </w:tc>
        <w:tc>
          <w:tcPr>
            <w:tcW w:w="2587" w:type="dxa"/>
            <w:shd w:val="clear" w:color="auto" w:fill="FFFFFF"/>
            <w:tcMar>
              <w:top w:w="0" w:type="dxa"/>
              <w:left w:w="0" w:type="dxa"/>
              <w:bottom w:w="0" w:type="dxa"/>
              <w:right w:w="0" w:type="dxa"/>
            </w:tcMar>
            <w:vAlign w:val="center"/>
          </w:tcPr>
          <w:p w14:paraId="37B987BC" w14:textId="77777777" w:rsidR="00E2099A" w:rsidRDefault="00000000">
            <w:pPr>
              <w:spacing w:before="100" w:after="100"/>
              <w:ind w:left="100" w:right="100"/>
            </w:pPr>
            <w:r>
              <w:rPr>
                <w:rFonts w:ascii="Helvetica" w:eastAsia="Helvetica" w:hAnsi="Helvetica" w:cs="Helvetica"/>
                <w:color w:val="000000"/>
                <w:szCs w:val="22"/>
              </w:rPr>
              <w:t>Kris Fredson</w:t>
            </w:r>
          </w:p>
        </w:tc>
        <w:tc>
          <w:tcPr>
            <w:tcW w:w="1389" w:type="dxa"/>
            <w:shd w:val="clear" w:color="auto" w:fill="FFFFFF"/>
            <w:tcMar>
              <w:top w:w="0" w:type="dxa"/>
              <w:left w:w="0" w:type="dxa"/>
              <w:bottom w:w="0" w:type="dxa"/>
              <w:right w:w="0" w:type="dxa"/>
            </w:tcMar>
            <w:vAlign w:val="center"/>
          </w:tcPr>
          <w:p w14:paraId="639901C6" w14:textId="77777777" w:rsidR="00E2099A" w:rsidRDefault="00000000">
            <w:pPr>
              <w:spacing w:before="100" w:after="100"/>
              <w:ind w:left="100" w:right="100"/>
            </w:pPr>
            <w:r>
              <w:rPr>
                <w:rFonts w:ascii="Helvetica" w:eastAsia="Helvetica" w:hAnsi="Helvetica" w:cs="Helvetica"/>
                <w:color w:val="000000"/>
                <w:szCs w:val="22"/>
              </w:rPr>
              <w:t>District 14</w:t>
            </w:r>
          </w:p>
        </w:tc>
      </w:tr>
      <w:tr w:rsidR="00E2099A" w14:paraId="7F4904BD" w14:textId="77777777">
        <w:trPr>
          <w:cantSplit/>
          <w:jc w:val="center"/>
        </w:trPr>
        <w:tc>
          <w:tcPr>
            <w:tcW w:w="2538" w:type="dxa"/>
            <w:shd w:val="clear" w:color="auto" w:fill="FFFFFF"/>
            <w:tcMar>
              <w:top w:w="0" w:type="dxa"/>
              <w:left w:w="0" w:type="dxa"/>
              <w:bottom w:w="0" w:type="dxa"/>
              <w:right w:w="0" w:type="dxa"/>
            </w:tcMar>
            <w:vAlign w:val="center"/>
          </w:tcPr>
          <w:p w14:paraId="34640CC5" w14:textId="77777777" w:rsidR="00E2099A" w:rsidRDefault="00000000">
            <w:pPr>
              <w:spacing w:before="100" w:after="100"/>
              <w:ind w:left="100" w:right="100"/>
            </w:pPr>
            <w:r>
              <w:rPr>
                <w:rFonts w:ascii="Helvetica" w:eastAsia="Helvetica" w:hAnsi="Helvetica" w:cs="Helvetica"/>
                <w:color w:val="000000"/>
                <w:szCs w:val="22"/>
              </w:rPr>
              <w:t>John Pacheco Jr.</w:t>
            </w:r>
          </w:p>
        </w:tc>
        <w:tc>
          <w:tcPr>
            <w:tcW w:w="1266" w:type="dxa"/>
            <w:shd w:val="clear" w:color="auto" w:fill="FFFFFF"/>
            <w:tcMar>
              <w:top w:w="0" w:type="dxa"/>
              <w:left w:w="0" w:type="dxa"/>
              <w:bottom w:w="0" w:type="dxa"/>
              <w:right w:w="0" w:type="dxa"/>
            </w:tcMar>
            <w:vAlign w:val="center"/>
          </w:tcPr>
          <w:p w14:paraId="7D4AAFB7" w14:textId="77777777" w:rsidR="00E2099A" w:rsidRDefault="00000000">
            <w:pPr>
              <w:spacing w:before="100" w:after="100"/>
              <w:ind w:left="100" w:right="100"/>
            </w:pPr>
            <w:r>
              <w:rPr>
                <w:rFonts w:ascii="Helvetica" w:eastAsia="Helvetica" w:hAnsi="Helvetica" w:cs="Helvetica"/>
                <w:color w:val="000000"/>
                <w:szCs w:val="22"/>
              </w:rPr>
              <w:t>District 6</w:t>
            </w:r>
          </w:p>
        </w:tc>
        <w:tc>
          <w:tcPr>
            <w:tcW w:w="2587" w:type="dxa"/>
            <w:shd w:val="clear" w:color="auto" w:fill="FFFFFF"/>
            <w:tcMar>
              <w:top w:w="0" w:type="dxa"/>
              <w:left w:w="0" w:type="dxa"/>
              <w:bottom w:w="0" w:type="dxa"/>
              <w:right w:w="0" w:type="dxa"/>
            </w:tcMar>
            <w:vAlign w:val="center"/>
          </w:tcPr>
          <w:p w14:paraId="3543EAA1" w14:textId="77777777" w:rsidR="00E2099A" w:rsidRDefault="00000000">
            <w:pPr>
              <w:spacing w:before="100" w:after="100"/>
              <w:ind w:left="100" w:right="100"/>
            </w:pPr>
            <w:r>
              <w:rPr>
                <w:rFonts w:ascii="Helvetica" w:eastAsia="Helvetica" w:hAnsi="Helvetica" w:cs="Helvetica"/>
                <w:color w:val="000000"/>
                <w:szCs w:val="22"/>
              </w:rPr>
              <w:t>Phillip Sterner</w:t>
            </w:r>
          </w:p>
        </w:tc>
        <w:tc>
          <w:tcPr>
            <w:tcW w:w="1389" w:type="dxa"/>
            <w:shd w:val="clear" w:color="auto" w:fill="FFFFFF"/>
            <w:tcMar>
              <w:top w:w="0" w:type="dxa"/>
              <w:left w:w="0" w:type="dxa"/>
              <w:bottom w:w="0" w:type="dxa"/>
              <w:right w:w="0" w:type="dxa"/>
            </w:tcMar>
            <w:vAlign w:val="center"/>
          </w:tcPr>
          <w:p w14:paraId="098CF2BD" w14:textId="77777777" w:rsidR="00E2099A" w:rsidRDefault="00000000">
            <w:pPr>
              <w:spacing w:before="100" w:after="100"/>
              <w:ind w:left="100" w:right="100"/>
            </w:pPr>
            <w:r>
              <w:rPr>
                <w:rFonts w:ascii="Helvetica" w:eastAsia="Helvetica" w:hAnsi="Helvetica" w:cs="Helvetica"/>
                <w:color w:val="000000"/>
                <w:szCs w:val="22"/>
              </w:rPr>
              <w:t>District 15</w:t>
            </w:r>
          </w:p>
        </w:tc>
      </w:tr>
      <w:tr w:rsidR="00E2099A" w14:paraId="282C28E2" w14:textId="77777777">
        <w:trPr>
          <w:cantSplit/>
          <w:jc w:val="center"/>
        </w:trPr>
        <w:tc>
          <w:tcPr>
            <w:tcW w:w="2538" w:type="dxa"/>
            <w:shd w:val="clear" w:color="auto" w:fill="FFFFFF"/>
            <w:tcMar>
              <w:top w:w="0" w:type="dxa"/>
              <w:left w:w="0" w:type="dxa"/>
              <w:bottom w:w="0" w:type="dxa"/>
              <w:right w:w="0" w:type="dxa"/>
            </w:tcMar>
            <w:vAlign w:val="center"/>
          </w:tcPr>
          <w:p w14:paraId="2F47BCD3" w14:textId="77777777" w:rsidR="00E2099A" w:rsidRDefault="00000000">
            <w:pPr>
              <w:spacing w:before="100" w:after="100"/>
              <w:ind w:left="100" w:right="100"/>
            </w:pPr>
            <w:r>
              <w:rPr>
                <w:rFonts w:ascii="Helvetica" w:eastAsia="Helvetica" w:hAnsi="Helvetica" w:cs="Helvetica"/>
                <w:color w:val="000000"/>
                <w:szCs w:val="22"/>
              </w:rPr>
              <w:t>Robert Lilligren</w:t>
            </w:r>
          </w:p>
        </w:tc>
        <w:tc>
          <w:tcPr>
            <w:tcW w:w="1266" w:type="dxa"/>
            <w:shd w:val="clear" w:color="auto" w:fill="FFFFFF"/>
            <w:tcMar>
              <w:top w:w="0" w:type="dxa"/>
              <w:left w:w="0" w:type="dxa"/>
              <w:bottom w:w="0" w:type="dxa"/>
              <w:right w:w="0" w:type="dxa"/>
            </w:tcMar>
            <w:vAlign w:val="center"/>
          </w:tcPr>
          <w:p w14:paraId="6E23AF5C" w14:textId="77777777" w:rsidR="00E2099A" w:rsidRDefault="00000000">
            <w:pPr>
              <w:spacing w:before="100" w:after="100"/>
              <w:ind w:left="100" w:right="100"/>
            </w:pPr>
            <w:r>
              <w:rPr>
                <w:rFonts w:ascii="Helvetica" w:eastAsia="Helvetica" w:hAnsi="Helvetica" w:cs="Helvetica"/>
                <w:color w:val="000000"/>
                <w:szCs w:val="22"/>
              </w:rPr>
              <w:t>District 7</w:t>
            </w:r>
          </w:p>
        </w:tc>
        <w:tc>
          <w:tcPr>
            <w:tcW w:w="2587" w:type="dxa"/>
            <w:shd w:val="clear" w:color="auto" w:fill="FFFFFF"/>
            <w:tcMar>
              <w:top w:w="0" w:type="dxa"/>
              <w:left w:w="0" w:type="dxa"/>
              <w:bottom w:w="0" w:type="dxa"/>
              <w:right w:w="0" w:type="dxa"/>
            </w:tcMar>
            <w:vAlign w:val="center"/>
          </w:tcPr>
          <w:p w14:paraId="6A0B4BEA" w14:textId="77777777" w:rsidR="00E2099A" w:rsidRDefault="00000000">
            <w:pPr>
              <w:spacing w:before="100" w:after="100"/>
              <w:ind w:left="100" w:right="100"/>
            </w:pPr>
            <w:r>
              <w:rPr>
                <w:rFonts w:ascii="Helvetica" w:eastAsia="Helvetica" w:hAnsi="Helvetica" w:cs="Helvetica"/>
                <w:color w:val="000000"/>
                <w:szCs w:val="22"/>
              </w:rPr>
              <w:t>Wendy Wulff</w:t>
            </w:r>
          </w:p>
        </w:tc>
        <w:tc>
          <w:tcPr>
            <w:tcW w:w="1389" w:type="dxa"/>
            <w:shd w:val="clear" w:color="auto" w:fill="FFFFFF"/>
            <w:tcMar>
              <w:top w:w="0" w:type="dxa"/>
              <w:left w:w="0" w:type="dxa"/>
              <w:bottom w:w="0" w:type="dxa"/>
              <w:right w:w="0" w:type="dxa"/>
            </w:tcMar>
            <w:vAlign w:val="center"/>
          </w:tcPr>
          <w:p w14:paraId="4E6C34A3" w14:textId="77777777" w:rsidR="00E2099A" w:rsidRDefault="00000000">
            <w:pPr>
              <w:spacing w:before="100" w:after="100"/>
              <w:ind w:left="100" w:right="100"/>
            </w:pPr>
            <w:r>
              <w:rPr>
                <w:rFonts w:ascii="Helvetica" w:eastAsia="Helvetica" w:hAnsi="Helvetica" w:cs="Helvetica"/>
                <w:color w:val="000000"/>
                <w:szCs w:val="22"/>
              </w:rPr>
              <w:t>District 16</w:t>
            </w:r>
          </w:p>
        </w:tc>
      </w:tr>
      <w:tr w:rsidR="00E2099A" w14:paraId="1BCC84AE" w14:textId="77777777">
        <w:trPr>
          <w:cantSplit/>
          <w:jc w:val="center"/>
        </w:trPr>
        <w:tc>
          <w:tcPr>
            <w:tcW w:w="2538" w:type="dxa"/>
            <w:tcBorders>
              <w:bottom w:val="single" w:sz="16" w:space="0" w:color="666666"/>
            </w:tcBorders>
            <w:shd w:val="clear" w:color="auto" w:fill="FFFFFF"/>
            <w:tcMar>
              <w:top w:w="0" w:type="dxa"/>
              <w:left w:w="0" w:type="dxa"/>
              <w:bottom w:w="0" w:type="dxa"/>
              <w:right w:w="0" w:type="dxa"/>
            </w:tcMar>
            <w:vAlign w:val="center"/>
          </w:tcPr>
          <w:p w14:paraId="41292D82" w14:textId="77777777" w:rsidR="00E2099A" w:rsidRDefault="00000000">
            <w:pPr>
              <w:spacing w:before="100" w:after="100"/>
              <w:ind w:left="100" w:right="100"/>
            </w:pPr>
            <w:r>
              <w:rPr>
                <w:rFonts w:ascii="Helvetica" w:eastAsia="Helvetica" w:hAnsi="Helvetica" w:cs="Helvetica"/>
                <w:color w:val="000000"/>
                <w:szCs w:val="22"/>
              </w:rPr>
              <w:t>Abdirahman Muse</w:t>
            </w:r>
          </w:p>
        </w:tc>
        <w:tc>
          <w:tcPr>
            <w:tcW w:w="1266" w:type="dxa"/>
            <w:tcBorders>
              <w:bottom w:val="single" w:sz="16" w:space="0" w:color="666666"/>
            </w:tcBorders>
            <w:shd w:val="clear" w:color="auto" w:fill="FFFFFF"/>
            <w:tcMar>
              <w:top w:w="0" w:type="dxa"/>
              <w:left w:w="0" w:type="dxa"/>
              <w:bottom w:w="0" w:type="dxa"/>
              <w:right w:w="0" w:type="dxa"/>
            </w:tcMar>
            <w:vAlign w:val="center"/>
          </w:tcPr>
          <w:p w14:paraId="63C3B209" w14:textId="77777777" w:rsidR="00E2099A" w:rsidRDefault="00000000">
            <w:pPr>
              <w:spacing w:before="100" w:after="100"/>
              <w:ind w:left="100" w:right="100"/>
            </w:pPr>
            <w:r>
              <w:rPr>
                <w:rFonts w:ascii="Helvetica" w:eastAsia="Helvetica" w:hAnsi="Helvetica" w:cs="Helvetica"/>
                <w:color w:val="000000"/>
                <w:szCs w:val="22"/>
              </w:rPr>
              <w:t>District 8</w:t>
            </w:r>
          </w:p>
        </w:tc>
        <w:tc>
          <w:tcPr>
            <w:tcW w:w="2587" w:type="dxa"/>
            <w:tcBorders>
              <w:bottom w:val="single" w:sz="16" w:space="0" w:color="666666"/>
            </w:tcBorders>
            <w:shd w:val="clear" w:color="auto" w:fill="FFFFFF"/>
            <w:tcMar>
              <w:top w:w="0" w:type="dxa"/>
              <w:left w:w="0" w:type="dxa"/>
              <w:bottom w:w="0" w:type="dxa"/>
              <w:right w:w="0" w:type="dxa"/>
            </w:tcMar>
            <w:vAlign w:val="center"/>
          </w:tcPr>
          <w:p w14:paraId="6591ECFE" w14:textId="77777777" w:rsidR="00E2099A" w:rsidRDefault="00E2099A">
            <w:pPr>
              <w:spacing w:before="100" w:after="100"/>
              <w:ind w:left="100" w:right="100"/>
            </w:pPr>
          </w:p>
        </w:tc>
        <w:tc>
          <w:tcPr>
            <w:tcW w:w="1389" w:type="dxa"/>
            <w:tcBorders>
              <w:bottom w:val="single" w:sz="16" w:space="0" w:color="666666"/>
            </w:tcBorders>
            <w:shd w:val="clear" w:color="auto" w:fill="FFFFFF"/>
            <w:tcMar>
              <w:top w:w="0" w:type="dxa"/>
              <w:left w:w="0" w:type="dxa"/>
              <w:bottom w:w="0" w:type="dxa"/>
              <w:right w:w="0" w:type="dxa"/>
            </w:tcMar>
            <w:vAlign w:val="center"/>
          </w:tcPr>
          <w:p w14:paraId="2A3DB16E" w14:textId="77777777" w:rsidR="00E2099A" w:rsidRDefault="00E2099A">
            <w:pPr>
              <w:spacing w:before="100" w:after="100"/>
              <w:ind w:left="100" w:right="100"/>
            </w:pPr>
          </w:p>
        </w:tc>
      </w:tr>
    </w:tbl>
    <w:p w14:paraId="100AD823" w14:textId="77777777" w:rsidR="00E2099A" w:rsidRDefault="00F47372">
      <w:r>
        <w:rPr>
          <w:noProof/>
        </w:rPr>
        <w:pict w14:anchorId="536F13C3">
          <v:rect id="_x0000_i1026" alt="" style="width:468pt;height:.05pt;mso-width-percent:0;mso-height-percent:0;mso-width-percent:0;mso-height-percent:0" o:hralign="center" o:hrstd="t" o:hr="t"/>
        </w:pict>
      </w:r>
    </w:p>
    <w:p w14:paraId="0B1270CA" w14:textId="77777777" w:rsidR="00E2099A" w:rsidRDefault="00000000">
      <w:pPr>
        <w:pStyle w:val="FirstParagraph"/>
      </w:pPr>
      <w:bookmarkStart w:id="0" w:name="top_left"/>
      <w:bookmarkStart w:id="1" w:name="top_container"/>
      <w:r>
        <w:rPr>
          <w:noProof/>
        </w:rPr>
        <w:drawing>
          <wp:inline distT="0" distB="0" distL="0" distR="0" wp14:anchorId="67BA40FE" wp14:editId="6F5C4C81">
            <wp:extent cx="2121408" cy="2221992"/>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mages/map.jpg"/>
                    <pic:cNvPicPr>
                      <a:picLocks noChangeAspect="1" noChangeArrowheads="1"/>
                    </pic:cNvPicPr>
                  </pic:nvPicPr>
                  <pic:blipFill>
                    <a:blip r:embed="rId8"/>
                    <a:stretch>
                      <a:fillRect/>
                    </a:stretch>
                  </pic:blipFill>
                  <pic:spPr bwMode="auto">
                    <a:xfrm>
                      <a:off x="0" y="0"/>
                      <a:ext cx="2121408" cy="2221992"/>
                    </a:xfrm>
                    <a:prstGeom prst="rect">
                      <a:avLst/>
                    </a:prstGeom>
                    <a:noFill/>
                    <a:ln w="9525">
                      <a:noFill/>
                      <a:headEnd/>
                      <a:tailEnd/>
                    </a:ln>
                  </pic:spPr>
                </pic:pic>
              </a:graphicData>
            </a:graphic>
          </wp:inline>
        </w:drawing>
      </w:r>
      <w:bookmarkEnd w:id="0"/>
    </w:p>
    <w:p w14:paraId="5D7DA017" w14:textId="77777777" w:rsidR="00E2099A" w:rsidRDefault="00000000">
      <w:pPr>
        <w:pStyle w:val="BodyText"/>
      </w:pPr>
      <w:bookmarkStart w:id="2" w:name="top_right"/>
      <w:r>
        <w:t>The Metropolitan Council is the regional planning organization for the seven-county Twin Cities area. The Council operates the regional bus and rail system, collects and treats wastewater, coordinates regional water resources, plans and helps fund regional parks, and administers federal funds that provide housing opportunities for low- and moderate-income individuals and families. The 17-member Council board is appointed by and serves at the pleasure of the governor.</w:t>
      </w:r>
    </w:p>
    <w:p w14:paraId="377380BA" w14:textId="77777777" w:rsidR="00E2099A" w:rsidRDefault="00000000">
      <w:pPr>
        <w:pStyle w:val="BodyText"/>
      </w:pPr>
      <w:r>
        <w:t>On request, this publication will be made available in alternative formats to people with disabilities. Call Metropolitan Council information at 651-602-1140 or TTY 651-291-0904</w:t>
      </w:r>
    </w:p>
    <w:bookmarkEnd w:id="1"/>
    <w:bookmarkEnd w:id="2"/>
    <w:p w14:paraId="651E2866" w14:textId="77777777" w:rsidR="00E2099A" w:rsidRDefault="00F47372">
      <w:r>
        <w:rPr>
          <w:noProof/>
        </w:rPr>
        <w:pict w14:anchorId="42EFD0D9">
          <v:rect id="_x0000_i1025" alt="" style="width:468pt;height:.05pt;mso-width-percent:0;mso-height-percent:0;mso-width-percent:0;mso-height-percent:0" o:hralign="center" o:hrstd="t" o:hr="t"/>
        </w:pict>
      </w:r>
    </w:p>
    <w:p w14:paraId="5100C02C" w14:textId="77777777" w:rsidR="00E2099A" w:rsidRDefault="00000000">
      <w:pPr>
        <w:pStyle w:val="Heading2"/>
      </w:pPr>
      <w:bookmarkStart w:id="3" w:name="disclaimer"/>
      <w:bookmarkStart w:id="4" w:name="_Toc124529409"/>
      <w:r>
        <w:t>Disclaimer</w:t>
      </w:r>
      <w:bookmarkEnd w:id="4"/>
    </w:p>
    <w:p w14:paraId="24D94023" w14:textId="77777777" w:rsidR="00E2099A" w:rsidRDefault="00000000">
      <w:pPr>
        <w:pStyle w:val="FirstParagraph"/>
      </w:pPr>
      <w:r>
        <w:t>This report aims to evaluate the effectiveness of greenhouse gas (GHG) mitigation strategies at the city level. It is intended to provide information that can be used to support policy discussions and educational purposes. Please note that the report is for informational purposes only and does not constitute official recommendations or policy decisions.</w:t>
      </w:r>
    </w:p>
    <w:p w14:paraId="3D7E44A0" w14:textId="77777777" w:rsidR="00E2099A" w:rsidRDefault="00000000">
      <w:pPr>
        <w:pStyle w:val="Heading2"/>
      </w:pPr>
      <w:bookmarkStart w:id="5" w:name="executive-summary"/>
      <w:bookmarkStart w:id="6" w:name="_Toc124529410"/>
      <w:bookmarkEnd w:id="3"/>
      <w:r>
        <w:t>Executive Summary</w:t>
      </w:r>
      <w:bookmarkEnd w:id="6"/>
    </w:p>
    <w:p w14:paraId="301B73A9" w14:textId="77777777" w:rsidR="00E2099A" w:rsidRDefault="00000000">
      <w:pPr>
        <w:pStyle w:val="FirstParagraph"/>
      </w:pPr>
      <w:r>
        <w:t xml:space="preserve">The Research Unit of Community Development at the Metropolitan Council has prepared the following report, which presents a range of strategies that the City of Minneapolis could adopt to reduce </w:t>
      </w:r>
      <w:r>
        <w:lastRenderedPageBreak/>
        <w:t>greenhouse gas emissions relative to a “Business as Usual” scenario. These strategies are divided into three categories: stationary energy (building sector), transportation, and land use and forestry. It is worth noting that the greenhouse gas emissions estimates presented in this report may differ from those found in the Minneapolis Greenhouse Gas Inventory due to differences in methodology. The strategies included in this report were decided in a series of stakeholder meetings conducted in 2020.</w:t>
      </w:r>
    </w:p>
    <w:p w14:paraId="2830E374" w14:textId="77777777" w:rsidR="00E2099A" w:rsidRDefault="00000000">
      <w:pPr>
        <w:pStyle w:val="Heading1"/>
      </w:pPr>
      <w:bookmarkStart w:id="7" w:name="introduction"/>
      <w:bookmarkStart w:id="8" w:name="_Toc124529411"/>
      <w:bookmarkEnd w:id="5"/>
      <w:r>
        <w:t>1</w:t>
      </w:r>
      <w:r>
        <w:tab/>
        <w:t>Introduction</w:t>
      </w:r>
      <w:bookmarkEnd w:id="8"/>
    </w:p>
    <w:p w14:paraId="7692906F" w14:textId="77777777" w:rsidR="00E2099A" w:rsidRDefault="00000000">
      <w:pPr>
        <w:pStyle w:val="Heading2"/>
      </w:pPr>
      <w:bookmarkStart w:id="9" w:name="overview"/>
      <w:bookmarkStart w:id="10" w:name="_Toc124529412"/>
      <w:r>
        <w:t>1.1</w:t>
      </w:r>
      <w:r>
        <w:tab/>
        <w:t>Overview</w:t>
      </w:r>
      <w:bookmarkEnd w:id="10"/>
    </w:p>
    <w:p w14:paraId="6FBBF479" w14:textId="77777777" w:rsidR="00E2099A" w:rsidRDefault="00000000">
      <w:pPr>
        <w:pStyle w:val="FirstParagraph"/>
      </w:pPr>
      <w:r>
        <w:t>Cities throughout the Minnesota Metro Region are well aware of the pressing need to reduce greenhouse gas emissions and enhance the resilience of their communities in the face of climate change. In recognition of this urgency, many of these cities, including Minneapolis, have already begun implementing various strategies and initiatives to reduce their carbon footprint and increase their ability to withstand the impacts of a changing climate. These efforts range from adopting renewable energy sources and energy-efficient technologies to implementing transportation policies that encourage using electric or low-emissions vehicles to promote land use practices that support the retention and expansion of natural habitats. By taking action at the local level, local governments in the Twin Cities contribute to the global effort to mitigate the worst effects of climate change and build a more sustainable and equitable future.</w:t>
      </w:r>
    </w:p>
    <w:p w14:paraId="189EB36E" w14:textId="77777777" w:rsidR="00E2099A" w:rsidRDefault="00000000">
      <w:pPr>
        <w:pStyle w:val="BodyText"/>
      </w:pPr>
      <w:r>
        <w:t>This report aims to support the City of Minneapolis in considering potential strategies for reducing carbon emissions. The Metropolitan Council seeks to expand the information and technical assistance it provides to local governments to support regional and local climate change planning. The Council offers tools and guidance to help get cities on track to meet local, regional, and state goals.</w:t>
      </w:r>
    </w:p>
    <w:p w14:paraId="1B5644FA" w14:textId="77777777" w:rsidR="00E2099A" w:rsidRDefault="00000000">
      <w:pPr>
        <w:pStyle w:val="Heading2"/>
      </w:pPr>
      <w:bookmarkStart w:id="11" w:name="greenhouse-gas-emissions"/>
      <w:bookmarkStart w:id="12" w:name="_Toc124529413"/>
      <w:bookmarkEnd w:id="9"/>
      <w:r>
        <w:t>1.2</w:t>
      </w:r>
      <w:r>
        <w:tab/>
        <w:t>Greenhouse Gas Emissions</w:t>
      </w:r>
      <w:bookmarkEnd w:id="12"/>
    </w:p>
    <w:p w14:paraId="57A0DF45" w14:textId="77777777" w:rsidR="00E2099A" w:rsidRDefault="00000000">
      <w:pPr>
        <w:pStyle w:val="FirstParagraph"/>
      </w:pPr>
      <w:r>
        <w:t>Greenhouse gases (GHG) trap heat in the atmosphere and contribute to global warming. Carbon dioxide, methane, and nitrous oxide are the most common greenhouse gases. Human activities have been the primary driver of climate change by releasing greenhouse gases in large amounts. Combustion of fossil fuels (e.g., coal, oil, and natural gas) releases greenhouse gases, which trap heat in the atmosphere, causing temperatures to rise.</w:t>
      </w:r>
    </w:p>
    <w:p w14:paraId="51A23999" w14:textId="77777777" w:rsidR="00E2099A" w:rsidRDefault="00000000">
      <w:pPr>
        <w:pStyle w:val="BodyText"/>
      </w:pPr>
      <w:r>
        <w:t>The primary sources of emissions in cities come from building energy use (electricity and natural gas), transportation (gas and diesel), and waste (methane at landfills or combustion for energy generation). The transportation sector, which includes cars, trucks, ships, and airplanes, is the largest source of carbon dioxide emissions in the United States, followed by the electricity and heat production and industrial sectors. Other sources of greenhouse gas emissions in Minnesota include agriculture, waste, and industrial processes.</w:t>
      </w:r>
    </w:p>
    <w:p w14:paraId="57889320" w14:textId="77777777" w:rsidR="00E2099A" w:rsidRDefault="00000000">
      <w:pPr>
        <w:pStyle w:val="Heading2"/>
      </w:pPr>
      <w:bookmarkStart w:id="13" w:name="impact-of-climate-change-in-minnesota"/>
      <w:bookmarkStart w:id="14" w:name="_Toc124529414"/>
      <w:bookmarkEnd w:id="11"/>
      <w:r>
        <w:t>1.3</w:t>
      </w:r>
      <w:r>
        <w:tab/>
        <w:t>Impact of Climate Change in Minnesota</w:t>
      </w:r>
      <w:bookmarkEnd w:id="14"/>
    </w:p>
    <w:p w14:paraId="2D8105B9" w14:textId="77777777" w:rsidR="00E2099A" w:rsidRDefault="00000000">
      <w:pPr>
        <w:pStyle w:val="FirstParagraph"/>
      </w:pPr>
      <w:r>
        <w:t>The climate in Minnesota is changing, leading to more extreme rain events, heat waves, and drought. These changes will have significant impacts on transportation, waste water services, and water resources in the region.</w:t>
      </w:r>
    </w:p>
    <w:p w14:paraId="49C54E8B" w14:textId="77777777" w:rsidR="00E2099A" w:rsidRDefault="00000000">
      <w:pPr>
        <w:pStyle w:val="BodyText"/>
      </w:pPr>
      <w:r>
        <w:t>Extreme heat events will increase water demand, leading to higher energy use, treatment costs, and lower efficiency in water supply systems. More extreme rain events will lead to more erosion, rainwater runoff, and flooding, disrupting transportation operations and damaging sewer and storm-water systems. Drought will lead to lower groundwater levels, stressed water resources, and more algal blooms and fish kills. These impacts will disproportionately affect marginalized communities and require the region to adapt and become more resilient to these changes.</w:t>
      </w:r>
    </w:p>
    <w:p w14:paraId="3162F726" w14:textId="77777777" w:rsidR="00E2099A" w:rsidRDefault="00000000">
      <w:pPr>
        <w:pStyle w:val="Heading2"/>
      </w:pPr>
      <w:bookmarkStart w:id="15" w:name="scenario-planning"/>
      <w:bookmarkStart w:id="16" w:name="_Toc124529415"/>
      <w:bookmarkEnd w:id="13"/>
      <w:r>
        <w:t>1.4</w:t>
      </w:r>
      <w:r>
        <w:tab/>
        <w:t>Scenario Planning</w:t>
      </w:r>
      <w:bookmarkEnd w:id="16"/>
    </w:p>
    <w:p w14:paraId="3CB03FAD" w14:textId="77777777" w:rsidR="00E2099A" w:rsidRDefault="00000000">
      <w:pPr>
        <w:pStyle w:val="FirstParagraph"/>
      </w:pPr>
      <w:r>
        <w:t xml:space="preserve">The Metropolitan Council has developed a Greenhouse Gas Scenario Planning Tool to help metro cities determine pathways to achieving emissions reductions. The Tool builds upon the DECAL model </w:t>
      </w:r>
      <w:r>
        <w:lastRenderedPageBreak/>
        <w:t>created by the Sustainable Healthy Cities Network with the support and funding of the Metropolitan Council.</w:t>
      </w:r>
    </w:p>
    <w:p w14:paraId="5087A5A4" w14:textId="77777777" w:rsidR="00E2099A" w:rsidRDefault="00000000">
      <w:pPr>
        <w:pStyle w:val="BodyText"/>
      </w:pPr>
      <w:r>
        <w:t>Scenario planning is a method to make flexible long-term plans. It is a way of thinking about and preparing for the future by considering possible events and their potential impact on a city or region. Scenario planning involves creating multiple possible future scenarios and then considering how to respond to each one. This method allows organizations to be more flexible and adaptable in uncertainty and change.</w:t>
      </w:r>
    </w:p>
    <w:p w14:paraId="7EEA5D97" w14:textId="77777777" w:rsidR="00E2099A" w:rsidRDefault="00000000">
      <w:pPr>
        <w:pStyle w:val="BodyText"/>
      </w:pPr>
      <w:r>
        <w:t>The Greenhouse Gas Scenario Planning Tool looks at strategies across multiple sectors and calculates the emissions reductions that can result from successful implementation. These sectors include compact land use, mobility, buildings, waste, and green infrastructure.</w:t>
      </w:r>
    </w:p>
    <w:p w14:paraId="001561F8" w14:textId="77777777" w:rsidR="00E2099A" w:rsidRDefault="00000000">
      <w:pPr>
        <w:pStyle w:val="BodyText"/>
      </w:pPr>
      <w:r>
        <w:t>The Metropolitan Council will offer the scenario planning tool on an easy-to-use online platform. Cities can use this Tool to identify solutions tailored to their communities by testing different scenarios across strategies.</w:t>
      </w:r>
    </w:p>
    <w:p w14:paraId="4F5C212A" w14:textId="77777777" w:rsidR="00E2099A" w:rsidRDefault="00000000">
      <w:pPr>
        <w:pStyle w:val="BodyText"/>
      </w:pPr>
      <w:r>
        <w:t>The following report compiles the City of Minneapolis results based on the Greenhouse Gas Scenario Planning Tool created by the Metropolitan Council and adapted from the collaborative work between the Sustainable Healthy Cities Network and the Metropolitan Council.</w:t>
      </w:r>
    </w:p>
    <w:p w14:paraId="1C711956" w14:textId="77777777" w:rsidR="00E2099A" w:rsidRDefault="00000000">
      <w:pPr>
        <w:pStyle w:val="Heading2"/>
      </w:pPr>
      <w:bookmarkStart w:id="17" w:name="stakeholder-engagement"/>
      <w:bookmarkStart w:id="18" w:name="_Toc124529416"/>
      <w:bookmarkEnd w:id="15"/>
      <w:r>
        <w:t>1.5</w:t>
      </w:r>
      <w:r>
        <w:tab/>
        <w:t>Stakeholder Engagement</w:t>
      </w:r>
      <w:bookmarkEnd w:id="18"/>
    </w:p>
    <w:p w14:paraId="39E5A786" w14:textId="77777777" w:rsidR="00E2099A" w:rsidRDefault="00000000">
      <w:pPr>
        <w:pStyle w:val="FirstParagraph"/>
      </w:pPr>
      <w:r>
        <w:t>In April and May of 2022, the Metropolitan Council conducted a series of community stakeholder engagement sessions to gather input regarding crucial considerations in designing the Greenhouse Gas Scenario Planning Tool. The stakeholder meetings were organized by different interest groups, which included local governments and counties, non-profit think tanks, advocacy groups, private consulting firms, academia, and staff from different divisions at the Metropolitan Council.</w:t>
      </w:r>
    </w:p>
    <w:p w14:paraId="3A588AC2" w14:textId="77777777" w:rsidR="00E2099A" w:rsidRDefault="00000000">
      <w:pPr>
        <w:pStyle w:val="BodyText"/>
      </w:pPr>
      <w:r>
        <w:t>The stakeholders identified several priorities for developing the Greenhouse Gas Scenario Planning Tool, including (in ranking order) vehicle electrification, grid renewables, building retrofits, mixed-use development, and building codes.</w:t>
      </w:r>
    </w:p>
    <w:p w14:paraId="71D00E76" w14:textId="77777777" w:rsidR="00E2099A" w:rsidRDefault="00000000">
      <w:pPr>
        <w:pStyle w:val="Heading3"/>
      </w:pPr>
      <w:bookmarkStart w:id="19" w:name="vehicle-electrification"/>
      <w:bookmarkStart w:id="20" w:name="_Toc124529417"/>
      <w:r>
        <w:t>1.5.1</w:t>
      </w:r>
      <w:r>
        <w:tab/>
        <w:t>Vehicle Electrification</w:t>
      </w:r>
      <w:bookmarkEnd w:id="20"/>
    </w:p>
    <w:p w14:paraId="55C7CAD7" w14:textId="77777777" w:rsidR="00E2099A" w:rsidRDefault="00000000">
      <w:pPr>
        <w:pStyle w:val="FirstParagraph"/>
      </w:pPr>
      <w:r>
        <w:t>Vehicle electrification ranked first in a list of strategies stakeholders wanted to explore in the Greenhouse Gas Scenario Planning Tool because it has the potential to reduce greenhouse gas emissions and improve air quality in the transportation sector. During the stakeholder engagement, the community members emphasized the trend towards electrification of short trips in the vehicle industry and the need to factor in changes to the grid electricity mix as electric vehicle adoption increases. They also emphasized the importance of quickly adopting electric vehicles and reducing vehicle miles traveled (VMT) to achieve environmental justice and improve air quality. The stakeholders asked if it is possible to model the effects of EV adoption on localized pollution. Overall, the community members emphasized the potential benefits of vehicle electrification and the need to consider its impacts on the grid and local air quality.</w:t>
      </w:r>
    </w:p>
    <w:p w14:paraId="6CBD6B40" w14:textId="77777777" w:rsidR="00E2099A" w:rsidRDefault="00000000">
      <w:pPr>
        <w:pStyle w:val="Heading3"/>
      </w:pPr>
      <w:bookmarkStart w:id="21" w:name="grid-renewables"/>
      <w:bookmarkStart w:id="22" w:name="_Toc124529418"/>
      <w:bookmarkEnd w:id="19"/>
      <w:r>
        <w:t>1.5.2</w:t>
      </w:r>
      <w:r>
        <w:tab/>
        <w:t>Grid Renewables</w:t>
      </w:r>
      <w:bookmarkEnd w:id="22"/>
    </w:p>
    <w:p w14:paraId="39C86B97" w14:textId="77777777" w:rsidR="00E2099A" w:rsidRDefault="00000000">
      <w:pPr>
        <w:pStyle w:val="FirstParagraph"/>
      </w:pPr>
      <w:r>
        <w:t xml:space="preserve">“Grid renewables” refer to using renewable energy sources, such as solar or wind power, to generate electricity for the grid. During the stakeholder engagement sessions, community members highlighted the importance of modeling grid renewables because it is a significant emission lever, even though it is not within local government control and is often already modeled by utilities. Local governments can influence the grid mix by working together and speaking with a unified voice. They can also purchase </w:t>
      </w:r>
      <w:hyperlink r:id="rId9">
        <w:r>
          <w:rPr>
            <w:rStyle w:val="Hyperlink"/>
          </w:rPr>
          <w:t>Renewable Energy Certificates</w:t>
        </w:r>
      </w:hyperlink>
      <w:r>
        <w:footnoteReference w:id="1"/>
      </w:r>
      <w:r>
        <w:t xml:space="preserve"> (RECs) to obtain green power. The ownership of solar assets and the </w:t>
      </w:r>
      <w:r>
        <w:lastRenderedPageBreak/>
        <w:t>retirement of RECs can affect the benefits and amount of renewable energy added to the grid through community solar projects. Focusing on grid renewables and community solar can maximize equity benefits and is more important than improving access to rooftop solar.</w:t>
      </w:r>
    </w:p>
    <w:p w14:paraId="58D444B7" w14:textId="77777777" w:rsidR="00E2099A" w:rsidRDefault="00000000">
      <w:pPr>
        <w:pStyle w:val="Heading3"/>
      </w:pPr>
      <w:bookmarkStart w:id="23" w:name="building-retrofits"/>
      <w:bookmarkStart w:id="24" w:name="_Toc124529419"/>
      <w:bookmarkEnd w:id="21"/>
      <w:r>
        <w:t>1.5.3</w:t>
      </w:r>
      <w:r>
        <w:tab/>
        <w:t>Building Retrofits</w:t>
      </w:r>
      <w:bookmarkEnd w:id="24"/>
    </w:p>
    <w:p w14:paraId="625CF78C" w14:textId="77777777" w:rsidR="00E2099A" w:rsidRDefault="00000000">
      <w:pPr>
        <w:pStyle w:val="FirstParagraph"/>
      </w:pPr>
      <w:r>
        <w:t>During the stakeholder engagement, the community members commented that building retrofits are vital because they can increase energy efficiency, which could benefit low-income people the most. It is important to model more high-level, general strategies that will be relevant in the future rather than more specific, short-term strategies that may be affected by changing circumstances or policy priorities. Building retrofits have the potential for city and utility collaboration, as utilities often offer tools and programs to increase efficiency. The feasibility and cost of building electrification should be considered to ensure that it benefits the community beyond reducing emissions. It may also be beneficial to consider participation in the new “</w:t>
      </w:r>
      <w:r>
        <w:rPr>
          <w:i/>
          <w:iCs/>
        </w:rPr>
        <w:t>LEED for Communities</w:t>
      </w:r>
      <w:r>
        <w:t>” program. Commercial building energy benchmarking may be more effective than focusing on residential buildings.</w:t>
      </w:r>
    </w:p>
    <w:p w14:paraId="2391923F" w14:textId="77777777" w:rsidR="00E2099A" w:rsidRDefault="00000000">
      <w:pPr>
        <w:pStyle w:val="Heading3"/>
      </w:pPr>
      <w:bookmarkStart w:id="25" w:name="mixed-use-development"/>
      <w:bookmarkStart w:id="26" w:name="_Toc124529420"/>
      <w:bookmarkEnd w:id="23"/>
      <w:r>
        <w:t>1.5.4</w:t>
      </w:r>
      <w:r>
        <w:tab/>
        <w:t>Mixed-Use Development</w:t>
      </w:r>
      <w:bookmarkEnd w:id="26"/>
    </w:p>
    <w:p w14:paraId="22A4534E" w14:textId="77777777" w:rsidR="00E2099A" w:rsidRDefault="00000000">
      <w:pPr>
        <w:pStyle w:val="FirstParagraph"/>
      </w:pPr>
      <w:r>
        <w:t>Mixed-use development involves building buildings with multiple functions, such as housing, offices, and retail spaces, in a single location. Unlike many other strategies, such as increasing grid renewables or improving building codes, which may be outside local government control, the stakeholder mentioned that mixed-use development is within the control of local governments. Local governments have the authority to regulate land use and development in their jurisdictions, including the construction of mixed-use buildings.</w:t>
      </w:r>
    </w:p>
    <w:p w14:paraId="151C97B4" w14:textId="77777777" w:rsidR="00E2099A" w:rsidRDefault="00000000">
      <w:pPr>
        <w:pStyle w:val="Heading3"/>
      </w:pPr>
      <w:bookmarkStart w:id="27" w:name="building-codes"/>
      <w:bookmarkStart w:id="28" w:name="_Toc124529421"/>
      <w:bookmarkEnd w:id="25"/>
      <w:r>
        <w:t>1.5.5</w:t>
      </w:r>
      <w:r>
        <w:tab/>
        <w:t>Building Codes</w:t>
      </w:r>
      <w:bookmarkEnd w:id="28"/>
    </w:p>
    <w:p w14:paraId="04F488FF" w14:textId="77777777" w:rsidR="00E2099A" w:rsidRDefault="00000000">
      <w:pPr>
        <w:pStyle w:val="FirstParagraph"/>
      </w:pPr>
      <w:r>
        <w:t>Building codes refer to the regulations and standards governing building design and construction, including energy efficiency requirements. These priorities can help to create more sustainable and livable communities. The report discusses the impact of building standards such as LEED Gold for residential development.</w:t>
      </w:r>
    </w:p>
    <w:p w14:paraId="34383F62" w14:textId="77777777" w:rsidR="00E2099A" w:rsidRDefault="00000000">
      <w:pPr>
        <w:pStyle w:val="BodyText"/>
      </w:pPr>
      <w:r>
        <w:rPr>
          <w:noProof/>
        </w:rPr>
        <w:lastRenderedPageBreak/>
        <w:drawing>
          <wp:inline distT="0" distB="0" distL="0" distR="0" wp14:anchorId="7F9E631A" wp14:editId="7A4CEBA1">
            <wp:extent cx="6400800" cy="419139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images/3746.jpg"/>
                    <pic:cNvPicPr>
                      <a:picLocks noChangeAspect="1" noChangeArrowheads="1"/>
                    </pic:cNvPicPr>
                  </pic:nvPicPr>
                  <pic:blipFill>
                    <a:blip r:embed="rId10"/>
                    <a:stretch>
                      <a:fillRect/>
                    </a:stretch>
                  </pic:blipFill>
                  <pic:spPr bwMode="auto">
                    <a:xfrm>
                      <a:off x="0" y="0"/>
                      <a:ext cx="6400800" cy="4191393"/>
                    </a:xfrm>
                    <a:prstGeom prst="rect">
                      <a:avLst/>
                    </a:prstGeom>
                    <a:noFill/>
                    <a:ln w="9525">
                      <a:noFill/>
                      <a:headEnd/>
                      <a:tailEnd/>
                    </a:ln>
                  </pic:spPr>
                </pic:pic>
              </a:graphicData>
            </a:graphic>
          </wp:inline>
        </w:drawing>
      </w:r>
    </w:p>
    <w:p w14:paraId="6CE45489" w14:textId="77777777" w:rsidR="00E2099A" w:rsidRDefault="00000000">
      <w:pPr>
        <w:pStyle w:val="Heading1"/>
      </w:pPr>
      <w:bookmarkStart w:id="29" w:name="demographic-assumptions"/>
      <w:bookmarkStart w:id="30" w:name="_Toc124529422"/>
      <w:bookmarkEnd w:id="7"/>
      <w:bookmarkEnd w:id="17"/>
      <w:bookmarkEnd w:id="27"/>
      <w:r>
        <w:t>2</w:t>
      </w:r>
      <w:r>
        <w:tab/>
        <w:t>Demographic Assumptions</w:t>
      </w:r>
      <w:bookmarkEnd w:id="30"/>
    </w:p>
    <w:p w14:paraId="0E8C05FB" w14:textId="77777777" w:rsidR="00E2099A" w:rsidRDefault="00000000">
      <w:pPr>
        <w:pStyle w:val="FirstParagraph"/>
      </w:pPr>
      <w:r>
        <w:t>The Greenhouse Gas Scenario Planning Tool uses the best available demographic assumptions for cities in the Metropolitan Region to forecast emissions in 2040.</w:t>
      </w:r>
    </w:p>
    <w:p w14:paraId="2CCE2B8D" w14:textId="77777777" w:rsidR="00E2099A" w:rsidRDefault="00000000">
      <w:pPr>
        <w:pStyle w:val="BodyText"/>
      </w:pPr>
      <w:r>
        <w:t>Some common predictors of greenhouse gas emissions at the city scale include:</w:t>
      </w:r>
    </w:p>
    <w:p w14:paraId="7C6990FE" w14:textId="77777777" w:rsidR="00E2099A" w:rsidRDefault="00000000">
      <w:pPr>
        <w:numPr>
          <w:ilvl w:val="0"/>
          <w:numId w:val="6"/>
        </w:numPr>
      </w:pPr>
      <w:r>
        <w:rPr>
          <w:b/>
          <w:bCs/>
          <w:i/>
          <w:iCs/>
        </w:rPr>
        <w:t>Population Density</w:t>
      </w:r>
      <w:r>
        <w:t xml:space="preserve"> Minneapolis, the largest city in Minnesota, has a high population density. Higher density means more people live in a relatively small area compared to other regions’ cities. Higher population densities are often associated with increased energy consumption, as residents need to use energy for daily activities and power local businesses. However, higher population density can also lead to more efficient use of resources and infrastructure, which can ultimately reduce the environmental impact of development in an area.</w:t>
      </w:r>
    </w:p>
    <w:p w14:paraId="78EC5921" w14:textId="77777777" w:rsidR="00E2099A" w:rsidRDefault="00000000">
      <w:pPr>
        <w:numPr>
          <w:ilvl w:val="0"/>
          <w:numId w:val="6"/>
        </w:numPr>
      </w:pPr>
      <w:r>
        <w:rPr>
          <w:b/>
          <w:bCs/>
          <w:i/>
          <w:iCs/>
        </w:rPr>
        <w:t>Economic Activity</w:t>
      </w:r>
      <w:r>
        <w:t xml:space="preserve"> According to the </w:t>
      </w:r>
      <w:hyperlink r:id="rId11">
        <w:r>
          <w:rPr>
            <w:rStyle w:val="Hyperlink"/>
          </w:rPr>
          <w:t>Minnesota Department of Employment and Economic Development</w:t>
        </w:r>
      </w:hyperlink>
      <w:r>
        <w:t>, the Twin Cities region ranks 8th in the country in terms of Gross Domestic Product (GDP) following the Denver region. Cities with higher levels of economic activity, such as manufacturing or transportation, tend to consume more energy due to the increased energy demand of these activities.</w:t>
      </w:r>
    </w:p>
    <w:p w14:paraId="1E2446BE" w14:textId="77777777" w:rsidR="00E2099A" w:rsidRDefault="00000000">
      <w:pPr>
        <w:numPr>
          <w:ilvl w:val="0"/>
          <w:numId w:val="6"/>
        </w:numPr>
      </w:pPr>
      <w:r>
        <w:rPr>
          <w:b/>
          <w:bCs/>
          <w:i/>
          <w:iCs/>
        </w:rPr>
        <w:t>Urban Planning</w:t>
      </w:r>
      <w:r>
        <w:t xml:space="preserve"> The physical layout of a city can also affect energy consumption. For example, cities with more compact, walkable neighborhoods may have lower energy consumption due to the reduced need for transportation. The </w:t>
      </w:r>
      <w:hyperlink r:id="rId12">
        <w:r>
          <w:rPr>
            <w:rStyle w:val="Hyperlink"/>
          </w:rPr>
          <w:t>Minneapolis Transportation Action Plan</w:t>
        </w:r>
      </w:hyperlink>
      <w:r>
        <w:t xml:space="preserve"> was formally adopted by the Minneapolis City Council on December 2020. The plan discusses how in the past, streets have been designed primarily with car movement in mind, leading to wide roads and complex intersections that can be uncomfortable or difficult for pedestrians, bicyclists, and those with special mobility needs to navigate. The city has recognized these issues and has adopted policies such as the Climate Action Plan and the Complete Streets Policy to prioritize </w:t>
      </w:r>
      <w:r>
        <w:lastRenderedPageBreak/>
        <w:t>people over cars in street design and create more welcoming public spaces for all community members.</w:t>
      </w:r>
    </w:p>
    <w:p w14:paraId="70BAB552" w14:textId="77777777" w:rsidR="00E2099A" w:rsidRDefault="00000000">
      <w:pPr>
        <w:numPr>
          <w:ilvl w:val="0"/>
          <w:numId w:val="6"/>
        </w:numPr>
      </w:pPr>
      <w:r>
        <w:rPr>
          <w:b/>
          <w:bCs/>
          <w:i/>
          <w:iCs/>
        </w:rPr>
        <w:t>Extreme Climate</w:t>
      </w:r>
      <w:r>
        <w:t xml:space="preserve"> Minneapolis has a humid continental climate, which is characterized by hot summers and cold winters. The climate of a city can play a significant role in energy consumption. For example, more energy may be needed for heating in colder regions, while in hotter regions, more energy may be needed for air conditioning.</w:t>
      </w:r>
    </w:p>
    <w:p w14:paraId="45CB03E0" w14:textId="77777777" w:rsidR="00E2099A" w:rsidRDefault="00000000">
      <w:pPr>
        <w:numPr>
          <w:ilvl w:val="0"/>
          <w:numId w:val="6"/>
        </w:numPr>
      </w:pPr>
      <w:r>
        <w:rPr>
          <w:b/>
          <w:bCs/>
          <w:i/>
          <w:iCs/>
        </w:rPr>
        <w:t>Energy efficiency</w:t>
      </w:r>
      <w:r>
        <w:t xml:space="preserve"> Finally, a city’s energy consumption may be influenced by the efficiency of its energy use. For example, cities with more energy-efficient buildings and transportation systems may consume less energy overall. Since adopting the Climate Action Plan in 2013, Minneapolis has implemented several programs and policies to reduce energy use in buildings, including a commercial benchmarking ordinance, a green cost share program, and a clean energy partnership with its electric and natural gas utilities. The city has also established a green building program to encourage the construction of high-performing, energy-efficient buildings.</w:t>
      </w:r>
    </w:p>
    <w:p w14:paraId="1860703C" w14:textId="77777777" w:rsidR="00E2099A" w:rsidRDefault="00E2099A">
      <w:pPr>
        <w:pStyle w:val="FirstParagraph"/>
      </w:pPr>
    </w:p>
    <w:p w14:paraId="46BE68B1" w14:textId="77777777" w:rsidR="00E2099A" w:rsidRDefault="00000000">
      <w:pPr>
        <w:pStyle w:val="BodyText"/>
      </w:pPr>
      <w:r>
        <w:t xml:space="preserve">We obtained baseline 2018 values for population, households, and employment from the </w:t>
      </w:r>
      <w:hyperlink r:id="rId13">
        <w:r>
          <w:rPr>
            <w:rStyle w:val="Hyperlink"/>
          </w:rPr>
          <w:t>US Census and American Community Survey</w:t>
        </w:r>
      </w:hyperlink>
      <w:r>
        <w:t xml:space="preserve"> (ACS), a nationwide survey conducted by the United States Census Bureau to collect data on a variety of social, economic, and demographic characteristics of the American population. In cases when there are data gaps for city-level data, the Greenhouse Gas Scenario Planning Tool defaults to average county-level assumptions (</w:t>
      </w:r>
      <w:r>
        <w:rPr>
          <w:b/>
          <w:bCs/>
        </w:rPr>
        <w:t>Table 2.1</w:t>
      </w:r>
      <w:r>
        <w:t>).</w:t>
      </w:r>
    </w:p>
    <w:p w14:paraId="11C31F4D" w14:textId="77777777" w:rsidR="00E2099A" w:rsidRDefault="00000000">
      <w:pPr>
        <w:pStyle w:val="BodyText"/>
      </w:pPr>
      <w:r>
        <w:t xml:space="preserve">The Metropolitan Council, as part of its responsibilities, produces a forecast of population, households, and employment for all cities within its region using the REMI PI Model, a computer-based forecasting system that projects future trends based on economic, demographic, and social data. This forecast for year 2040 helps the Council plan for the future needs of the region, including infrastructure, housing, and other resources. The floor area assumptions are based on an extrapolation of recent historic trends in floor area growth using data from the </w:t>
      </w:r>
      <w:hyperlink r:id="rId14">
        <w:r>
          <w:rPr>
            <w:rStyle w:val="Hyperlink"/>
          </w:rPr>
          <w:t>County Assessor Parcel</w:t>
        </w:r>
      </w:hyperlink>
      <w:r>
        <w:t xml:space="preserve"> dataset and the Zillow </w:t>
      </w:r>
      <w:hyperlink r:id="rId15">
        <w:r>
          <w:rPr>
            <w:rStyle w:val="Hyperlink"/>
          </w:rPr>
          <w:t>ZTRAX</w:t>
        </w:r>
      </w:hyperlink>
      <w:r>
        <w:t xml:space="preserve"> dataset.</w:t>
      </w:r>
    </w:p>
    <w:p w14:paraId="05948E04" w14:textId="77777777" w:rsidR="00E2099A" w:rsidRDefault="00000000">
      <w:pPr>
        <w:pStyle w:val="BodyText"/>
      </w:pPr>
      <w:r>
        <w:rPr>
          <w:b/>
          <w:bCs/>
        </w:rPr>
        <w:t>Figure 2.1</w:t>
      </w:r>
      <w:r>
        <w:t xml:space="preserve"> shows the comparison of population and households for Minneapolis in 2018 with the 2040 forecast.</w:t>
      </w:r>
    </w:p>
    <w:p w14:paraId="2F18D60B" w14:textId="77777777" w:rsidR="00E2099A" w:rsidRDefault="00000000">
      <w:pPr>
        <w:pStyle w:val="TableCaption"/>
      </w:pPr>
      <w:bookmarkStart w:id="31" w:name="tab-demographic-assumptions"/>
      <w:r>
        <w:rPr>
          <w:b/>
          <w:bCs/>
        </w:rPr>
        <w:t xml:space="preserve">Table 2.1: </w:t>
      </w:r>
      <w:bookmarkEnd w:id="31"/>
      <w:r>
        <w:t>Demographics for Minneapolis</w:t>
      </w:r>
    </w:p>
    <w:tbl>
      <w:tblPr>
        <w:tblW w:w="0" w:type="pct"/>
        <w:jc w:val="center"/>
        <w:tblLook w:val="0420" w:firstRow="1" w:lastRow="0" w:firstColumn="0" w:lastColumn="0" w:noHBand="0" w:noVBand="1"/>
      </w:tblPr>
      <w:tblGrid>
        <w:gridCol w:w="4313"/>
        <w:gridCol w:w="1611"/>
        <w:gridCol w:w="1752"/>
        <w:gridCol w:w="1611"/>
      </w:tblGrid>
      <w:tr w:rsidR="00E2099A" w14:paraId="451BDF6F"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6D82C60" w14:textId="77777777" w:rsidR="00E2099A" w:rsidRDefault="00000000">
            <w:pPr>
              <w:spacing w:before="100" w:after="100"/>
              <w:ind w:left="100" w:right="100"/>
              <w:jc w:val="center"/>
            </w:pPr>
            <w:r>
              <w:rPr>
                <w:rFonts w:ascii="Helvetica" w:eastAsia="Helvetica" w:hAnsi="Helvetica" w:cs="Helvetica"/>
                <w:color w:val="000000"/>
                <w:sz w:val="18"/>
                <w:szCs w:val="18"/>
              </w:rPr>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0E2B4A8D" w14:textId="77777777" w:rsidR="00E2099A" w:rsidRDefault="00000000">
            <w:pPr>
              <w:spacing w:before="100" w:after="100"/>
              <w:ind w:left="100" w:right="100"/>
              <w:jc w:val="center"/>
            </w:pPr>
            <w:r>
              <w:rPr>
                <w:rFonts w:ascii="Helvetica" w:eastAsia="Helvetica" w:hAnsi="Helvetica" w:cs="Helvetica"/>
                <w:color w:val="000000"/>
                <w:sz w:val="18"/>
                <w:szCs w:val="18"/>
              </w:rPr>
              <w:t>Minneapolis 2018</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2DD7B760" w14:textId="77777777" w:rsidR="00E2099A" w:rsidRDefault="00000000">
            <w:pPr>
              <w:spacing w:before="100" w:after="100"/>
              <w:ind w:left="100" w:right="100"/>
              <w:jc w:val="center"/>
            </w:pPr>
            <w:r>
              <w:rPr>
                <w:rFonts w:ascii="Helvetica" w:eastAsia="Helvetica" w:hAnsi="Helvetica" w:cs="Helvetica"/>
                <w:color w:val="000000"/>
                <w:sz w:val="18"/>
                <w:szCs w:val="18"/>
              </w:rPr>
              <w:t>Hennepin Co. 2018</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7A2A189" w14:textId="77777777" w:rsidR="00E2099A" w:rsidRDefault="00000000">
            <w:pPr>
              <w:spacing w:before="100" w:after="100"/>
              <w:ind w:left="100" w:right="100"/>
              <w:jc w:val="center"/>
            </w:pPr>
            <w:r>
              <w:rPr>
                <w:rFonts w:ascii="Helvetica" w:eastAsia="Helvetica" w:hAnsi="Helvetica" w:cs="Helvetica"/>
                <w:color w:val="000000"/>
                <w:sz w:val="18"/>
                <w:szCs w:val="18"/>
              </w:rPr>
              <w:t>Minneapolis 2040</w:t>
            </w:r>
          </w:p>
        </w:tc>
      </w:tr>
      <w:tr w:rsidR="00E2099A" w14:paraId="56107B65" w14:textId="77777777">
        <w:trPr>
          <w:cantSplit/>
          <w:jc w:val="center"/>
        </w:trPr>
        <w:tc>
          <w:tcPr>
            <w:tcW w:w="0" w:type="auto"/>
            <w:shd w:val="clear" w:color="auto" w:fill="FFFFFF"/>
            <w:tcMar>
              <w:top w:w="0" w:type="dxa"/>
              <w:left w:w="0" w:type="dxa"/>
              <w:bottom w:w="0" w:type="dxa"/>
              <w:right w:w="0" w:type="dxa"/>
            </w:tcMar>
            <w:vAlign w:val="center"/>
          </w:tcPr>
          <w:p w14:paraId="595776EB" w14:textId="77777777" w:rsidR="00E2099A" w:rsidRDefault="00000000">
            <w:pPr>
              <w:spacing w:before="100" w:after="100"/>
              <w:ind w:left="100" w:right="100"/>
            </w:pPr>
            <w:r>
              <w:rPr>
                <w:rFonts w:ascii="Helvetica" w:eastAsia="Helvetica" w:hAnsi="Helvetica" w:cs="Helvetica"/>
                <w:color w:val="000000"/>
                <w:sz w:val="18"/>
                <w:szCs w:val="18"/>
              </w:rPr>
              <w:t>Households</w:t>
            </w:r>
          </w:p>
        </w:tc>
        <w:tc>
          <w:tcPr>
            <w:tcW w:w="0" w:type="auto"/>
            <w:shd w:val="clear" w:color="auto" w:fill="FFFFFF"/>
            <w:tcMar>
              <w:top w:w="0" w:type="dxa"/>
              <w:left w:w="0" w:type="dxa"/>
              <w:bottom w:w="0" w:type="dxa"/>
              <w:right w:w="0" w:type="dxa"/>
            </w:tcMar>
            <w:vAlign w:val="center"/>
          </w:tcPr>
          <w:p w14:paraId="0B7A0E29" w14:textId="77777777" w:rsidR="00E2099A" w:rsidRDefault="00000000">
            <w:pPr>
              <w:spacing w:before="100" w:after="100"/>
              <w:ind w:left="100" w:right="100"/>
            </w:pPr>
            <w:r>
              <w:rPr>
                <w:rFonts w:ascii="Helvetica" w:eastAsia="Helvetica" w:hAnsi="Helvetica" w:cs="Helvetica"/>
                <w:color w:val="000000"/>
                <w:sz w:val="18"/>
                <w:szCs w:val="18"/>
              </w:rPr>
              <w:t>182,719</w:t>
            </w:r>
          </w:p>
        </w:tc>
        <w:tc>
          <w:tcPr>
            <w:tcW w:w="0" w:type="auto"/>
            <w:shd w:val="clear" w:color="auto" w:fill="FFFFFF"/>
            <w:tcMar>
              <w:top w:w="0" w:type="dxa"/>
              <w:left w:w="0" w:type="dxa"/>
              <w:bottom w:w="0" w:type="dxa"/>
              <w:right w:w="0" w:type="dxa"/>
            </w:tcMar>
            <w:vAlign w:val="center"/>
          </w:tcPr>
          <w:p w14:paraId="647DE6E0" w14:textId="77777777" w:rsidR="00E2099A" w:rsidRDefault="00E2099A">
            <w:pPr>
              <w:spacing w:before="100" w:after="100"/>
              <w:ind w:left="100" w:right="100"/>
            </w:pPr>
          </w:p>
        </w:tc>
        <w:tc>
          <w:tcPr>
            <w:tcW w:w="0" w:type="auto"/>
            <w:shd w:val="clear" w:color="auto" w:fill="FFFFFF"/>
            <w:tcMar>
              <w:top w:w="0" w:type="dxa"/>
              <w:left w:w="0" w:type="dxa"/>
              <w:bottom w:w="0" w:type="dxa"/>
              <w:right w:w="0" w:type="dxa"/>
            </w:tcMar>
            <w:vAlign w:val="center"/>
          </w:tcPr>
          <w:p w14:paraId="4D0F111E" w14:textId="77777777" w:rsidR="00E2099A" w:rsidRDefault="00000000">
            <w:pPr>
              <w:spacing w:before="100" w:after="100"/>
              <w:ind w:left="100" w:right="100"/>
            </w:pPr>
            <w:r>
              <w:rPr>
                <w:rFonts w:ascii="Helvetica" w:eastAsia="Helvetica" w:hAnsi="Helvetica" w:cs="Helvetica"/>
                <w:color w:val="000000"/>
                <w:sz w:val="18"/>
                <w:szCs w:val="18"/>
              </w:rPr>
              <w:t>212,500</w:t>
            </w:r>
          </w:p>
        </w:tc>
      </w:tr>
      <w:tr w:rsidR="00E2099A" w14:paraId="09347FE4" w14:textId="77777777">
        <w:trPr>
          <w:cantSplit/>
          <w:jc w:val="center"/>
        </w:trPr>
        <w:tc>
          <w:tcPr>
            <w:tcW w:w="0" w:type="auto"/>
            <w:shd w:val="clear" w:color="auto" w:fill="FFFFFF"/>
            <w:tcMar>
              <w:top w:w="0" w:type="dxa"/>
              <w:left w:w="0" w:type="dxa"/>
              <w:bottom w:w="0" w:type="dxa"/>
              <w:right w:w="0" w:type="dxa"/>
            </w:tcMar>
            <w:vAlign w:val="center"/>
          </w:tcPr>
          <w:p w14:paraId="515AC72E" w14:textId="77777777" w:rsidR="00E2099A" w:rsidRDefault="00000000">
            <w:pPr>
              <w:spacing w:before="100" w:after="100"/>
              <w:ind w:left="100" w:right="100"/>
            </w:pPr>
            <w:r>
              <w:rPr>
                <w:rFonts w:ascii="Helvetica" w:eastAsia="Helvetica" w:hAnsi="Helvetica" w:cs="Helvetica"/>
                <w:color w:val="000000"/>
                <w:sz w:val="18"/>
                <w:szCs w:val="18"/>
              </w:rPr>
              <w:t>Population</w:t>
            </w:r>
          </w:p>
        </w:tc>
        <w:tc>
          <w:tcPr>
            <w:tcW w:w="0" w:type="auto"/>
            <w:shd w:val="clear" w:color="auto" w:fill="FFFFFF"/>
            <w:tcMar>
              <w:top w:w="0" w:type="dxa"/>
              <w:left w:w="0" w:type="dxa"/>
              <w:bottom w:w="0" w:type="dxa"/>
              <w:right w:w="0" w:type="dxa"/>
            </w:tcMar>
            <w:vAlign w:val="center"/>
          </w:tcPr>
          <w:p w14:paraId="2298025C" w14:textId="77777777" w:rsidR="00E2099A" w:rsidRDefault="00000000">
            <w:pPr>
              <w:spacing w:before="100" w:after="100"/>
              <w:ind w:left="100" w:right="100"/>
            </w:pPr>
            <w:r>
              <w:rPr>
                <w:rFonts w:ascii="Helvetica" w:eastAsia="Helvetica" w:hAnsi="Helvetica" w:cs="Helvetica"/>
                <w:color w:val="000000"/>
                <w:sz w:val="18"/>
                <w:szCs w:val="18"/>
              </w:rPr>
              <w:t>428,483</w:t>
            </w:r>
          </w:p>
        </w:tc>
        <w:tc>
          <w:tcPr>
            <w:tcW w:w="0" w:type="auto"/>
            <w:shd w:val="clear" w:color="auto" w:fill="FFFFFF"/>
            <w:tcMar>
              <w:top w:w="0" w:type="dxa"/>
              <w:left w:w="0" w:type="dxa"/>
              <w:bottom w:w="0" w:type="dxa"/>
              <w:right w:w="0" w:type="dxa"/>
            </w:tcMar>
            <w:vAlign w:val="center"/>
          </w:tcPr>
          <w:p w14:paraId="3C9F444F" w14:textId="77777777" w:rsidR="00E2099A" w:rsidRDefault="00E2099A">
            <w:pPr>
              <w:spacing w:before="100" w:after="100"/>
              <w:ind w:left="100" w:right="100"/>
            </w:pPr>
          </w:p>
        </w:tc>
        <w:tc>
          <w:tcPr>
            <w:tcW w:w="0" w:type="auto"/>
            <w:shd w:val="clear" w:color="auto" w:fill="FFFFFF"/>
            <w:tcMar>
              <w:top w:w="0" w:type="dxa"/>
              <w:left w:w="0" w:type="dxa"/>
              <w:bottom w:w="0" w:type="dxa"/>
              <w:right w:w="0" w:type="dxa"/>
            </w:tcMar>
            <w:vAlign w:val="center"/>
          </w:tcPr>
          <w:p w14:paraId="450C7014" w14:textId="77777777" w:rsidR="00E2099A" w:rsidRDefault="00000000">
            <w:pPr>
              <w:spacing w:before="100" w:after="100"/>
              <w:ind w:left="100" w:right="100"/>
            </w:pPr>
            <w:r>
              <w:rPr>
                <w:rFonts w:ascii="Helvetica" w:eastAsia="Helvetica" w:hAnsi="Helvetica" w:cs="Helvetica"/>
                <w:color w:val="000000"/>
                <w:sz w:val="18"/>
                <w:szCs w:val="18"/>
              </w:rPr>
              <w:t>485,000</w:t>
            </w:r>
          </w:p>
        </w:tc>
      </w:tr>
      <w:tr w:rsidR="00E2099A" w14:paraId="39E69182" w14:textId="77777777">
        <w:trPr>
          <w:cantSplit/>
          <w:jc w:val="center"/>
        </w:trPr>
        <w:tc>
          <w:tcPr>
            <w:tcW w:w="0" w:type="auto"/>
            <w:shd w:val="clear" w:color="auto" w:fill="FFFFFF"/>
            <w:tcMar>
              <w:top w:w="0" w:type="dxa"/>
              <w:left w:w="0" w:type="dxa"/>
              <w:bottom w:w="0" w:type="dxa"/>
              <w:right w:w="0" w:type="dxa"/>
            </w:tcMar>
            <w:vAlign w:val="center"/>
          </w:tcPr>
          <w:p w14:paraId="3E1B1263" w14:textId="77777777" w:rsidR="00E2099A" w:rsidRDefault="00000000">
            <w:pPr>
              <w:spacing w:before="100" w:after="100"/>
              <w:ind w:left="100" w:right="100"/>
            </w:pPr>
            <w:r>
              <w:rPr>
                <w:rFonts w:ascii="Helvetica" w:eastAsia="Helvetica" w:hAnsi="Helvetica" w:cs="Helvetica"/>
                <w:color w:val="000000"/>
                <w:sz w:val="18"/>
                <w:szCs w:val="18"/>
              </w:rPr>
              <w:t>Jobs</w:t>
            </w:r>
          </w:p>
        </w:tc>
        <w:tc>
          <w:tcPr>
            <w:tcW w:w="0" w:type="auto"/>
            <w:shd w:val="clear" w:color="auto" w:fill="FFFFFF"/>
            <w:tcMar>
              <w:top w:w="0" w:type="dxa"/>
              <w:left w:w="0" w:type="dxa"/>
              <w:bottom w:w="0" w:type="dxa"/>
              <w:right w:w="0" w:type="dxa"/>
            </w:tcMar>
            <w:vAlign w:val="center"/>
          </w:tcPr>
          <w:p w14:paraId="2F9D4186" w14:textId="77777777" w:rsidR="00E2099A" w:rsidRDefault="00000000">
            <w:pPr>
              <w:spacing w:before="100" w:after="100"/>
              <w:ind w:left="100" w:right="100"/>
            </w:pPr>
            <w:r>
              <w:rPr>
                <w:rFonts w:ascii="Helvetica" w:eastAsia="Helvetica" w:hAnsi="Helvetica" w:cs="Helvetica"/>
                <w:color w:val="000000"/>
                <w:sz w:val="18"/>
                <w:szCs w:val="18"/>
              </w:rPr>
              <w:t>333,471</w:t>
            </w:r>
          </w:p>
        </w:tc>
        <w:tc>
          <w:tcPr>
            <w:tcW w:w="0" w:type="auto"/>
            <w:shd w:val="clear" w:color="auto" w:fill="FFFFFF"/>
            <w:tcMar>
              <w:top w:w="0" w:type="dxa"/>
              <w:left w:w="0" w:type="dxa"/>
              <w:bottom w:w="0" w:type="dxa"/>
              <w:right w:w="0" w:type="dxa"/>
            </w:tcMar>
            <w:vAlign w:val="center"/>
          </w:tcPr>
          <w:p w14:paraId="3EE77830" w14:textId="77777777" w:rsidR="00E2099A" w:rsidRDefault="00E2099A">
            <w:pPr>
              <w:spacing w:before="100" w:after="100"/>
              <w:ind w:left="100" w:right="100"/>
            </w:pPr>
          </w:p>
        </w:tc>
        <w:tc>
          <w:tcPr>
            <w:tcW w:w="0" w:type="auto"/>
            <w:shd w:val="clear" w:color="auto" w:fill="FFFFFF"/>
            <w:tcMar>
              <w:top w:w="0" w:type="dxa"/>
              <w:left w:w="0" w:type="dxa"/>
              <w:bottom w:w="0" w:type="dxa"/>
              <w:right w:w="0" w:type="dxa"/>
            </w:tcMar>
            <w:vAlign w:val="center"/>
          </w:tcPr>
          <w:p w14:paraId="50FAA05B" w14:textId="77777777" w:rsidR="00E2099A" w:rsidRDefault="00000000">
            <w:pPr>
              <w:spacing w:before="100" w:after="100"/>
              <w:ind w:left="100" w:right="100"/>
            </w:pPr>
            <w:r>
              <w:rPr>
                <w:rFonts w:ascii="Helvetica" w:eastAsia="Helvetica" w:hAnsi="Helvetica" w:cs="Helvetica"/>
                <w:color w:val="000000"/>
                <w:sz w:val="18"/>
                <w:szCs w:val="18"/>
              </w:rPr>
              <w:t>360,000</w:t>
            </w:r>
          </w:p>
        </w:tc>
      </w:tr>
      <w:tr w:rsidR="00E2099A" w14:paraId="60B06427" w14:textId="77777777">
        <w:trPr>
          <w:cantSplit/>
          <w:jc w:val="center"/>
        </w:trPr>
        <w:tc>
          <w:tcPr>
            <w:tcW w:w="0" w:type="auto"/>
            <w:shd w:val="clear" w:color="auto" w:fill="FFFFFF"/>
            <w:tcMar>
              <w:top w:w="0" w:type="dxa"/>
              <w:left w:w="0" w:type="dxa"/>
              <w:bottom w:w="0" w:type="dxa"/>
              <w:right w:w="0" w:type="dxa"/>
            </w:tcMar>
            <w:vAlign w:val="center"/>
          </w:tcPr>
          <w:p w14:paraId="5D6908E2" w14:textId="77777777" w:rsidR="00E2099A" w:rsidRDefault="00000000">
            <w:pPr>
              <w:spacing w:before="100" w:after="100"/>
              <w:ind w:left="100" w:right="100"/>
            </w:pPr>
            <w:r>
              <w:rPr>
                <w:rFonts w:ascii="Helvetica" w:eastAsia="Helvetica" w:hAnsi="Helvetica" w:cs="Helvetica"/>
                <w:color w:val="000000"/>
                <w:sz w:val="18"/>
                <w:szCs w:val="18"/>
              </w:rPr>
              <w:t>Commercial Jobs</w:t>
            </w:r>
          </w:p>
        </w:tc>
        <w:tc>
          <w:tcPr>
            <w:tcW w:w="0" w:type="auto"/>
            <w:shd w:val="clear" w:color="auto" w:fill="FFFFFF"/>
            <w:tcMar>
              <w:top w:w="0" w:type="dxa"/>
              <w:left w:w="0" w:type="dxa"/>
              <w:bottom w:w="0" w:type="dxa"/>
              <w:right w:w="0" w:type="dxa"/>
            </w:tcMar>
            <w:vAlign w:val="center"/>
          </w:tcPr>
          <w:p w14:paraId="2186AC15" w14:textId="77777777" w:rsidR="00E2099A" w:rsidRDefault="00000000">
            <w:pPr>
              <w:spacing w:before="100" w:after="100"/>
              <w:ind w:left="100" w:right="100"/>
            </w:pPr>
            <w:r>
              <w:rPr>
                <w:rFonts w:ascii="Helvetica" w:eastAsia="Helvetica" w:hAnsi="Helvetica" w:cs="Helvetica"/>
                <w:color w:val="000000"/>
                <w:sz w:val="18"/>
                <w:szCs w:val="18"/>
              </w:rPr>
              <w:t>256,713</w:t>
            </w:r>
          </w:p>
        </w:tc>
        <w:tc>
          <w:tcPr>
            <w:tcW w:w="0" w:type="auto"/>
            <w:shd w:val="clear" w:color="auto" w:fill="FFFFFF"/>
            <w:tcMar>
              <w:top w:w="0" w:type="dxa"/>
              <w:left w:w="0" w:type="dxa"/>
              <w:bottom w:w="0" w:type="dxa"/>
              <w:right w:w="0" w:type="dxa"/>
            </w:tcMar>
            <w:vAlign w:val="center"/>
          </w:tcPr>
          <w:p w14:paraId="46845D46" w14:textId="77777777" w:rsidR="00E2099A" w:rsidRDefault="00000000">
            <w:pPr>
              <w:spacing w:before="100" w:after="100"/>
              <w:ind w:left="100" w:right="100"/>
            </w:pPr>
            <w:r>
              <w:rPr>
                <w:rFonts w:ascii="Helvetica" w:eastAsia="Helvetica" w:hAnsi="Helvetica" w:cs="Helvetica"/>
                <w:color w:val="000000"/>
                <w:sz w:val="18"/>
                <w:szCs w:val="18"/>
              </w:rPr>
              <w:t>511,466</w:t>
            </w:r>
          </w:p>
        </w:tc>
        <w:tc>
          <w:tcPr>
            <w:tcW w:w="0" w:type="auto"/>
            <w:shd w:val="clear" w:color="auto" w:fill="FFFFFF"/>
            <w:tcMar>
              <w:top w:w="0" w:type="dxa"/>
              <w:left w:w="0" w:type="dxa"/>
              <w:bottom w:w="0" w:type="dxa"/>
              <w:right w:w="0" w:type="dxa"/>
            </w:tcMar>
            <w:vAlign w:val="center"/>
          </w:tcPr>
          <w:p w14:paraId="5EFB1062" w14:textId="77777777" w:rsidR="00E2099A" w:rsidRDefault="00000000">
            <w:pPr>
              <w:spacing w:before="100" w:after="100"/>
              <w:ind w:left="100" w:right="100"/>
            </w:pPr>
            <w:r>
              <w:rPr>
                <w:rFonts w:ascii="Helvetica" w:eastAsia="Helvetica" w:hAnsi="Helvetica" w:cs="Helvetica"/>
                <w:color w:val="000000"/>
                <w:sz w:val="18"/>
                <w:szCs w:val="18"/>
              </w:rPr>
              <w:t>292,134</w:t>
            </w:r>
          </w:p>
        </w:tc>
      </w:tr>
      <w:tr w:rsidR="00E2099A" w14:paraId="4F3DFE1C" w14:textId="77777777">
        <w:trPr>
          <w:cantSplit/>
          <w:jc w:val="center"/>
        </w:trPr>
        <w:tc>
          <w:tcPr>
            <w:tcW w:w="0" w:type="auto"/>
            <w:shd w:val="clear" w:color="auto" w:fill="FFFFFF"/>
            <w:tcMar>
              <w:top w:w="0" w:type="dxa"/>
              <w:left w:w="0" w:type="dxa"/>
              <w:bottom w:w="0" w:type="dxa"/>
              <w:right w:w="0" w:type="dxa"/>
            </w:tcMar>
            <w:vAlign w:val="center"/>
          </w:tcPr>
          <w:p w14:paraId="69FF233A" w14:textId="77777777" w:rsidR="00E2099A" w:rsidRDefault="00000000">
            <w:pPr>
              <w:spacing w:before="100" w:after="100"/>
              <w:ind w:left="100" w:right="100"/>
            </w:pPr>
            <w:r>
              <w:rPr>
                <w:rFonts w:ascii="Helvetica" w:eastAsia="Helvetica" w:hAnsi="Helvetica" w:cs="Helvetica"/>
                <w:color w:val="000000"/>
                <w:sz w:val="18"/>
                <w:szCs w:val="18"/>
              </w:rPr>
              <w:t>Industrial Jobs</w:t>
            </w:r>
          </w:p>
        </w:tc>
        <w:tc>
          <w:tcPr>
            <w:tcW w:w="0" w:type="auto"/>
            <w:shd w:val="clear" w:color="auto" w:fill="FFFFFF"/>
            <w:tcMar>
              <w:top w:w="0" w:type="dxa"/>
              <w:left w:w="0" w:type="dxa"/>
              <w:bottom w:w="0" w:type="dxa"/>
              <w:right w:w="0" w:type="dxa"/>
            </w:tcMar>
            <w:vAlign w:val="center"/>
          </w:tcPr>
          <w:p w14:paraId="7BF759F5" w14:textId="77777777" w:rsidR="00E2099A" w:rsidRDefault="00000000">
            <w:pPr>
              <w:spacing w:before="100" w:after="100"/>
              <w:ind w:left="100" w:right="100"/>
            </w:pPr>
            <w:r>
              <w:rPr>
                <w:rFonts w:ascii="Helvetica" w:eastAsia="Helvetica" w:hAnsi="Helvetica" w:cs="Helvetica"/>
                <w:color w:val="000000"/>
                <w:sz w:val="18"/>
                <w:szCs w:val="18"/>
              </w:rPr>
              <w:t>42,266</w:t>
            </w:r>
          </w:p>
        </w:tc>
        <w:tc>
          <w:tcPr>
            <w:tcW w:w="0" w:type="auto"/>
            <w:shd w:val="clear" w:color="auto" w:fill="FFFFFF"/>
            <w:tcMar>
              <w:top w:w="0" w:type="dxa"/>
              <w:left w:w="0" w:type="dxa"/>
              <w:bottom w:w="0" w:type="dxa"/>
              <w:right w:w="0" w:type="dxa"/>
            </w:tcMar>
            <w:vAlign w:val="center"/>
          </w:tcPr>
          <w:p w14:paraId="5B430FCD" w14:textId="77777777" w:rsidR="00E2099A" w:rsidRDefault="00000000">
            <w:pPr>
              <w:spacing w:before="100" w:after="100"/>
              <w:ind w:left="100" w:right="100"/>
            </w:pPr>
            <w:r>
              <w:rPr>
                <w:rFonts w:ascii="Helvetica" w:eastAsia="Helvetica" w:hAnsi="Helvetica" w:cs="Helvetica"/>
                <w:color w:val="000000"/>
                <w:sz w:val="18"/>
                <w:szCs w:val="18"/>
              </w:rPr>
              <w:t>90,604</w:t>
            </w:r>
          </w:p>
        </w:tc>
        <w:tc>
          <w:tcPr>
            <w:tcW w:w="0" w:type="auto"/>
            <w:shd w:val="clear" w:color="auto" w:fill="FFFFFF"/>
            <w:tcMar>
              <w:top w:w="0" w:type="dxa"/>
              <w:left w:w="0" w:type="dxa"/>
              <w:bottom w:w="0" w:type="dxa"/>
              <w:right w:w="0" w:type="dxa"/>
            </w:tcMar>
            <w:vAlign w:val="center"/>
          </w:tcPr>
          <w:p w14:paraId="36C218CB" w14:textId="77777777" w:rsidR="00E2099A" w:rsidRDefault="00000000">
            <w:pPr>
              <w:spacing w:before="100" w:after="100"/>
              <w:ind w:left="100" w:right="100"/>
            </w:pPr>
            <w:r>
              <w:rPr>
                <w:rFonts w:ascii="Helvetica" w:eastAsia="Helvetica" w:hAnsi="Helvetica" w:cs="Helvetica"/>
                <w:color w:val="000000"/>
                <w:sz w:val="18"/>
                <w:szCs w:val="18"/>
              </w:rPr>
              <w:t>71,226</w:t>
            </w:r>
          </w:p>
        </w:tc>
      </w:tr>
      <w:tr w:rsidR="00E2099A" w14:paraId="2CBC952A" w14:textId="77777777">
        <w:trPr>
          <w:cantSplit/>
          <w:jc w:val="center"/>
        </w:trPr>
        <w:tc>
          <w:tcPr>
            <w:tcW w:w="0" w:type="auto"/>
            <w:shd w:val="clear" w:color="auto" w:fill="FFFFFF"/>
            <w:tcMar>
              <w:top w:w="0" w:type="dxa"/>
              <w:left w:w="0" w:type="dxa"/>
              <w:bottom w:w="0" w:type="dxa"/>
              <w:right w:w="0" w:type="dxa"/>
            </w:tcMar>
            <w:vAlign w:val="center"/>
          </w:tcPr>
          <w:p w14:paraId="184A5443" w14:textId="77777777" w:rsidR="00E2099A" w:rsidRDefault="00000000">
            <w:pPr>
              <w:spacing w:before="100" w:after="100"/>
              <w:ind w:left="100" w:right="100"/>
            </w:pPr>
            <w:r>
              <w:rPr>
                <w:rFonts w:ascii="Helvetica" w:eastAsia="Helvetica" w:hAnsi="Helvetica" w:cs="Helvetica"/>
                <w:color w:val="000000"/>
                <w:sz w:val="18"/>
                <w:szCs w:val="18"/>
              </w:rPr>
              <w:t>Number of Single Family Units</w:t>
            </w:r>
          </w:p>
        </w:tc>
        <w:tc>
          <w:tcPr>
            <w:tcW w:w="0" w:type="auto"/>
            <w:shd w:val="clear" w:color="auto" w:fill="FFFFFF"/>
            <w:tcMar>
              <w:top w:w="0" w:type="dxa"/>
              <w:left w:w="0" w:type="dxa"/>
              <w:bottom w:w="0" w:type="dxa"/>
              <w:right w:w="0" w:type="dxa"/>
            </w:tcMar>
            <w:vAlign w:val="center"/>
          </w:tcPr>
          <w:p w14:paraId="768F4AE1" w14:textId="77777777" w:rsidR="00E2099A" w:rsidRDefault="00000000">
            <w:pPr>
              <w:spacing w:before="100" w:after="100"/>
              <w:ind w:left="100" w:right="100"/>
            </w:pPr>
            <w:r>
              <w:rPr>
                <w:rFonts w:ascii="Helvetica" w:eastAsia="Helvetica" w:hAnsi="Helvetica" w:cs="Helvetica"/>
                <w:color w:val="000000"/>
                <w:sz w:val="18"/>
                <w:szCs w:val="18"/>
              </w:rPr>
              <w:t>76,935</w:t>
            </w:r>
          </w:p>
        </w:tc>
        <w:tc>
          <w:tcPr>
            <w:tcW w:w="0" w:type="auto"/>
            <w:shd w:val="clear" w:color="auto" w:fill="FFFFFF"/>
            <w:tcMar>
              <w:top w:w="0" w:type="dxa"/>
              <w:left w:w="0" w:type="dxa"/>
              <w:bottom w:w="0" w:type="dxa"/>
              <w:right w:w="0" w:type="dxa"/>
            </w:tcMar>
            <w:vAlign w:val="center"/>
          </w:tcPr>
          <w:p w14:paraId="723890F2" w14:textId="77777777" w:rsidR="00E2099A" w:rsidRDefault="00E2099A">
            <w:pPr>
              <w:spacing w:before="100" w:after="100"/>
              <w:ind w:left="100" w:right="100"/>
            </w:pPr>
          </w:p>
        </w:tc>
        <w:tc>
          <w:tcPr>
            <w:tcW w:w="0" w:type="auto"/>
            <w:shd w:val="clear" w:color="auto" w:fill="FFFFFF"/>
            <w:tcMar>
              <w:top w:w="0" w:type="dxa"/>
              <w:left w:w="0" w:type="dxa"/>
              <w:bottom w:w="0" w:type="dxa"/>
              <w:right w:w="0" w:type="dxa"/>
            </w:tcMar>
            <w:vAlign w:val="center"/>
          </w:tcPr>
          <w:p w14:paraId="7F1D93D0" w14:textId="77777777" w:rsidR="00E2099A" w:rsidRDefault="00000000">
            <w:pPr>
              <w:spacing w:before="100" w:after="100"/>
              <w:ind w:left="100" w:right="100"/>
            </w:pPr>
            <w:r>
              <w:rPr>
                <w:rFonts w:ascii="Helvetica" w:eastAsia="Helvetica" w:hAnsi="Helvetica" w:cs="Helvetica"/>
                <w:color w:val="000000"/>
                <w:sz w:val="18"/>
                <w:szCs w:val="18"/>
              </w:rPr>
              <w:t>76,494</w:t>
            </w:r>
          </w:p>
        </w:tc>
      </w:tr>
      <w:tr w:rsidR="00E2099A" w14:paraId="5C58F8D5" w14:textId="77777777">
        <w:trPr>
          <w:cantSplit/>
          <w:jc w:val="center"/>
        </w:trPr>
        <w:tc>
          <w:tcPr>
            <w:tcW w:w="0" w:type="auto"/>
            <w:shd w:val="clear" w:color="auto" w:fill="FFFFFF"/>
            <w:tcMar>
              <w:top w:w="0" w:type="dxa"/>
              <w:left w:w="0" w:type="dxa"/>
              <w:bottom w:w="0" w:type="dxa"/>
              <w:right w:w="0" w:type="dxa"/>
            </w:tcMar>
            <w:vAlign w:val="center"/>
          </w:tcPr>
          <w:p w14:paraId="59B336CF" w14:textId="77777777" w:rsidR="00E2099A" w:rsidRDefault="00000000">
            <w:pPr>
              <w:spacing w:before="100" w:after="100"/>
              <w:ind w:left="100" w:right="100"/>
            </w:pPr>
            <w:r>
              <w:rPr>
                <w:rFonts w:ascii="Helvetica" w:eastAsia="Helvetica" w:hAnsi="Helvetica" w:cs="Helvetica"/>
                <w:color w:val="000000"/>
                <w:sz w:val="18"/>
                <w:szCs w:val="18"/>
              </w:rPr>
              <w:t>Number of Multifamily Units</w:t>
            </w:r>
          </w:p>
        </w:tc>
        <w:tc>
          <w:tcPr>
            <w:tcW w:w="0" w:type="auto"/>
            <w:shd w:val="clear" w:color="auto" w:fill="FFFFFF"/>
            <w:tcMar>
              <w:top w:w="0" w:type="dxa"/>
              <w:left w:w="0" w:type="dxa"/>
              <w:bottom w:w="0" w:type="dxa"/>
              <w:right w:w="0" w:type="dxa"/>
            </w:tcMar>
            <w:vAlign w:val="center"/>
          </w:tcPr>
          <w:p w14:paraId="4B4A9923" w14:textId="77777777" w:rsidR="00E2099A" w:rsidRDefault="00000000">
            <w:pPr>
              <w:spacing w:before="100" w:after="100"/>
              <w:ind w:left="100" w:right="100"/>
            </w:pPr>
            <w:r>
              <w:rPr>
                <w:rFonts w:ascii="Helvetica" w:eastAsia="Helvetica" w:hAnsi="Helvetica" w:cs="Helvetica"/>
                <w:color w:val="000000"/>
                <w:sz w:val="18"/>
                <w:szCs w:val="18"/>
              </w:rPr>
              <w:t>123,504</w:t>
            </w:r>
          </w:p>
        </w:tc>
        <w:tc>
          <w:tcPr>
            <w:tcW w:w="0" w:type="auto"/>
            <w:shd w:val="clear" w:color="auto" w:fill="FFFFFF"/>
            <w:tcMar>
              <w:top w:w="0" w:type="dxa"/>
              <w:left w:w="0" w:type="dxa"/>
              <w:bottom w:w="0" w:type="dxa"/>
              <w:right w:w="0" w:type="dxa"/>
            </w:tcMar>
            <w:vAlign w:val="center"/>
          </w:tcPr>
          <w:p w14:paraId="07E1A9D0" w14:textId="77777777" w:rsidR="00E2099A" w:rsidRDefault="00E2099A">
            <w:pPr>
              <w:spacing w:before="100" w:after="100"/>
              <w:ind w:left="100" w:right="100"/>
            </w:pPr>
          </w:p>
        </w:tc>
        <w:tc>
          <w:tcPr>
            <w:tcW w:w="0" w:type="auto"/>
            <w:shd w:val="clear" w:color="auto" w:fill="FFFFFF"/>
            <w:tcMar>
              <w:top w:w="0" w:type="dxa"/>
              <w:left w:w="0" w:type="dxa"/>
              <w:bottom w:w="0" w:type="dxa"/>
              <w:right w:w="0" w:type="dxa"/>
            </w:tcMar>
            <w:vAlign w:val="center"/>
          </w:tcPr>
          <w:p w14:paraId="773C38B9" w14:textId="77777777" w:rsidR="00E2099A" w:rsidRDefault="00000000">
            <w:pPr>
              <w:spacing w:before="100" w:after="100"/>
              <w:ind w:left="100" w:right="100"/>
            </w:pPr>
            <w:r>
              <w:rPr>
                <w:rFonts w:ascii="Helvetica" w:eastAsia="Helvetica" w:hAnsi="Helvetica" w:cs="Helvetica"/>
                <w:color w:val="000000"/>
                <w:sz w:val="18"/>
                <w:szCs w:val="18"/>
              </w:rPr>
              <w:t>145,653</w:t>
            </w:r>
          </w:p>
        </w:tc>
      </w:tr>
      <w:tr w:rsidR="00E2099A" w14:paraId="06934D46" w14:textId="77777777">
        <w:trPr>
          <w:cantSplit/>
          <w:jc w:val="center"/>
        </w:trPr>
        <w:tc>
          <w:tcPr>
            <w:tcW w:w="0" w:type="auto"/>
            <w:shd w:val="clear" w:color="auto" w:fill="FFFFFF"/>
            <w:tcMar>
              <w:top w:w="0" w:type="dxa"/>
              <w:left w:w="0" w:type="dxa"/>
              <w:bottom w:w="0" w:type="dxa"/>
              <w:right w:w="0" w:type="dxa"/>
            </w:tcMar>
            <w:vAlign w:val="center"/>
          </w:tcPr>
          <w:p w14:paraId="5C4EE54F" w14:textId="77777777" w:rsidR="00E2099A" w:rsidRDefault="00000000">
            <w:pPr>
              <w:spacing w:before="100" w:after="100"/>
              <w:ind w:left="100" w:right="100"/>
            </w:pPr>
            <w:r>
              <w:rPr>
                <w:rFonts w:ascii="Helvetica" w:eastAsia="Helvetica" w:hAnsi="Helvetica" w:cs="Helvetica"/>
                <w:color w:val="000000"/>
                <w:sz w:val="18"/>
                <w:szCs w:val="18"/>
              </w:rPr>
              <w:t>Single Family Average Floor Area (ft&lt;sup&gt;2&lt;/sup&gt;)</w:t>
            </w:r>
          </w:p>
        </w:tc>
        <w:tc>
          <w:tcPr>
            <w:tcW w:w="0" w:type="auto"/>
            <w:shd w:val="clear" w:color="auto" w:fill="FFFFFF"/>
            <w:tcMar>
              <w:top w:w="0" w:type="dxa"/>
              <w:left w:w="0" w:type="dxa"/>
              <w:bottom w:w="0" w:type="dxa"/>
              <w:right w:w="0" w:type="dxa"/>
            </w:tcMar>
            <w:vAlign w:val="center"/>
          </w:tcPr>
          <w:p w14:paraId="59BFF10C" w14:textId="77777777" w:rsidR="00E2099A" w:rsidRDefault="00000000">
            <w:pPr>
              <w:spacing w:before="100" w:after="100"/>
              <w:ind w:left="100" w:right="100"/>
            </w:pPr>
            <w:r>
              <w:rPr>
                <w:rFonts w:ascii="Helvetica" w:eastAsia="Helvetica" w:hAnsi="Helvetica" w:cs="Helvetica"/>
                <w:color w:val="000000"/>
                <w:sz w:val="18"/>
                <w:szCs w:val="18"/>
              </w:rPr>
              <w:t>1,359.56</w:t>
            </w:r>
          </w:p>
        </w:tc>
        <w:tc>
          <w:tcPr>
            <w:tcW w:w="0" w:type="auto"/>
            <w:shd w:val="clear" w:color="auto" w:fill="FFFFFF"/>
            <w:tcMar>
              <w:top w:w="0" w:type="dxa"/>
              <w:left w:w="0" w:type="dxa"/>
              <w:bottom w:w="0" w:type="dxa"/>
              <w:right w:w="0" w:type="dxa"/>
            </w:tcMar>
            <w:vAlign w:val="center"/>
          </w:tcPr>
          <w:p w14:paraId="338F4209" w14:textId="77777777" w:rsidR="00E2099A" w:rsidRDefault="00000000">
            <w:pPr>
              <w:spacing w:before="100" w:after="100"/>
              <w:ind w:left="100" w:right="100"/>
            </w:pPr>
            <w:r>
              <w:rPr>
                <w:rFonts w:ascii="Helvetica" w:eastAsia="Helvetica" w:hAnsi="Helvetica" w:cs="Helvetica"/>
                <w:color w:val="000000"/>
                <w:sz w:val="18"/>
                <w:szCs w:val="18"/>
              </w:rPr>
              <w:t>1,542.44</w:t>
            </w:r>
          </w:p>
        </w:tc>
        <w:tc>
          <w:tcPr>
            <w:tcW w:w="0" w:type="auto"/>
            <w:shd w:val="clear" w:color="auto" w:fill="FFFFFF"/>
            <w:tcMar>
              <w:top w:w="0" w:type="dxa"/>
              <w:left w:w="0" w:type="dxa"/>
              <w:bottom w:w="0" w:type="dxa"/>
              <w:right w:w="0" w:type="dxa"/>
            </w:tcMar>
            <w:vAlign w:val="center"/>
          </w:tcPr>
          <w:p w14:paraId="19E52398" w14:textId="77777777" w:rsidR="00E2099A" w:rsidRDefault="00000000">
            <w:pPr>
              <w:spacing w:before="100" w:after="100"/>
              <w:ind w:left="100" w:right="100"/>
            </w:pPr>
            <w:r>
              <w:rPr>
                <w:rFonts w:ascii="Helvetica" w:eastAsia="Helvetica" w:hAnsi="Helvetica" w:cs="Helvetica"/>
                <w:color w:val="000000"/>
                <w:sz w:val="18"/>
                <w:szCs w:val="18"/>
              </w:rPr>
              <w:t>1,563.49</w:t>
            </w:r>
          </w:p>
        </w:tc>
      </w:tr>
      <w:tr w:rsidR="00E2099A" w14:paraId="181BDC5E"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5C081BBE" w14:textId="77777777" w:rsidR="00E2099A" w:rsidRDefault="00000000">
            <w:pPr>
              <w:spacing w:before="100" w:after="100"/>
              <w:ind w:left="100" w:right="100"/>
            </w:pPr>
            <w:r>
              <w:rPr>
                <w:rFonts w:ascii="Helvetica" w:eastAsia="Helvetica" w:hAnsi="Helvetica" w:cs="Helvetica"/>
                <w:color w:val="000000"/>
                <w:sz w:val="18"/>
                <w:szCs w:val="18"/>
              </w:rPr>
              <w:t>Multifamily Average Floor Area (ft&lt;sup&gt;2&lt;/sup&gt;)</w:t>
            </w:r>
          </w:p>
        </w:tc>
        <w:tc>
          <w:tcPr>
            <w:tcW w:w="0" w:type="auto"/>
            <w:tcBorders>
              <w:bottom w:val="single" w:sz="16" w:space="0" w:color="666666"/>
            </w:tcBorders>
            <w:shd w:val="clear" w:color="auto" w:fill="FFFFFF"/>
            <w:tcMar>
              <w:top w:w="0" w:type="dxa"/>
              <w:left w:w="0" w:type="dxa"/>
              <w:bottom w:w="0" w:type="dxa"/>
              <w:right w:w="0" w:type="dxa"/>
            </w:tcMar>
            <w:vAlign w:val="center"/>
          </w:tcPr>
          <w:p w14:paraId="3E1D3365" w14:textId="77777777" w:rsidR="00E2099A" w:rsidRDefault="00000000">
            <w:pPr>
              <w:spacing w:before="100" w:after="100"/>
              <w:ind w:left="100" w:right="100"/>
            </w:pPr>
            <w:r>
              <w:rPr>
                <w:rFonts w:ascii="Helvetica" w:eastAsia="Helvetica" w:hAnsi="Helvetica" w:cs="Helvetica"/>
                <w:color w:val="000000"/>
                <w:sz w:val="18"/>
                <w:szCs w:val="18"/>
              </w:rPr>
              <w:t>1,105.92</w:t>
            </w:r>
          </w:p>
        </w:tc>
        <w:tc>
          <w:tcPr>
            <w:tcW w:w="0" w:type="auto"/>
            <w:tcBorders>
              <w:bottom w:val="single" w:sz="16" w:space="0" w:color="666666"/>
            </w:tcBorders>
            <w:shd w:val="clear" w:color="auto" w:fill="FFFFFF"/>
            <w:tcMar>
              <w:top w:w="0" w:type="dxa"/>
              <w:left w:w="0" w:type="dxa"/>
              <w:bottom w:w="0" w:type="dxa"/>
              <w:right w:w="0" w:type="dxa"/>
            </w:tcMar>
            <w:vAlign w:val="center"/>
          </w:tcPr>
          <w:p w14:paraId="01498EB3" w14:textId="77777777" w:rsidR="00E2099A" w:rsidRDefault="00000000">
            <w:pPr>
              <w:spacing w:before="100" w:after="100"/>
              <w:ind w:left="100" w:right="100"/>
            </w:pPr>
            <w:r>
              <w:rPr>
                <w:rFonts w:ascii="Helvetica" w:eastAsia="Helvetica" w:hAnsi="Helvetica" w:cs="Helvetica"/>
                <w:color w:val="000000"/>
                <w:sz w:val="18"/>
                <w:szCs w:val="18"/>
              </w:rPr>
              <w:t>1,132.31</w:t>
            </w:r>
          </w:p>
        </w:tc>
        <w:tc>
          <w:tcPr>
            <w:tcW w:w="0" w:type="auto"/>
            <w:tcBorders>
              <w:bottom w:val="single" w:sz="16" w:space="0" w:color="666666"/>
            </w:tcBorders>
            <w:shd w:val="clear" w:color="auto" w:fill="FFFFFF"/>
            <w:tcMar>
              <w:top w:w="0" w:type="dxa"/>
              <w:left w:w="0" w:type="dxa"/>
              <w:bottom w:w="0" w:type="dxa"/>
              <w:right w:w="0" w:type="dxa"/>
            </w:tcMar>
            <w:vAlign w:val="center"/>
          </w:tcPr>
          <w:p w14:paraId="7DF416CE" w14:textId="77777777" w:rsidR="00E2099A" w:rsidRDefault="00000000">
            <w:pPr>
              <w:spacing w:before="100" w:after="100"/>
              <w:ind w:left="100" w:right="100"/>
            </w:pPr>
            <w:r>
              <w:rPr>
                <w:rFonts w:ascii="Helvetica" w:eastAsia="Helvetica" w:hAnsi="Helvetica" w:cs="Helvetica"/>
                <w:color w:val="000000"/>
                <w:sz w:val="18"/>
                <w:szCs w:val="18"/>
              </w:rPr>
              <w:t>1,099.4</w:t>
            </w:r>
          </w:p>
        </w:tc>
      </w:tr>
    </w:tbl>
    <w:p w14:paraId="7FE1C701" w14:textId="77777777" w:rsidR="00E2099A" w:rsidRDefault="00000000">
      <w:pPr>
        <w:pStyle w:val="CaptionedFigure"/>
      </w:pPr>
      <w:r>
        <w:rPr>
          <w:noProof/>
        </w:rPr>
        <w:lastRenderedPageBreak/>
        <w:drawing>
          <wp:inline distT="0" distB="0" distL="0" distR="0" wp14:anchorId="73F8842F" wp14:editId="1FF3F34A">
            <wp:extent cx="6400800" cy="4267200"/>
            <wp:effectExtent l="0" t="0" r="0" b="0"/>
            <wp:docPr id="54" name="Picture" descr="Figure 2.1: Baseline and forecaseted population and households."/>
            <wp:cNvGraphicFramePr/>
            <a:graphic xmlns:a="http://schemas.openxmlformats.org/drawingml/2006/main">
              <a:graphicData uri="http://schemas.openxmlformats.org/drawingml/2006/picture">
                <pic:pic xmlns:pic="http://schemas.openxmlformats.org/drawingml/2006/picture">
                  <pic:nvPicPr>
                    <pic:cNvPr id="55" name="Picture" descr="/private/var/folders/b6/n168s8b14psghnl3gh43fyj1ctm4s3/T/RtmpPRVKni/preview-1334129cce645.dir/report_files/figure-docx/figure-demographics-1.png"/>
                    <pic:cNvPicPr>
                      <a:picLocks noChangeAspect="1" noChangeArrowheads="1"/>
                    </pic:cNvPicPr>
                  </pic:nvPicPr>
                  <pic:blipFill>
                    <a:blip r:embed="rId16"/>
                    <a:stretch>
                      <a:fillRect/>
                    </a:stretch>
                  </pic:blipFill>
                  <pic:spPr bwMode="auto">
                    <a:xfrm>
                      <a:off x="0" y="0"/>
                      <a:ext cx="6400800" cy="4267200"/>
                    </a:xfrm>
                    <a:prstGeom prst="rect">
                      <a:avLst/>
                    </a:prstGeom>
                    <a:noFill/>
                    <a:ln w="9525">
                      <a:noFill/>
                      <a:headEnd/>
                      <a:tailEnd/>
                    </a:ln>
                  </pic:spPr>
                </pic:pic>
              </a:graphicData>
            </a:graphic>
          </wp:inline>
        </w:drawing>
      </w:r>
    </w:p>
    <w:p w14:paraId="139C6ECC" w14:textId="77777777" w:rsidR="00E2099A" w:rsidRDefault="00000000">
      <w:pPr>
        <w:pStyle w:val="ImageCaption"/>
      </w:pPr>
      <w:r>
        <w:t>Figure 2.1: Baseline and forecaseted population and households.</w:t>
      </w:r>
    </w:p>
    <w:p w14:paraId="73533E48" w14:textId="77777777" w:rsidR="00E2099A" w:rsidRDefault="00E2099A">
      <w:pPr>
        <w:pStyle w:val="BodyText"/>
      </w:pPr>
    </w:p>
    <w:p w14:paraId="5B893682" w14:textId="77777777" w:rsidR="00E2099A" w:rsidRDefault="00000000">
      <w:pPr>
        <w:pStyle w:val="BodyText"/>
      </w:pPr>
      <w:r>
        <w:rPr>
          <w:noProof/>
        </w:rPr>
        <w:lastRenderedPageBreak/>
        <w:drawing>
          <wp:inline distT="0" distB="0" distL="0" distR="0" wp14:anchorId="6CC92D3B" wp14:editId="7CD917FB">
            <wp:extent cx="6400800" cy="4365596"/>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mages//3090.jpg"/>
                    <pic:cNvPicPr>
                      <a:picLocks noChangeAspect="1" noChangeArrowheads="1"/>
                    </pic:cNvPicPr>
                  </pic:nvPicPr>
                  <pic:blipFill>
                    <a:blip r:embed="rId17"/>
                    <a:stretch>
                      <a:fillRect/>
                    </a:stretch>
                  </pic:blipFill>
                  <pic:spPr bwMode="auto">
                    <a:xfrm>
                      <a:off x="0" y="0"/>
                      <a:ext cx="6400800" cy="4365596"/>
                    </a:xfrm>
                    <a:prstGeom prst="rect">
                      <a:avLst/>
                    </a:prstGeom>
                    <a:noFill/>
                    <a:ln w="9525">
                      <a:noFill/>
                      <a:headEnd/>
                      <a:tailEnd/>
                    </a:ln>
                  </pic:spPr>
                </pic:pic>
              </a:graphicData>
            </a:graphic>
          </wp:inline>
        </w:drawing>
      </w:r>
    </w:p>
    <w:p w14:paraId="39FCF7DD" w14:textId="77777777" w:rsidR="00E2099A" w:rsidRDefault="00000000">
      <w:pPr>
        <w:pStyle w:val="Heading1"/>
      </w:pPr>
      <w:bookmarkStart w:id="32" w:name="X9d722f379f24cb7f965dc4b65b94cacec5c39f2"/>
      <w:bookmarkStart w:id="33" w:name="_Toc124529423"/>
      <w:bookmarkEnd w:id="29"/>
      <w:r>
        <w:t>3</w:t>
      </w:r>
      <w:r>
        <w:tab/>
        <w:t>Reducing Emissions in the Building Energy Sector</w:t>
      </w:r>
      <w:bookmarkEnd w:id="33"/>
    </w:p>
    <w:p w14:paraId="38BD9C92" w14:textId="77777777" w:rsidR="00E2099A" w:rsidRDefault="00000000">
      <w:pPr>
        <w:pStyle w:val="FirstParagraph"/>
      </w:pPr>
      <w:r>
        <w:t>There are several strategies that can be employed to reduce emissions in the building energy sector, including improving efficiency, transitioning to low-carbon electricity sources, electrifying heating systems, adopting sustainable construction practices, and changing behaviors to use energy more efficiently.</w:t>
      </w:r>
    </w:p>
    <w:p w14:paraId="5D2C6B39" w14:textId="77777777" w:rsidR="00E2099A" w:rsidRDefault="00000000">
      <w:pPr>
        <w:pStyle w:val="BodyText"/>
      </w:pPr>
      <w:r>
        <w:rPr>
          <w:b/>
          <w:bCs/>
        </w:rPr>
        <w:t>Status of the Electricity Grid</w:t>
      </w:r>
    </w:p>
    <w:p w14:paraId="0C1A4FEA" w14:textId="77777777" w:rsidR="00E2099A" w:rsidRDefault="00000000">
      <w:pPr>
        <w:pStyle w:val="BodyText"/>
      </w:pPr>
      <w:r>
        <w:t>When it comes to reducing emissions in the building sector, the electricity grid, and the percent that it is supplied by renewable sources plays a major role.</w:t>
      </w:r>
    </w:p>
    <w:p w14:paraId="68786E31" w14:textId="77777777" w:rsidR="00E2099A" w:rsidRDefault="00000000">
      <w:pPr>
        <w:pStyle w:val="BodyText"/>
      </w:pPr>
      <w:r>
        <w:t xml:space="preserve">Electricity in Minneapolis is served by Xcel Energy. In their report </w:t>
      </w:r>
      <w:r>
        <w:rPr>
          <w:i/>
          <w:iCs/>
        </w:rPr>
        <w:t>Building a Carbon Free Future</w:t>
      </w:r>
      <w:r>
        <w:t xml:space="preserve"> in 2019, the utility states their goal to provide carbon-free electricity to all of its customers by 2050. The company aims to reduce carbon emissions by 80% by 2030 as an interim goal.</w:t>
      </w:r>
    </w:p>
    <w:p w14:paraId="6F2831C1" w14:textId="77777777" w:rsidR="00E2099A" w:rsidRDefault="00000000">
      <w:pPr>
        <w:pStyle w:val="Heading2"/>
      </w:pPr>
      <w:bookmarkStart w:id="34" w:name="residential-energy-assumptions"/>
      <w:bookmarkStart w:id="35" w:name="_Toc124529424"/>
      <w:r>
        <w:t>3.1</w:t>
      </w:r>
      <w:r>
        <w:tab/>
        <w:t>Residential Energy Assumptions</w:t>
      </w:r>
      <w:bookmarkEnd w:id="35"/>
    </w:p>
    <w:p w14:paraId="74099ECA" w14:textId="77777777" w:rsidR="00E2099A" w:rsidRDefault="00000000">
      <w:pPr>
        <w:pStyle w:val="FirstParagraph"/>
      </w:pPr>
      <w:r>
        <w:t>The biggest share of residential electricity use is typically for heating and cooling. In the United States, heating and air conditioning account for about half of the average home’s energy use. Therefore, for the residential sector, electricity and natural gas used tend to be closely correlated with the square footage of a building.</w:t>
      </w:r>
    </w:p>
    <w:p w14:paraId="301D97F5" w14:textId="77777777" w:rsidR="00E2099A" w:rsidRDefault="00000000">
      <w:pPr>
        <w:pStyle w:val="BodyText"/>
      </w:pPr>
      <w:r>
        <w:rPr>
          <w:b/>
          <w:bCs/>
        </w:rPr>
        <w:t>Table 3.1</w:t>
      </w:r>
      <w:r>
        <w:t xml:space="preserve"> shows the basic assumptions about electricity and natural gas use for the baseline year of 2018 and forecast year of 2040.</w:t>
      </w:r>
    </w:p>
    <w:p w14:paraId="7A5B4D1E" w14:textId="77777777" w:rsidR="00E2099A" w:rsidRDefault="00000000">
      <w:pPr>
        <w:pStyle w:val="BodyText"/>
      </w:pPr>
      <w:r>
        <w:t xml:space="preserve">The residential energy forecast is a prediction of the energy consumption of the city in the year 2040. It is produced by taking the demographic forecast (discussed in section 2.2), which is a projection of the </w:t>
      </w:r>
      <w:r>
        <w:lastRenderedPageBreak/>
        <w:t>population size, and an extrapolating the historical floor area growth rate for the last ten years (based on 2018).</w:t>
      </w:r>
    </w:p>
    <w:p w14:paraId="1BAA842B" w14:textId="77777777" w:rsidR="00E2099A" w:rsidRDefault="00000000">
      <w:pPr>
        <w:pStyle w:val="BodyText"/>
      </w:pPr>
      <w:r>
        <w:t>The floor area growth rate is the rate at which the total floor area of buildings in a given area is increasing over time. It is calculated by dividing the change in floor area from one year to the next by the initial floor area. For example, if the floor area of a residential area increased by 10% from one year to the next, the floor area growth rate would be 10%.</w:t>
      </w:r>
    </w:p>
    <w:p w14:paraId="779D1A4B" w14:textId="77777777" w:rsidR="00E2099A" w:rsidRDefault="00000000">
      <w:pPr>
        <w:pStyle w:val="TableCaption"/>
      </w:pPr>
      <w:bookmarkStart w:id="36" w:name="tab-residential-energy"/>
      <w:r>
        <w:rPr>
          <w:b/>
          <w:bCs/>
        </w:rPr>
        <w:t xml:space="preserve">Table 3.1: </w:t>
      </w:r>
      <w:bookmarkEnd w:id="36"/>
      <w:r>
        <w:t>Residential Energy for Minneapolis</w:t>
      </w:r>
    </w:p>
    <w:tbl>
      <w:tblPr>
        <w:tblW w:w="0" w:type="pct"/>
        <w:jc w:val="center"/>
        <w:tblLook w:val="0420" w:firstRow="1" w:lastRow="0" w:firstColumn="0" w:lastColumn="0" w:noHBand="0" w:noVBand="1"/>
      </w:tblPr>
      <w:tblGrid>
        <w:gridCol w:w="5253"/>
        <w:gridCol w:w="1201"/>
        <w:gridCol w:w="1201"/>
      </w:tblGrid>
      <w:tr w:rsidR="00E2099A" w14:paraId="4AE924CB"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106A3AF" w14:textId="77777777" w:rsidR="00E2099A" w:rsidRDefault="00000000">
            <w:pPr>
              <w:spacing w:before="100" w:after="100"/>
              <w:ind w:left="100" w:right="100"/>
              <w:jc w:val="center"/>
            </w:pPr>
            <w:r>
              <w:rPr>
                <w:rFonts w:ascii="Helvetica" w:eastAsia="Helvetica" w:hAnsi="Helvetica" w:cs="Helvetica"/>
                <w:color w:val="000000"/>
                <w:sz w:val="18"/>
                <w:szCs w:val="18"/>
              </w:rPr>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56C254E7" w14:textId="77777777" w:rsidR="00E2099A" w:rsidRDefault="00000000">
            <w:pPr>
              <w:spacing w:before="100" w:after="100"/>
              <w:ind w:left="100" w:right="100"/>
              <w:jc w:val="center"/>
            </w:pPr>
            <w:r>
              <w:rPr>
                <w:rFonts w:ascii="Helvetica" w:eastAsia="Helvetica" w:hAnsi="Helvetica" w:cs="Helvetica"/>
                <w:color w:val="000000"/>
                <w:sz w:val="18"/>
                <w:szCs w:val="18"/>
              </w:rPr>
              <w:t>2018</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8400412" w14:textId="77777777" w:rsidR="00E2099A" w:rsidRDefault="00000000">
            <w:pPr>
              <w:spacing w:before="100" w:after="100"/>
              <w:ind w:left="100" w:right="100"/>
              <w:jc w:val="center"/>
            </w:pPr>
            <w:r>
              <w:rPr>
                <w:rFonts w:ascii="Helvetica" w:eastAsia="Helvetica" w:hAnsi="Helvetica" w:cs="Helvetica"/>
                <w:color w:val="000000"/>
                <w:sz w:val="18"/>
                <w:szCs w:val="18"/>
              </w:rPr>
              <w:t>2040</w:t>
            </w:r>
          </w:p>
        </w:tc>
      </w:tr>
      <w:tr w:rsidR="00E2099A" w14:paraId="74F9D26C" w14:textId="77777777">
        <w:trPr>
          <w:cantSplit/>
          <w:jc w:val="center"/>
        </w:trPr>
        <w:tc>
          <w:tcPr>
            <w:tcW w:w="0" w:type="auto"/>
            <w:shd w:val="clear" w:color="auto" w:fill="FFFFFF"/>
            <w:tcMar>
              <w:top w:w="0" w:type="dxa"/>
              <w:left w:w="0" w:type="dxa"/>
              <w:bottom w:w="0" w:type="dxa"/>
              <w:right w:w="0" w:type="dxa"/>
            </w:tcMar>
            <w:vAlign w:val="center"/>
          </w:tcPr>
          <w:p w14:paraId="6D355C21" w14:textId="77777777" w:rsidR="00E2099A" w:rsidRDefault="00000000">
            <w:pPr>
              <w:spacing w:before="100" w:after="100"/>
              <w:ind w:left="100" w:right="100"/>
            </w:pPr>
            <w:r>
              <w:rPr>
                <w:rFonts w:ascii="Helvetica" w:eastAsia="Helvetica" w:hAnsi="Helvetica" w:cs="Helvetica"/>
                <w:color w:val="000000"/>
                <w:sz w:val="18"/>
                <w:szCs w:val="18"/>
              </w:rPr>
              <w:t>Residential Electricity (MWh)</w:t>
            </w:r>
          </w:p>
        </w:tc>
        <w:tc>
          <w:tcPr>
            <w:tcW w:w="0" w:type="auto"/>
            <w:shd w:val="clear" w:color="auto" w:fill="FFFFFF"/>
            <w:tcMar>
              <w:top w:w="0" w:type="dxa"/>
              <w:left w:w="0" w:type="dxa"/>
              <w:bottom w:w="0" w:type="dxa"/>
              <w:right w:w="0" w:type="dxa"/>
            </w:tcMar>
            <w:vAlign w:val="center"/>
          </w:tcPr>
          <w:p w14:paraId="331C5CC5" w14:textId="77777777" w:rsidR="00E2099A" w:rsidRDefault="00000000">
            <w:pPr>
              <w:spacing w:before="100" w:after="100"/>
              <w:ind w:left="100" w:right="100"/>
            </w:pPr>
            <w:r>
              <w:rPr>
                <w:rFonts w:ascii="Helvetica" w:eastAsia="Helvetica" w:hAnsi="Helvetica" w:cs="Helvetica"/>
                <w:color w:val="000000"/>
                <w:sz w:val="18"/>
                <w:szCs w:val="18"/>
              </w:rPr>
              <w:t>1,029,006</w:t>
            </w:r>
          </w:p>
        </w:tc>
        <w:tc>
          <w:tcPr>
            <w:tcW w:w="0" w:type="auto"/>
            <w:shd w:val="clear" w:color="auto" w:fill="FFFFFF"/>
            <w:tcMar>
              <w:top w:w="0" w:type="dxa"/>
              <w:left w:w="0" w:type="dxa"/>
              <w:bottom w:w="0" w:type="dxa"/>
              <w:right w:w="0" w:type="dxa"/>
            </w:tcMar>
            <w:vAlign w:val="center"/>
          </w:tcPr>
          <w:p w14:paraId="621FB1EE" w14:textId="77777777" w:rsidR="00E2099A" w:rsidRDefault="00000000">
            <w:pPr>
              <w:spacing w:before="100" w:after="100"/>
              <w:ind w:left="100" w:right="100"/>
            </w:pPr>
            <w:r>
              <w:rPr>
                <w:rFonts w:ascii="Helvetica" w:eastAsia="Helvetica" w:hAnsi="Helvetica" w:cs="Helvetica"/>
                <w:color w:val="000000"/>
                <w:sz w:val="18"/>
                <w:szCs w:val="18"/>
              </w:rPr>
              <w:t>954,909</w:t>
            </w:r>
          </w:p>
        </w:tc>
      </w:tr>
      <w:tr w:rsidR="00E2099A" w14:paraId="7D5131FC" w14:textId="77777777">
        <w:trPr>
          <w:cantSplit/>
          <w:jc w:val="center"/>
        </w:trPr>
        <w:tc>
          <w:tcPr>
            <w:tcW w:w="0" w:type="auto"/>
            <w:shd w:val="clear" w:color="auto" w:fill="FFFFFF"/>
            <w:tcMar>
              <w:top w:w="0" w:type="dxa"/>
              <w:left w:w="0" w:type="dxa"/>
              <w:bottom w:w="0" w:type="dxa"/>
              <w:right w:w="0" w:type="dxa"/>
            </w:tcMar>
            <w:vAlign w:val="center"/>
          </w:tcPr>
          <w:p w14:paraId="2F0A66B5" w14:textId="77777777" w:rsidR="00E2099A" w:rsidRDefault="00000000">
            <w:pPr>
              <w:spacing w:before="100" w:after="100"/>
              <w:ind w:left="100" w:right="100"/>
            </w:pPr>
            <w:r>
              <w:rPr>
                <w:rFonts w:ascii="Helvetica" w:eastAsia="Helvetica" w:hAnsi="Helvetica" w:cs="Helvetica"/>
                <w:color w:val="000000"/>
                <w:sz w:val="18"/>
                <w:szCs w:val="18"/>
              </w:rPr>
              <w:t>Residential Electricity Emissions (tonnes CO&lt;sub&gt;2&lt;/sub&gt;e)</w:t>
            </w:r>
          </w:p>
        </w:tc>
        <w:tc>
          <w:tcPr>
            <w:tcW w:w="0" w:type="auto"/>
            <w:shd w:val="clear" w:color="auto" w:fill="FFFFFF"/>
            <w:tcMar>
              <w:top w:w="0" w:type="dxa"/>
              <w:left w:w="0" w:type="dxa"/>
              <w:bottom w:w="0" w:type="dxa"/>
              <w:right w:w="0" w:type="dxa"/>
            </w:tcMar>
            <w:vAlign w:val="center"/>
          </w:tcPr>
          <w:p w14:paraId="3D12EFC4" w14:textId="77777777" w:rsidR="00E2099A" w:rsidRDefault="00000000">
            <w:pPr>
              <w:spacing w:before="100" w:after="100"/>
              <w:ind w:left="100" w:right="100"/>
            </w:pPr>
            <w:r>
              <w:rPr>
                <w:rFonts w:ascii="Helvetica" w:eastAsia="Helvetica" w:hAnsi="Helvetica" w:cs="Helvetica"/>
                <w:color w:val="000000"/>
                <w:sz w:val="18"/>
                <w:szCs w:val="18"/>
              </w:rPr>
              <w:t>378,435</w:t>
            </w:r>
          </w:p>
        </w:tc>
        <w:tc>
          <w:tcPr>
            <w:tcW w:w="0" w:type="auto"/>
            <w:shd w:val="clear" w:color="auto" w:fill="FFFFFF"/>
            <w:tcMar>
              <w:top w:w="0" w:type="dxa"/>
              <w:left w:w="0" w:type="dxa"/>
              <w:bottom w:w="0" w:type="dxa"/>
              <w:right w:w="0" w:type="dxa"/>
            </w:tcMar>
            <w:vAlign w:val="center"/>
          </w:tcPr>
          <w:p w14:paraId="1A850D05" w14:textId="77777777" w:rsidR="00E2099A" w:rsidRDefault="00E2099A">
            <w:pPr>
              <w:spacing w:before="100" w:after="100"/>
              <w:ind w:left="100" w:right="100"/>
            </w:pPr>
          </w:p>
        </w:tc>
      </w:tr>
      <w:tr w:rsidR="00E2099A" w14:paraId="239868C1" w14:textId="77777777">
        <w:trPr>
          <w:cantSplit/>
          <w:jc w:val="center"/>
        </w:trPr>
        <w:tc>
          <w:tcPr>
            <w:tcW w:w="0" w:type="auto"/>
            <w:shd w:val="clear" w:color="auto" w:fill="FFFFFF"/>
            <w:tcMar>
              <w:top w:w="0" w:type="dxa"/>
              <w:left w:w="0" w:type="dxa"/>
              <w:bottom w:w="0" w:type="dxa"/>
              <w:right w:w="0" w:type="dxa"/>
            </w:tcMar>
            <w:vAlign w:val="center"/>
          </w:tcPr>
          <w:p w14:paraId="2EF78117" w14:textId="77777777" w:rsidR="00E2099A" w:rsidRDefault="00000000">
            <w:pPr>
              <w:spacing w:before="100" w:after="100"/>
              <w:ind w:left="100" w:right="100"/>
            </w:pPr>
            <w:r>
              <w:rPr>
                <w:rFonts w:ascii="Helvetica" w:eastAsia="Helvetica" w:hAnsi="Helvetica" w:cs="Helvetica"/>
                <w:color w:val="000000"/>
                <w:sz w:val="18"/>
                <w:szCs w:val="18"/>
              </w:rPr>
              <w:t>Residential Natural Gas (Therms)</w:t>
            </w:r>
          </w:p>
        </w:tc>
        <w:tc>
          <w:tcPr>
            <w:tcW w:w="0" w:type="auto"/>
            <w:shd w:val="clear" w:color="auto" w:fill="FFFFFF"/>
            <w:tcMar>
              <w:top w:w="0" w:type="dxa"/>
              <w:left w:w="0" w:type="dxa"/>
              <w:bottom w:w="0" w:type="dxa"/>
              <w:right w:w="0" w:type="dxa"/>
            </w:tcMar>
            <w:vAlign w:val="center"/>
          </w:tcPr>
          <w:p w14:paraId="68202299" w14:textId="77777777" w:rsidR="00E2099A" w:rsidRDefault="00000000">
            <w:pPr>
              <w:spacing w:before="100" w:after="100"/>
              <w:ind w:left="100" w:right="100"/>
            </w:pPr>
            <w:r>
              <w:rPr>
                <w:rFonts w:ascii="Helvetica" w:eastAsia="Helvetica" w:hAnsi="Helvetica" w:cs="Helvetica"/>
                <w:color w:val="000000"/>
                <w:sz w:val="18"/>
                <w:szCs w:val="18"/>
              </w:rPr>
              <w:t>120,984,119</w:t>
            </w:r>
          </w:p>
        </w:tc>
        <w:tc>
          <w:tcPr>
            <w:tcW w:w="0" w:type="auto"/>
            <w:shd w:val="clear" w:color="auto" w:fill="FFFFFF"/>
            <w:tcMar>
              <w:top w:w="0" w:type="dxa"/>
              <w:left w:w="0" w:type="dxa"/>
              <w:bottom w:w="0" w:type="dxa"/>
              <w:right w:w="0" w:type="dxa"/>
            </w:tcMar>
            <w:vAlign w:val="center"/>
          </w:tcPr>
          <w:p w14:paraId="33DC4038" w14:textId="77777777" w:rsidR="00E2099A" w:rsidRDefault="00000000">
            <w:pPr>
              <w:spacing w:before="100" w:after="100"/>
              <w:ind w:left="100" w:right="100"/>
            </w:pPr>
            <w:r>
              <w:rPr>
                <w:rFonts w:ascii="Helvetica" w:eastAsia="Helvetica" w:hAnsi="Helvetica" w:cs="Helvetica"/>
                <w:color w:val="000000"/>
                <w:sz w:val="18"/>
                <w:szCs w:val="18"/>
              </w:rPr>
              <w:t>140,340,271</w:t>
            </w:r>
          </w:p>
        </w:tc>
      </w:tr>
      <w:tr w:rsidR="00E2099A" w14:paraId="6847A089" w14:textId="77777777">
        <w:trPr>
          <w:cantSplit/>
          <w:jc w:val="center"/>
        </w:trPr>
        <w:tc>
          <w:tcPr>
            <w:tcW w:w="0" w:type="auto"/>
            <w:shd w:val="clear" w:color="auto" w:fill="FFFFFF"/>
            <w:tcMar>
              <w:top w:w="0" w:type="dxa"/>
              <w:left w:w="0" w:type="dxa"/>
              <w:bottom w:w="0" w:type="dxa"/>
              <w:right w:w="0" w:type="dxa"/>
            </w:tcMar>
            <w:vAlign w:val="center"/>
          </w:tcPr>
          <w:p w14:paraId="28F787BC" w14:textId="77777777" w:rsidR="00E2099A" w:rsidRDefault="00000000">
            <w:pPr>
              <w:spacing w:before="100" w:after="100"/>
              <w:ind w:left="100" w:right="100"/>
            </w:pPr>
            <w:r>
              <w:rPr>
                <w:rFonts w:ascii="Helvetica" w:eastAsia="Helvetica" w:hAnsi="Helvetica" w:cs="Helvetica"/>
                <w:color w:val="000000"/>
                <w:sz w:val="18"/>
                <w:szCs w:val="18"/>
              </w:rPr>
              <w:t>Residential Natural Gas Emissions (tonnes CO&lt;sub&gt;2&lt;/sub&gt;e)</w:t>
            </w:r>
          </w:p>
        </w:tc>
        <w:tc>
          <w:tcPr>
            <w:tcW w:w="0" w:type="auto"/>
            <w:shd w:val="clear" w:color="auto" w:fill="FFFFFF"/>
            <w:tcMar>
              <w:top w:w="0" w:type="dxa"/>
              <w:left w:w="0" w:type="dxa"/>
              <w:bottom w:w="0" w:type="dxa"/>
              <w:right w:w="0" w:type="dxa"/>
            </w:tcMar>
            <w:vAlign w:val="center"/>
          </w:tcPr>
          <w:p w14:paraId="3B1F060C" w14:textId="77777777" w:rsidR="00E2099A" w:rsidRDefault="00000000">
            <w:pPr>
              <w:spacing w:before="100" w:after="100"/>
              <w:ind w:left="100" w:right="100"/>
            </w:pPr>
            <w:r>
              <w:rPr>
                <w:rFonts w:ascii="Helvetica" w:eastAsia="Helvetica" w:hAnsi="Helvetica" w:cs="Helvetica"/>
                <w:color w:val="000000"/>
                <w:sz w:val="18"/>
                <w:szCs w:val="18"/>
              </w:rPr>
              <w:t>643,172</w:t>
            </w:r>
          </w:p>
        </w:tc>
        <w:tc>
          <w:tcPr>
            <w:tcW w:w="0" w:type="auto"/>
            <w:shd w:val="clear" w:color="auto" w:fill="FFFFFF"/>
            <w:tcMar>
              <w:top w:w="0" w:type="dxa"/>
              <w:left w:w="0" w:type="dxa"/>
              <w:bottom w:w="0" w:type="dxa"/>
              <w:right w:w="0" w:type="dxa"/>
            </w:tcMar>
            <w:vAlign w:val="center"/>
          </w:tcPr>
          <w:p w14:paraId="3037D087" w14:textId="77777777" w:rsidR="00E2099A" w:rsidRDefault="00E2099A">
            <w:pPr>
              <w:spacing w:before="100" w:after="100"/>
              <w:ind w:left="100" w:right="100"/>
            </w:pPr>
          </w:p>
        </w:tc>
      </w:tr>
      <w:tr w:rsidR="00E2099A" w14:paraId="52F80DCE" w14:textId="77777777">
        <w:trPr>
          <w:cantSplit/>
          <w:jc w:val="center"/>
        </w:trPr>
        <w:tc>
          <w:tcPr>
            <w:tcW w:w="0" w:type="auto"/>
            <w:shd w:val="clear" w:color="auto" w:fill="FFFFFF"/>
            <w:tcMar>
              <w:top w:w="0" w:type="dxa"/>
              <w:left w:w="0" w:type="dxa"/>
              <w:bottom w:w="0" w:type="dxa"/>
              <w:right w:w="0" w:type="dxa"/>
            </w:tcMar>
            <w:vAlign w:val="center"/>
          </w:tcPr>
          <w:p w14:paraId="1EE68B47" w14:textId="77777777" w:rsidR="00E2099A" w:rsidRDefault="00000000">
            <w:pPr>
              <w:spacing w:before="100" w:after="100"/>
              <w:ind w:left="100" w:right="100"/>
            </w:pPr>
            <w:r>
              <w:rPr>
                <w:rFonts w:ascii="Helvetica" w:eastAsia="Helvetica" w:hAnsi="Helvetica" w:cs="Helvetica"/>
                <w:color w:val="000000"/>
                <w:sz w:val="18"/>
                <w:szCs w:val="18"/>
              </w:rPr>
              <w:t>Residential Electricity per Floor Area (KWh/ft&lt;sup&gt;2&lt;/sup&gt;)</w:t>
            </w:r>
          </w:p>
        </w:tc>
        <w:tc>
          <w:tcPr>
            <w:tcW w:w="0" w:type="auto"/>
            <w:shd w:val="clear" w:color="auto" w:fill="FFFFFF"/>
            <w:tcMar>
              <w:top w:w="0" w:type="dxa"/>
              <w:left w:w="0" w:type="dxa"/>
              <w:bottom w:w="0" w:type="dxa"/>
              <w:right w:w="0" w:type="dxa"/>
            </w:tcMar>
            <w:vAlign w:val="center"/>
          </w:tcPr>
          <w:p w14:paraId="0D79DEAA" w14:textId="77777777" w:rsidR="00E2099A" w:rsidRDefault="00000000">
            <w:pPr>
              <w:spacing w:before="100" w:after="100"/>
              <w:ind w:left="100" w:right="100"/>
            </w:pPr>
            <w:r>
              <w:rPr>
                <w:rFonts w:ascii="Helvetica" w:eastAsia="Helvetica" w:hAnsi="Helvetica" w:cs="Helvetica"/>
                <w:color w:val="000000"/>
                <w:sz w:val="18"/>
                <w:szCs w:val="18"/>
              </w:rPr>
              <w:t>4.20961</w:t>
            </w:r>
          </w:p>
        </w:tc>
        <w:tc>
          <w:tcPr>
            <w:tcW w:w="0" w:type="auto"/>
            <w:shd w:val="clear" w:color="auto" w:fill="FFFFFF"/>
            <w:tcMar>
              <w:top w:w="0" w:type="dxa"/>
              <w:left w:w="0" w:type="dxa"/>
              <w:bottom w:w="0" w:type="dxa"/>
              <w:right w:w="0" w:type="dxa"/>
            </w:tcMar>
            <w:vAlign w:val="center"/>
          </w:tcPr>
          <w:p w14:paraId="175FD842" w14:textId="77777777" w:rsidR="00E2099A" w:rsidRDefault="00000000">
            <w:pPr>
              <w:spacing w:before="100" w:after="100"/>
              <w:ind w:left="100" w:right="100"/>
            </w:pPr>
            <w:r>
              <w:rPr>
                <w:rFonts w:ascii="Helvetica" w:eastAsia="Helvetica" w:hAnsi="Helvetica" w:cs="Helvetica"/>
                <w:color w:val="000000"/>
                <w:sz w:val="18"/>
                <w:szCs w:val="18"/>
              </w:rPr>
              <w:t>3.36769</w:t>
            </w:r>
          </w:p>
        </w:tc>
      </w:tr>
      <w:tr w:rsidR="00E2099A" w14:paraId="21BE166F" w14:textId="77777777">
        <w:trPr>
          <w:cantSplit/>
          <w:jc w:val="center"/>
        </w:trPr>
        <w:tc>
          <w:tcPr>
            <w:tcW w:w="0" w:type="auto"/>
            <w:shd w:val="clear" w:color="auto" w:fill="FFFFFF"/>
            <w:tcMar>
              <w:top w:w="0" w:type="dxa"/>
              <w:left w:w="0" w:type="dxa"/>
              <w:bottom w:w="0" w:type="dxa"/>
              <w:right w:w="0" w:type="dxa"/>
            </w:tcMar>
            <w:vAlign w:val="center"/>
          </w:tcPr>
          <w:p w14:paraId="113669A9" w14:textId="77777777" w:rsidR="00E2099A" w:rsidRDefault="00000000">
            <w:pPr>
              <w:spacing w:before="100" w:after="100"/>
              <w:ind w:left="100" w:right="100"/>
            </w:pPr>
            <w:r>
              <w:rPr>
                <w:rFonts w:ascii="Helvetica" w:eastAsia="Helvetica" w:hAnsi="Helvetica" w:cs="Helvetica"/>
                <w:color w:val="000000"/>
                <w:sz w:val="18"/>
                <w:szCs w:val="18"/>
              </w:rPr>
              <w:t>Residential Therms per Floor Area (therms/ft&lt;sup&gt;2&lt;/sup&gt;)</w:t>
            </w:r>
          </w:p>
        </w:tc>
        <w:tc>
          <w:tcPr>
            <w:tcW w:w="0" w:type="auto"/>
            <w:shd w:val="clear" w:color="auto" w:fill="FFFFFF"/>
            <w:tcMar>
              <w:top w:w="0" w:type="dxa"/>
              <w:left w:w="0" w:type="dxa"/>
              <w:bottom w:w="0" w:type="dxa"/>
              <w:right w:w="0" w:type="dxa"/>
            </w:tcMar>
            <w:vAlign w:val="center"/>
          </w:tcPr>
          <w:p w14:paraId="6F80395B" w14:textId="77777777" w:rsidR="00E2099A" w:rsidRDefault="00000000">
            <w:pPr>
              <w:spacing w:before="100" w:after="100"/>
              <w:ind w:left="100" w:right="100"/>
            </w:pPr>
            <w:r>
              <w:rPr>
                <w:rFonts w:ascii="Helvetica" w:eastAsia="Helvetica" w:hAnsi="Helvetica" w:cs="Helvetica"/>
                <w:color w:val="000000"/>
                <w:sz w:val="18"/>
                <w:szCs w:val="18"/>
              </w:rPr>
              <w:t>0.494939</w:t>
            </w:r>
          </w:p>
        </w:tc>
        <w:tc>
          <w:tcPr>
            <w:tcW w:w="0" w:type="auto"/>
            <w:shd w:val="clear" w:color="auto" w:fill="FFFFFF"/>
            <w:tcMar>
              <w:top w:w="0" w:type="dxa"/>
              <w:left w:w="0" w:type="dxa"/>
              <w:bottom w:w="0" w:type="dxa"/>
              <w:right w:w="0" w:type="dxa"/>
            </w:tcMar>
            <w:vAlign w:val="center"/>
          </w:tcPr>
          <w:p w14:paraId="25254468" w14:textId="77777777" w:rsidR="00E2099A" w:rsidRDefault="00000000">
            <w:pPr>
              <w:spacing w:before="100" w:after="100"/>
              <w:ind w:left="100" w:right="100"/>
            </w:pPr>
            <w:r>
              <w:rPr>
                <w:rFonts w:ascii="Helvetica" w:eastAsia="Helvetica" w:hAnsi="Helvetica" w:cs="Helvetica"/>
                <w:color w:val="000000"/>
                <w:sz w:val="18"/>
                <w:szCs w:val="18"/>
              </w:rPr>
              <w:t>0.494939</w:t>
            </w:r>
          </w:p>
        </w:tc>
      </w:tr>
      <w:tr w:rsidR="00E2099A" w14:paraId="49B04B90" w14:textId="77777777">
        <w:trPr>
          <w:cantSplit/>
          <w:jc w:val="center"/>
        </w:trPr>
        <w:tc>
          <w:tcPr>
            <w:tcW w:w="0" w:type="auto"/>
            <w:shd w:val="clear" w:color="auto" w:fill="FFFFFF"/>
            <w:tcMar>
              <w:top w:w="0" w:type="dxa"/>
              <w:left w:w="0" w:type="dxa"/>
              <w:bottom w:w="0" w:type="dxa"/>
              <w:right w:w="0" w:type="dxa"/>
            </w:tcMar>
            <w:vAlign w:val="center"/>
          </w:tcPr>
          <w:p w14:paraId="146F7333" w14:textId="77777777" w:rsidR="00E2099A" w:rsidRDefault="00000000">
            <w:pPr>
              <w:spacing w:before="100" w:after="100"/>
              <w:ind w:left="100" w:right="100"/>
            </w:pPr>
            <w:r>
              <w:rPr>
                <w:rFonts w:ascii="Helvetica" w:eastAsia="Helvetica" w:hAnsi="Helvetica" w:cs="Helvetica"/>
                <w:color w:val="000000"/>
                <w:sz w:val="18"/>
                <w:szCs w:val="18"/>
              </w:rPr>
              <w:t>Residential Electricity per Household (MWh/household)</w:t>
            </w:r>
          </w:p>
        </w:tc>
        <w:tc>
          <w:tcPr>
            <w:tcW w:w="0" w:type="auto"/>
            <w:shd w:val="clear" w:color="auto" w:fill="FFFFFF"/>
            <w:tcMar>
              <w:top w:w="0" w:type="dxa"/>
              <w:left w:w="0" w:type="dxa"/>
              <w:bottom w:w="0" w:type="dxa"/>
              <w:right w:w="0" w:type="dxa"/>
            </w:tcMar>
            <w:vAlign w:val="center"/>
          </w:tcPr>
          <w:p w14:paraId="12A31AF6" w14:textId="77777777" w:rsidR="00E2099A" w:rsidRDefault="00000000">
            <w:pPr>
              <w:spacing w:before="100" w:after="100"/>
              <w:ind w:left="100" w:right="100"/>
            </w:pPr>
            <w:r>
              <w:rPr>
                <w:rFonts w:ascii="Helvetica" w:eastAsia="Helvetica" w:hAnsi="Helvetica" w:cs="Helvetica"/>
                <w:color w:val="000000"/>
                <w:sz w:val="18"/>
                <w:szCs w:val="18"/>
              </w:rPr>
              <w:t>5.63163</w:t>
            </w:r>
          </w:p>
        </w:tc>
        <w:tc>
          <w:tcPr>
            <w:tcW w:w="0" w:type="auto"/>
            <w:shd w:val="clear" w:color="auto" w:fill="FFFFFF"/>
            <w:tcMar>
              <w:top w:w="0" w:type="dxa"/>
              <w:left w:w="0" w:type="dxa"/>
              <w:bottom w:w="0" w:type="dxa"/>
              <w:right w:w="0" w:type="dxa"/>
            </w:tcMar>
            <w:vAlign w:val="center"/>
          </w:tcPr>
          <w:p w14:paraId="164E0206" w14:textId="77777777" w:rsidR="00E2099A" w:rsidRDefault="00E2099A">
            <w:pPr>
              <w:spacing w:before="100" w:after="100"/>
              <w:ind w:left="100" w:right="100"/>
            </w:pPr>
          </w:p>
        </w:tc>
      </w:tr>
      <w:tr w:rsidR="00E2099A" w14:paraId="78165700"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0B4FB3AC" w14:textId="77777777" w:rsidR="00E2099A" w:rsidRDefault="00000000">
            <w:pPr>
              <w:spacing w:before="100" w:after="100"/>
              <w:ind w:left="100" w:right="100"/>
            </w:pPr>
            <w:r>
              <w:rPr>
                <w:rFonts w:ascii="Helvetica" w:eastAsia="Helvetica" w:hAnsi="Helvetica" w:cs="Helvetica"/>
                <w:color w:val="000000"/>
                <w:sz w:val="18"/>
                <w:szCs w:val="18"/>
              </w:rPr>
              <w:t>Residential Therms per Household (therms/household)</w:t>
            </w:r>
          </w:p>
        </w:tc>
        <w:tc>
          <w:tcPr>
            <w:tcW w:w="0" w:type="auto"/>
            <w:tcBorders>
              <w:bottom w:val="single" w:sz="16" w:space="0" w:color="666666"/>
            </w:tcBorders>
            <w:shd w:val="clear" w:color="auto" w:fill="FFFFFF"/>
            <w:tcMar>
              <w:top w:w="0" w:type="dxa"/>
              <w:left w:w="0" w:type="dxa"/>
              <w:bottom w:w="0" w:type="dxa"/>
              <w:right w:w="0" w:type="dxa"/>
            </w:tcMar>
            <w:vAlign w:val="center"/>
          </w:tcPr>
          <w:p w14:paraId="0BAC9798" w14:textId="77777777" w:rsidR="00E2099A" w:rsidRDefault="00000000">
            <w:pPr>
              <w:spacing w:before="100" w:after="100"/>
              <w:ind w:left="100" w:right="100"/>
            </w:pPr>
            <w:r>
              <w:rPr>
                <w:rFonts w:ascii="Helvetica" w:eastAsia="Helvetica" w:hAnsi="Helvetica" w:cs="Helvetica"/>
                <w:color w:val="000000"/>
                <w:sz w:val="18"/>
                <w:szCs w:val="18"/>
              </w:rPr>
              <w:t>662.132</w:t>
            </w:r>
          </w:p>
        </w:tc>
        <w:tc>
          <w:tcPr>
            <w:tcW w:w="0" w:type="auto"/>
            <w:tcBorders>
              <w:bottom w:val="single" w:sz="16" w:space="0" w:color="666666"/>
            </w:tcBorders>
            <w:shd w:val="clear" w:color="auto" w:fill="FFFFFF"/>
            <w:tcMar>
              <w:top w:w="0" w:type="dxa"/>
              <w:left w:w="0" w:type="dxa"/>
              <w:bottom w:w="0" w:type="dxa"/>
              <w:right w:w="0" w:type="dxa"/>
            </w:tcMar>
            <w:vAlign w:val="center"/>
          </w:tcPr>
          <w:p w14:paraId="774047FB" w14:textId="77777777" w:rsidR="00E2099A" w:rsidRDefault="00E2099A">
            <w:pPr>
              <w:spacing w:before="100" w:after="100"/>
              <w:ind w:left="100" w:right="100"/>
            </w:pPr>
          </w:p>
        </w:tc>
      </w:tr>
    </w:tbl>
    <w:p w14:paraId="0C148DB8" w14:textId="77777777" w:rsidR="00E2099A" w:rsidRDefault="00E2099A">
      <w:pPr>
        <w:pStyle w:val="BodyText"/>
      </w:pPr>
    </w:p>
    <w:p w14:paraId="0B8D82EB" w14:textId="77777777" w:rsidR="00E2099A" w:rsidRDefault="00000000">
      <w:pPr>
        <w:pStyle w:val="Heading3"/>
      </w:pPr>
      <w:bookmarkStart w:id="37" w:name="residential-energy-strategies"/>
      <w:bookmarkStart w:id="38" w:name="_Toc124529425"/>
      <w:r>
        <w:t>3.1.1</w:t>
      </w:r>
      <w:r>
        <w:tab/>
        <w:t>Residential Energy Strategies</w:t>
      </w:r>
      <w:bookmarkEnd w:id="38"/>
    </w:p>
    <w:p w14:paraId="4EE43841" w14:textId="77777777" w:rsidR="00E2099A" w:rsidRDefault="00000000">
      <w:pPr>
        <w:pStyle w:val="Heading4"/>
      </w:pPr>
      <w:bookmarkStart w:id="39" w:name="Xfce6be1cac1258eb6f48aeebb41fe004abc1e12"/>
      <w:r>
        <w:t>3.1.1.1</w:t>
      </w:r>
      <w:r>
        <w:tab/>
        <w:t>Reducing Residential Floor Area and Improving Efficiency</w:t>
      </w:r>
    </w:p>
    <w:p w14:paraId="244EE903" w14:textId="77777777" w:rsidR="00E2099A" w:rsidRDefault="00000000">
      <w:pPr>
        <w:pStyle w:val="FirstParagraph"/>
      </w:pPr>
      <w:r>
        <w:t>Energy consumption is directly correlated to the floor area of a residential unit. Therefore, we have calculated the impact of different strategies that directly alter the size of homes.</w:t>
      </w:r>
    </w:p>
    <w:p w14:paraId="024DD1F0" w14:textId="77777777" w:rsidR="00E2099A" w:rsidRDefault="00000000">
      <w:pPr>
        <w:pStyle w:val="BodyText"/>
      </w:pPr>
      <w:r>
        <w:t xml:space="preserve">The </w:t>
      </w:r>
      <w:r>
        <w:rPr>
          <w:i/>
          <w:iCs/>
        </w:rPr>
        <w:t>Minneapolis 2040 Comprehensive Plan</w:t>
      </w:r>
      <w:r>
        <w:t xml:space="preserve"> aimed to increase housing supply and address affordability and segregation issues by eliminating single-family zoning and allowing up to three units per property. Currently the plan is facing criticism and legal challenges, including a recent court decision halting enforcement of the plan on environmental grounds. Despite this, single family zoning remains a significant strategy to consider in how the city could meet its ambitious climate goals.</w:t>
      </w:r>
    </w:p>
    <w:p w14:paraId="7E7BA05A" w14:textId="77777777" w:rsidR="00E2099A" w:rsidRDefault="00000000">
      <w:pPr>
        <w:pStyle w:val="BodyText"/>
      </w:pPr>
      <w:r>
        <w:t>Cities have a range of tools at their disposal to control the size of new single family homes and to encourage the construction of smaller, more efficient homes.</w:t>
      </w:r>
    </w:p>
    <w:p w14:paraId="67C3976E" w14:textId="77777777" w:rsidR="00E2099A" w:rsidRDefault="00000000">
      <w:pPr>
        <w:pStyle w:val="BodyText"/>
      </w:pPr>
      <w:r>
        <w:t>The City of Minneapolis can influence the size of new single family homes in a variety of ways, including:</w:t>
      </w:r>
    </w:p>
    <w:p w14:paraId="559535BF" w14:textId="77777777" w:rsidR="00E2099A" w:rsidRDefault="00000000">
      <w:pPr>
        <w:numPr>
          <w:ilvl w:val="0"/>
          <w:numId w:val="7"/>
        </w:numPr>
      </w:pPr>
      <w:r>
        <w:rPr>
          <w:b/>
          <w:bCs/>
          <w:i/>
          <w:iCs/>
        </w:rPr>
        <w:t>Design guidelines</w:t>
      </w:r>
      <w:r>
        <w:t>**** Cities can adopt or develop design guidelines that specify the size and appearance of new single family homes. These guidelines can be used to encourage the construction of smaller homes. There are several different energy efficiency building design standards, such as Passive House standards, which consume less than 18 of kilo BTUs, as well as new LEED performance-based energy efficiency standards and others. Minnesota’s B3 Buildings Benchmarking project offers a long-term approach to benchmark increases in energy efficiency of existing and new buildings per square foot.</w:t>
      </w:r>
    </w:p>
    <w:p w14:paraId="583BB19C" w14:textId="77777777" w:rsidR="00E2099A" w:rsidRDefault="00000000">
      <w:pPr>
        <w:numPr>
          <w:ilvl w:val="0"/>
          <w:numId w:val="7"/>
        </w:numPr>
      </w:pPr>
      <w:r>
        <w:rPr>
          <w:b/>
          <w:bCs/>
          <w:i/>
          <w:iCs/>
        </w:rPr>
        <w:t>Zoning regulations</w:t>
      </w:r>
      <w:r>
        <w:t xml:space="preserve"> The City of Minneapolis has a range of residential zoning categories, including single-family, multifamily, and mixed-use zones, which are designed to accommodate different types of housing and land uses. A city can use zoning regulations to specify the size of new single family homes. For example, the city might require that new single family homes have </w:t>
      </w:r>
      <w:r>
        <w:lastRenderedPageBreak/>
        <w:t>a minimum or maximum square footage, or that they be a certain percentage of the size of the lot on which they are built.</w:t>
      </w:r>
    </w:p>
    <w:p w14:paraId="0519839E" w14:textId="77777777" w:rsidR="00E2099A" w:rsidRDefault="00000000">
      <w:pPr>
        <w:numPr>
          <w:ilvl w:val="0"/>
          <w:numId w:val="7"/>
        </w:numPr>
      </w:pPr>
      <w:r>
        <w:rPr>
          <w:b/>
          <w:bCs/>
          <w:i/>
          <w:iCs/>
        </w:rPr>
        <w:t>Incentives</w:t>
      </w:r>
      <w:r>
        <w:t xml:space="preserve"> a city can offer incentives to encourage the construction of smaller single family homes. For example, a city might offer reduced permit fees or other financial incentives to builders who construct homes that meet certain size requirements.</w:t>
      </w:r>
    </w:p>
    <w:p w14:paraId="3EDB04FD" w14:textId="77777777" w:rsidR="00E2099A" w:rsidRDefault="00000000">
      <w:pPr>
        <w:numPr>
          <w:ilvl w:val="0"/>
          <w:numId w:val="7"/>
        </w:numPr>
      </w:pPr>
      <w:r>
        <w:rPr>
          <w:b/>
          <w:bCs/>
          <w:i/>
          <w:iCs/>
        </w:rPr>
        <w:t>Fees</w:t>
      </w:r>
      <w:r>
        <w:t xml:space="preserve"> Cities can impose impact fees on new construction in order to offset the costs of providing infrastructure and other services. Impact fees can be used to discourage the construction of larger homes by imposing higher fees on larger homes.</w:t>
      </w:r>
    </w:p>
    <w:p w14:paraId="735B2769" w14:textId="77777777" w:rsidR="00E2099A" w:rsidRDefault="00000000">
      <w:pPr>
        <w:pStyle w:val="Heading4"/>
      </w:pPr>
      <w:bookmarkStart w:id="40" w:name="promote-affordable-floor-area"/>
      <w:bookmarkEnd w:id="39"/>
      <w:r>
        <w:t>3.1.1.2</w:t>
      </w:r>
      <w:r>
        <w:tab/>
        <w:t>Promote Affordable Floor Area</w:t>
      </w:r>
    </w:p>
    <w:p w14:paraId="0B03EE9E" w14:textId="77777777" w:rsidR="00E2099A" w:rsidRDefault="00000000">
      <w:pPr>
        <w:pStyle w:val="FirstParagraph"/>
      </w:pPr>
      <w:r>
        <w:t>If the availability of fossil fuel sources such as oil, natural gas, and coal is limited, prices may increase as demand outstrips supply. New single-family homeowners may respond to increased energy prices by decreasing their living space in order to save on energy costs. This could involve reducing the size of the home or making other changes to the layout or design of the home to make it more energy efficient.</w:t>
      </w:r>
    </w:p>
    <w:p w14:paraId="30E5E676" w14:textId="77777777" w:rsidR="00E2099A" w:rsidRDefault="00000000">
      <w:pPr>
        <w:pStyle w:val="BodyText"/>
      </w:pPr>
      <w:r>
        <w:rPr>
          <w:b/>
          <w:bCs/>
          <w:i/>
          <w:iCs/>
        </w:rPr>
        <w:t>About this strategy</w:t>
      </w:r>
      <w:r>
        <w:t xml:space="preserve"> Our assumption is that cities can control (or at least influence) the size of new single-family homes to reduce energy use and increasing affordability. For this strategy, the growth of the single-family home size is reduced from 15% to 5%to make the new single-family home smaller. We apply this impact to 50% of new single-family homes. Cities can adjust the growth rate of single-family homes’ floor area and the percentage of new single-family homes being controlled.</w:t>
      </w:r>
    </w:p>
    <w:p w14:paraId="7EC70625" w14:textId="77777777" w:rsidR="00E2099A" w:rsidRDefault="00000000">
      <w:pPr>
        <w:pStyle w:val="BodyText"/>
      </w:pPr>
      <m:oMathPara>
        <m:oMathParaPr>
          <m:jc m:val="center"/>
        </m:oMathParaPr>
        <m:oMath>
          <m:r>
            <w:rPr>
              <w:rFonts w:ascii="Cambria Math" w:hAnsi="Cambria Math"/>
            </w:rPr>
            <m:t>sqf</m:t>
          </m:r>
          <m:sSubSup>
            <m:sSubSupPr>
              <m:ctrlPr>
                <w:rPr>
                  <w:rFonts w:ascii="Cambria Math" w:hAnsi="Cambria Math"/>
                </w:rPr>
              </m:ctrlPr>
            </m:sSubSupPr>
            <m:e>
              <m:r>
                <w:rPr>
                  <w:rFonts w:ascii="Cambria Math" w:hAnsi="Cambria Math"/>
                </w:rPr>
                <m:t>t</m:t>
              </m:r>
            </m:e>
            <m:sub>
              <m:r>
                <w:rPr>
                  <w:rFonts w:ascii="Cambria Math" w:hAnsi="Cambria Math"/>
                </w:rPr>
                <m:t>2040</m:t>
              </m:r>
            </m:sub>
            <m:sup>
              <m:r>
                <w:rPr>
                  <w:rFonts w:ascii="Cambria Math" w:hAnsi="Cambria Math"/>
                </w:rPr>
                <m:t>sf</m:t>
              </m:r>
            </m:sup>
          </m:sSubSup>
          <m:r>
            <m:rPr>
              <m:sty m:val="p"/>
            </m:rPr>
            <w:rPr>
              <w:rFonts w:ascii="Cambria Math" w:hAnsi="Cambria Math"/>
            </w:rPr>
            <m:t>=</m:t>
          </m:r>
          <m:d>
            <m:dPr>
              <m:ctrlPr>
                <w:rPr>
                  <w:rFonts w:ascii="Cambria Math" w:hAnsi="Cambria Math"/>
                </w:rPr>
              </m:ctrlPr>
            </m:dPr>
            <m:e>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2040</m:t>
                  </m:r>
                </m:sub>
                <m:sup>
                  <m:r>
                    <w:rPr>
                      <w:rFonts w:ascii="Cambria Math" w:hAnsi="Cambria Math"/>
                    </w:rPr>
                    <m:t>sf</m:t>
                  </m:r>
                </m:sup>
              </m:sSubSup>
              <m:r>
                <m:rPr>
                  <m:sty m:val="p"/>
                </m:rPr>
                <w:rPr>
                  <w:rFonts w:ascii="Cambria Math" w:hAnsi="Cambria Math"/>
                </w:rPr>
                <m:t>-</m:t>
              </m:r>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2018</m:t>
                  </m:r>
                </m:sub>
                <m:sup>
                  <m:r>
                    <w:rPr>
                      <w:rFonts w:ascii="Cambria Math" w:hAnsi="Cambria Math"/>
                    </w:rPr>
                    <m:t>sf</m:t>
                  </m:r>
                </m:sup>
              </m:sSubSup>
            </m:e>
          </m:d>
          <m:r>
            <m:rPr>
              <m:sty m:val="p"/>
            </m:rPr>
            <w:rPr>
              <w:rFonts w:ascii="Cambria Math" w:hAnsi="Cambria Math"/>
            </w:rPr>
            <m:t>*</m:t>
          </m:r>
          <m:r>
            <w:rPr>
              <w:rFonts w:ascii="Cambria Math" w:hAnsi="Cambria Math"/>
            </w:rPr>
            <m:t>0.5</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sqft</m:t>
                      </m:r>
                    </m:e>
                  </m:acc>
                </m:e>
                <m:sub>
                  <m:r>
                    <w:rPr>
                      <w:rFonts w:ascii="Cambria Math" w:hAnsi="Cambria Math"/>
                    </w:rPr>
                    <m:t>2040</m:t>
                  </m:r>
                </m:sub>
                <m:sup>
                  <m:r>
                    <w:rPr>
                      <w:rFonts w:ascii="Cambria Math" w:hAnsi="Cambria Math"/>
                    </w:rPr>
                    <m:t>sf</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sqft</m:t>
                      </m:r>
                    </m:e>
                  </m:acc>
                </m:e>
                <m:sub>
                  <m:r>
                    <w:rPr>
                      <w:rFonts w:ascii="Cambria Math" w:hAnsi="Cambria Math"/>
                    </w:rPr>
                    <m:t>2018</m:t>
                  </m:r>
                </m:sub>
              </m:sSub>
            </m:e>
          </m:d>
          <m:d>
            <m:dPr>
              <m:ctrlPr>
                <w:rPr>
                  <w:rFonts w:ascii="Cambria Math" w:hAnsi="Cambria Math"/>
                </w:rPr>
              </m:ctrlPr>
            </m:dPr>
            <m:e>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sqf</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nit</m:t>
              </m:r>
              <m:sSub>
                <m:sSubPr>
                  <m:ctrlPr>
                    <w:rPr>
                      <w:rFonts w:ascii="Cambria Math" w:hAnsi="Cambria Math"/>
                    </w:rPr>
                  </m:ctrlPr>
                </m:sSubPr>
                <m:e>
                  <m:r>
                    <w:rPr>
                      <w:rFonts w:ascii="Cambria Math" w:hAnsi="Cambria Math"/>
                    </w:rPr>
                    <m:t>s</m:t>
                  </m:r>
                </m:e>
                <m:sub>
                  <m:r>
                    <w:rPr>
                      <w:rFonts w:ascii="Cambria Math" w:hAnsi="Cambria Math"/>
                    </w:rPr>
                    <m:t>2040</m:t>
                  </m:r>
                </m:sub>
              </m:sSub>
            </m:e>
          </m:d>
        </m:oMath>
      </m:oMathPara>
    </w:p>
    <w:p w14:paraId="3443AC02" w14:textId="77777777" w:rsidR="00E2099A" w:rsidRDefault="00000000">
      <w:pPr>
        <w:pStyle w:val="FirstParagraph"/>
      </w:pPr>
      <w:r>
        <w:t>where</w:t>
      </w:r>
    </w:p>
    <w:p w14:paraId="232A983A" w14:textId="77777777" w:rsidR="00E2099A" w:rsidRDefault="00000000">
      <w:pPr>
        <w:numPr>
          <w:ilvl w:val="0"/>
          <w:numId w:val="8"/>
        </w:numPr>
      </w:pP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oMath>
      <w:r>
        <w:t>: The rate of growth in single-family floor area in square feet per year.</w:t>
      </w:r>
    </w:p>
    <w:p w14:paraId="341EB832" w14:textId="77777777" w:rsidR="00E2099A" w:rsidRDefault="00000000">
      <w:pPr>
        <w:numPr>
          <w:ilvl w:val="0"/>
          <w:numId w:val="8"/>
        </w:numPr>
      </w:pPr>
      <m:oMath>
        <m:r>
          <w:rPr>
            <w:rFonts w:ascii="Cambria Math" w:hAnsi="Cambria Math"/>
          </w:rPr>
          <m:t>sqf</m:t>
        </m:r>
        <m:sSubSup>
          <m:sSubSupPr>
            <m:ctrlPr>
              <w:rPr>
                <w:rFonts w:ascii="Cambria Math" w:hAnsi="Cambria Math"/>
              </w:rPr>
            </m:ctrlPr>
          </m:sSubSupPr>
          <m:e>
            <m:r>
              <w:rPr>
                <w:rFonts w:ascii="Cambria Math" w:hAnsi="Cambria Math"/>
              </w:rPr>
              <m:t>t</m:t>
            </m:r>
          </m:e>
          <m:sub>
            <m:r>
              <w:rPr>
                <w:rFonts w:ascii="Cambria Math" w:hAnsi="Cambria Math"/>
              </w:rPr>
              <m:t>2040</m:t>
            </m:r>
          </m:sub>
          <m:sup>
            <m:r>
              <w:rPr>
                <w:rFonts w:ascii="Cambria Math" w:hAnsi="Cambria Math"/>
              </w:rPr>
              <m:t>sf</m:t>
            </m:r>
          </m:sup>
        </m:sSubSup>
      </m:oMath>
      <w:r>
        <w:t xml:space="preserve">: The total floor area of single-family homes in the community in 2040. </w:t>
      </w:r>
      <m:oMath>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2040</m:t>
            </m:r>
          </m:sub>
          <m:sup>
            <m:r>
              <w:rPr>
                <w:rFonts w:ascii="Cambria Math" w:hAnsi="Cambria Math"/>
              </w:rPr>
              <m:t>sf</m:t>
            </m:r>
          </m:sup>
        </m:sSubSup>
      </m:oMath>
      <w:r>
        <w:t>: The number of single-family housing units in the community in 2040.</w:t>
      </w:r>
    </w:p>
    <w:p w14:paraId="198D28D0" w14:textId="77777777" w:rsidR="00E2099A" w:rsidRDefault="00000000">
      <w:pPr>
        <w:numPr>
          <w:ilvl w:val="0"/>
          <w:numId w:val="8"/>
        </w:numPr>
      </w:pPr>
      <m:oMath>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2018</m:t>
            </m:r>
          </m:sub>
          <m:sup>
            <m:r>
              <w:rPr>
                <w:rFonts w:ascii="Cambria Math" w:hAnsi="Cambria Math"/>
              </w:rPr>
              <m:t>sf</m:t>
            </m:r>
          </m:sup>
        </m:sSubSup>
      </m:oMath>
      <w:r>
        <w:t>: The number of single-family housing units in the community in 2018.</w:t>
      </w:r>
    </w:p>
    <w:p w14:paraId="57637473" w14:textId="77777777" w:rsidR="00E2099A" w:rsidRDefault="00000000">
      <w:pPr>
        <w:numPr>
          <w:ilvl w:val="0"/>
          <w:numId w:val="8"/>
        </w:numPr>
      </w:pPr>
      <m:oMath>
        <m:r>
          <w:rPr>
            <w:rFonts w:ascii="Cambria Math" w:hAnsi="Cambria Math"/>
          </w:rPr>
          <m:t>0.5</m:t>
        </m:r>
      </m:oMath>
      <w:r>
        <w:t>: This factor represents the assumption that half of the population will reduce the living space of new single-family homes in response to doubling energy prices.</w:t>
      </w:r>
    </w:p>
    <w:p w14:paraId="1D774528" w14:textId="77777777" w:rsidR="00E2099A" w:rsidRDefault="00000000">
      <w:pPr>
        <w:numPr>
          <w:ilvl w:val="0"/>
          <w:numId w:val="8"/>
        </w:numP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sqft</m:t>
                </m:r>
              </m:e>
            </m:acc>
          </m:e>
          <m:sub>
            <m:r>
              <w:rPr>
                <w:rFonts w:ascii="Cambria Math" w:hAnsi="Cambria Math"/>
              </w:rPr>
              <m:t>2040</m:t>
            </m:r>
          </m:sub>
          <m:sup>
            <m:r>
              <w:rPr>
                <w:rFonts w:ascii="Cambria Math" w:hAnsi="Cambria Math"/>
              </w:rPr>
              <m:t>sf</m:t>
            </m:r>
          </m:sup>
        </m:sSubSup>
      </m:oMath>
      <w:r>
        <w:t>: The average floor area of single-family homes in the community in 2040.</w:t>
      </w:r>
    </w:p>
    <w:p w14:paraId="03A4E028" w14:textId="77777777" w:rsidR="00E2099A" w:rsidRDefault="00000000">
      <w:pPr>
        <w:numPr>
          <w:ilvl w:val="0"/>
          <w:numId w:val="8"/>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sqft</m:t>
                </m:r>
              </m:e>
            </m:acc>
          </m:e>
          <m:sub>
            <m:r>
              <w:rPr>
                <w:rFonts w:ascii="Cambria Math" w:hAnsi="Cambria Math"/>
              </w:rPr>
              <m:t>2018</m:t>
            </m:r>
          </m:sub>
        </m:sSub>
      </m:oMath>
      <w:r>
        <w:t>: The average floor area of single-family homes in the community in 2018.</w:t>
      </w:r>
    </w:p>
    <w:p w14:paraId="67382317" w14:textId="77777777" w:rsidR="00E2099A" w:rsidRDefault="00000000">
      <w:pPr>
        <w:pStyle w:val="TableCaption"/>
      </w:pPr>
      <w:bookmarkStart w:id="41" w:name="tab-new-single-family-home-area"/>
      <w:r>
        <w:rPr>
          <w:b/>
          <w:bCs/>
        </w:rPr>
        <w:t xml:space="preserve">Table 3.2: </w:t>
      </w:r>
      <w:bookmarkEnd w:id="41"/>
      <w:r>
        <w:t>New Single-Family Home Floor Area for Minneapolis</w:t>
      </w:r>
    </w:p>
    <w:tbl>
      <w:tblPr>
        <w:tblW w:w="0" w:type="pct"/>
        <w:jc w:val="center"/>
        <w:tblLook w:val="0420" w:firstRow="1" w:lastRow="0" w:firstColumn="0" w:lastColumn="0" w:noHBand="0" w:noVBand="1"/>
      </w:tblPr>
      <w:tblGrid>
        <w:gridCol w:w="5263"/>
        <w:gridCol w:w="851"/>
        <w:gridCol w:w="851"/>
      </w:tblGrid>
      <w:tr w:rsidR="00E2099A" w14:paraId="4CDC8068"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FA70AE9" w14:textId="77777777" w:rsidR="00E2099A" w:rsidRDefault="00000000">
            <w:pPr>
              <w:spacing w:before="100" w:after="100"/>
              <w:ind w:left="100" w:right="100"/>
              <w:jc w:val="center"/>
            </w:pPr>
            <w:r>
              <w:rPr>
                <w:rFonts w:ascii="Helvetica" w:eastAsia="Helvetica" w:hAnsi="Helvetica" w:cs="Helvetica"/>
                <w:color w:val="000000"/>
                <w:sz w:val="18"/>
                <w:szCs w:val="18"/>
              </w:rPr>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65A7983" w14:textId="77777777" w:rsidR="00E2099A" w:rsidRDefault="00000000">
            <w:pPr>
              <w:spacing w:before="100" w:after="100"/>
              <w:ind w:left="100" w:right="100"/>
              <w:jc w:val="center"/>
            </w:pPr>
            <w:r>
              <w:rPr>
                <w:rFonts w:ascii="Helvetica" w:eastAsia="Helvetica" w:hAnsi="Helvetica" w:cs="Helvetica"/>
                <w:color w:val="000000"/>
                <w:sz w:val="18"/>
                <w:szCs w:val="18"/>
              </w:rPr>
              <w:t>2018</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07F493F3" w14:textId="77777777" w:rsidR="00E2099A" w:rsidRDefault="00000000">
            <w:pPr>
              <w:spacing w:before="100" w:after="100"/>
              <w:ind w:left="100" w:right="100"/>
              <w:jc w:val="center"/>
            </w:pPr>
            <w:r>
              <w:rPr>
                <w:rFonts w:ascii="Helvetica" w:eastAsia="Helvetica" w:hAnsi="Helvetica" w:cs="Helvetica"/>
                <w:color w:val="000000"/>
                <w:sz w:val="18"/>
                <w:szCs w:val="18"/>
              </w:rPr>
              <w:t>2040</w:t>
            </w:r>
          </w:p>
        </w:tc>
      </w:tr>
      <w:tr w:rsidR="00E2099A" w14:paraId="29F58BDD" w14:textId="77777777">
        <w:trPr>
          <w:cantSplit/>
          <w:jc w:val="center"/>
        </w:trPr>
        <w:tc>
          <w:tcPr>
            <w:tcW w:w="0" w:type="auto"/>
            <w:shd w:val="clear" w:color="auto" w:fill="FFFFFF"/>
            <w:tcMar>
              <w:top w:w="0" w:type="dxa"/>
              <w:left w:w="0" w:type="dxa"/>
              <w:bottom w:w="0" w:type="dxa"/>
              <w:right w:w="0" w:type="dxa"/>
            </w:tcMar>
            <w:vAlign w:val="center"/>
          </w:tcPr>
          <w:p w14:paraId="4236F949" w14:textId="77777777" w:rsidR="00E2099A" w:rsidRDefault="00000000">
            <w:pPr>
              <w:spacing w:before="100" w:after="100"/>
              <w:ind w:left="100" w:right="100"/>
            </w:pPr>
            <w:r>
              <w:rPr>
                <w:rFonts w:ascii="Helvetica" w:eastAsia="Helvetica" w:hAnsi="Helvetica" w:cs="Helvetica"/>
                <w:color w:val="000000"/>
                <w:sz w:val="18"/>
                <w:szCs w:val="18"/>
              </w:rPr>
              <w:t>Number of Single Family Units</w:t>
            </w:r>
          </w:p>
        </w:tc>
        <w:tc>
          <w:tcPr>
            <w:tcW w:w="0" w:type="auto"/>
            <w:shd w:val="clear" w:color="auto" w:fill="FFFFFF"/>
            <w:tcMar>
              <w:top w:w="0" w:type="dxa"/>
              <w:left w:w="0" w:type="dxa"/>
              <w:bottom w:w="0" w:type="dxa"/>
              <w:right w:w="0" w:type="dxa"/>
            </w:tcMar>
            <w:vAlign w:val="center"/>
          </w:tcPr>
          <w:p w14:paraId="520647C0" w14:textId="77777777" w:rsidR="00E2099A" w:rsidRDefault="00000000">
            <w:pPr>
              <w:spacing w:before="100" w:after="100"/>
              <w:ind w:left="100" w:right="100"/>
              <w:jc w:val="right"/>
            </w:pPr>
            <w:r>
              <w:rPr>
                <w:rFonts w:ascii="Helvetica" w:eastAsia="Helvetica" w:hAnsi="Helvetica" w:cs="Helvetica"/>
                <w:color w:val="000000"/>
                <w:sz w:val="18"/>
                <w:szCs w:val="18"/>
              </w:rPr>
              <w:t>76,935</w:t>
            </w:r>
          </w:p>
        </w:tc>
        <w:tc>
          <w:tcPr>
            <w:tcW w:w="0" w:type="auto"/>
            <w:shd w:val="clear" w:color="auto" w:fill="FFFFFF"/>
            <w:tcMar>
              <w:top w:w="0" w:type="dxa"/>
              <w:left w:w="0" w:type="dxa"/>
              <w:bottom w:w="0" w:type="dxa"/>
              <w:right w:w="0" w:type="dxa"/>
            </w:tcMar>
            <w:vAlign w:val="center"/>
          </w:tcPr>
          <w:p w14:paraId="55FB6F9C" w14:textId="77777777" w:rsidR="00E2099A" w:rsidRDefault="00000000">
            <w:pPr>
              <w:spacing w:before="100" w:after="100"/>
              <w:ind w:left="100" w:right="100"/>
              <w:jc w:val="right"/>
            </w:pPr>
            <w:r>
              <w:rPr>
                <w:rFonts w:ascii="Helvetica" w:eastAsia="Helvetica" w:hAnsi="Helvetica" w:cs="Helvetica"/>
                <w:color w:val="000000"/>
                <w:sz w:val="18"/>
                <w:szCs w:val="18"/>
              </w:rPr>
              <w:t>76,426</w:t>
            </w:r>
          </w:p>
        </w:tc>
      </w:tr>
      <w:tr w:rsidR="00E2099A" w14:paraId="55CA0987" w14:textId="77777777">
        <w:trPr>
          <w:cantSplit/>
          <w:jc w:val="center"/>
        </w:trPr>
        <w:tc>
          <w:tcPr>
            <w:tcW w:w="0" w:type="auto"/>
            <w:shd w:val="clear" w:color="auto" w:fill="FFFFFF"/>
            <w:tcMar>
              <w:top w:w="0" w:type="dxa"/>
              <w:left w:w="0" w:type="dxa"/>
              <w:bottom w:w="0" w:type="dxa"/>
              <w:right w:w="0" w:type="dxa"/>
            </w:tcMar>
            <w:vAlign w:val="center"/>
          </w:tcPr>
          <w:p w14:paraId="4C036F1B" w14:textId="77777777" w:rsidR="00E2099A" w:rsidRDefault="00000000">
            <w:pPr>
              <w:spacing w:before="100" w:after="100"/>
              <w:ind w:left="100" w:right="100"/>
            </w:pPr>
            <w:r>
              <w:rPr>
                <w:rFonts w:ascii="Helvetica" w:eastAsia="Helvetica" w:hAnsi="Helvetica" w:cs="Helvetica"/>
                <w:color w:val="000000"/>
                <w:sz w:val="18"/>
                <w:szCs w:val="18"/>
              </w:rPr>
              <w:t>Number of Multifamily Units</w:t>
            </w:r>
          </w:p>
        </w:tc>
        <w:tc>
          <w:tcPr>
            <w:tcW w:w="0" w:type="auto"/>
            <w:shd w:val="clear" w:color="auto" w:fill="FFFFFF"/>
            <w:tcMar>
              <w:top w:w="0" w:type="dxa"/>
              <w:left w:w="0" w:type="dxa"/>
              <w:bottom w:w="0" w:type="dxa"/>
              <w:right w:w="0" w:type="dxa"/>
            </w:tcMar>
            <w:vAlign w:val="center"/>
          </w:tcPr>
          <w:p w14:paraId="3ACA4623" w14:textId="77777777" w:rsidR="00E2099A" w:rsidRDefault="00000000">
            <w:pPr>
              <w:spacing w:before="100" w:after="100"/>
              <w:ind w:left="100" w:right="100"/>
              <w:jc w:val="right"/>
            </w:pPr>
            <w:r>
              <w:rPr>
                <w:rFonts w:ascii="Helvetica" w:eastAsia="Helvetica" w:hAnsi="Helvetica" w:cs="Helvetica"/>
                <w:color w:val="000000"/>
                <w:sz w:val="18"/>
                <w:szCs w:val="18"/>
              </w:rPr>
              <w:t>123,504</w:t>
            </w:r>
          </w:p>
        </w:tc>
        <w:tc>
          <w:tcPr>
            <w:tcW w:w="0" w:type="auto"/>
            <w:shd w:val="clear" w:color="auto" w:fill="FFFFFF"/>
            <w:tcMar>
              <w:top w:w="0" w:type="dxa"/>
              <w:left w:w="0" w:type="dxa"/>
              <w:bottom w:w="0" w:type="dxa"/>
              <w:right w:w="0" w:type="dxa"/>
            </w:tcMar>
            <w:vAlign w:val="center"/>
          </w:tcPr>
          <w:p w14:paraId="7CF172B2" w14:textId="77777777" w:rsidR="00E2099A" w:rsidRDefault="00000000">
            <w:pPr>
              <w:spacing w:before="100" w:after="100"/>
              <w:ind w:left="100" w:right="100"/>
              <w:jc w:val="right"/>
            </w:pPr>
            <w:r>
              <w:rPr>
                <w:rFonts w:ascii="Helvetica" w:eastAsia="Helvetica" w:hAnsi="Helvetica" w:cs="Helvetica"/>
                <w:color w:val="000000"/>
                <w:sz w:val="18"/>
                <w:szCs w:val="18"/>
              </w:rPr>
              <w:t>145,653</w:t>
            </w:r>
          </w:p>
        </w:tc>
      </w:tr>
      <w:tr w:rsidR="00E2099A" w14:paraId="7BBADC75" w14:textId="77777777">
        <w:trPr>
          <w:cantSplit/>
          <w:jc w:val="center"/>
        </w:trPr>
        <w:tc>
          <w:tcPr>
            <w:tcW w:w="0" w:type="auto"/>
            <w:shd w:val="clear" w:color="auto" w:fill="FFFFFF"/>
            <w:tcMar>
              <w:top w:w="0" w:type="dxa"/>
              <w:left w:w="0" w:type="dxa"/>
              <w:bottom w:w="0" w:type="dxa"/>
              <w:right w:w="0" w:type="dxa"/>
            </w:tcMar>
            <w:vAlign w:val="center"/>
          </w:tcPr>
          <w:p w14:paraId="42DC6B6A" w14:textId="77777777" w:rsidR="00E2099A" w:rsidRDefault="00000000">
            <w:pPr>
              <w:spacing w:before="100" w:after="100"/>
              <w:ind w:left="100" w:right="100"/>
            </w:pPr>
            <w:r>
              <w:rPr>
                <w:rFonts w:ascii="Helvetica" w:eastAsia="Helvetica" w:hAnsi="Helvetica" w:cs="Helvetica"/>
                <w:color w:val="000000"/>
                <w:sz w:val="18"/>
                <w:szCs w:val="18"/>
              </w:rPr>
              <w:t>Single Family Average Floor Area (ft&lt;sup&gt;2&lt;/sup&gt;)</w:t>
            </w:r>
          </w:p>
        </w:tc>
        <w:tc>
          <w:tcPr>
            <w:tcW w:w="0" w:type="auto"/>
            <w:shd w:val="clear" w:color="auto" w:fill="FFFFFF"/>
            <w:tcMar>
              <w:top w:w="0" w:type="dxa"/>
              <w:left w:w="0" w:type="dxa"/>
              <w:bottom w:w="0" w:type="dxa"/>
              <w:right w:w="0" w:type="dxa"/>
            </w:tcMar>
            <w:vAlign w:val="center"/>
          </w:tcPr>
          <w:p w14:paraId="1D11A683" w14:textId="77777777" w:rsidR="00E2099A" w:rsidRDefault="00000000">
            <w:pPr>
              <w:spacing w:before="100" w:after="100"/>
              <w:ind w:left="100" w:right="100"/>
              <w:jc w:val="right"/>
            </w:pPr>
            <w:r>
              <w:rPr>
                <w:rFonts w:ascii="Helvetica" w:eastAsia="Helvetica" w:hAnsi="Helvetica" w:cs="Helvetica"/>
                <w:color w:val="000000"/>
                <w:sz w:val="18"/>
                <w:szCs w:val="18"/>
              </w:rPr>
              <w:t>1,360</w:t>
            </w:r>
          </w:p>
        </w:tc>
        <w:tc>
          <w:tcPr>
            <w:tcW w:w="0" w:type="auto"/>
            <w:shd w:val="clear" w:color="auto" w:fill="FFFFFF"/>
            <w:tcMar>
              <w:top w:w="0" w:type="dxa"/>
              <w:left w:w="0" w:type="dxa"/>
              <w:bottom w:w="0" w:type="dxa"/>
              <w:right w:w="0" w:type="dxa"/>
            </w:tcMar>
            <w:vAlign w:val="center"/>
          </w:tcPr>
          <w:p w14:paraId="492DC3BC" w14:textId="77777777" w:rsidR="00E2099A" w:rsidRDefault="00000000">
            <w:pPr>
              <w:spacing w:before="100" w:after="100"/>
              <w:ind w:left="100" w:right="100"/>
              <w:jc w:val="right"/>
            </w:pPr>
            <w:r>
              <w:rPr>
                <w:rFonts w:ascii="Helvetica" w:eastAsia="Helvetica" w:hAnsi="Helvetica" w:cs="Helvetica"/>
                <w:color w:val="000000"/>
                <w:sz w:val="18"/>
                <w:szCs w:val="18"/>
              </w:rPr>
              <w:t>1,563</w:t>
            </w:r>
          </w:p>
        </w:tc>
      </w:tr>
      <w:tr w:rsidR="00E2099A" w14:paraId="035AC4D9"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4AA87A8D" w14:textId="77777777" w:rsidR="00E2099A" w:rsidRDefault="00000000">
            <w:pPr>
              <w:spacing w:before="100" w:after="100"/>
              <w:ind w:left="100" w:right="100"/>
            </w:pPr>
            <w:r>
              <w:rPr>
                <w:rFonts w:ascii="Helvetica" w:eastAsia="Helvetica" w:hAnsi="Helvetica" w:cs="Helvetica"/>
                <w:color w:val="000000"/>
                <w:sz w:val="18"/>
                <w:szCs w:val="18"/>
              </w:rPr>
              <w:t>Multifamily Average Floor Area for the County (ft&lt;sup&gt;2&lt;/sup&gt;)</w:t>
            </w:r>
          </w:p>
        </w:tc>
        <w:tc>
          <w:tcPr>
            <w:tcW w:w="0" w:type="auto"/>
            <w:tcBorders>
              <w:bottom w:val="single" w:sz="16" w:space="0" w:color="666666"/>
            </w:tcBorders>
            <w:shd w:val="clear" w:color="auto" w:fill="FFFFFF"/>
            <w:tcMar>
              <w:top w:w="0" w:type="dxa"/>
              <w:left w:w="0" w:type="dxa"/>
              <w:bottom w:w="0" w:type="dxa"/>
              <w:right w:w="0" w:type="dxa"/>
            </w:tcMar>
            <w:vAlign w:val="center"/>
          </w:tcPr>
          <w:p w14:paraId="3C724B6A" w14:textId="77777777" w:rsidR="00E2099A" w:rsidRDefault="00000000">
            <w:pPr>
              <w:spacing w:before="100" w:after="100"/>
              <w:ind w:left="100" w:right="100"/>
              <w:jc w:val="right"/>
            </w:pPr>
            <w:r>
              <w:rPr>
                <w:rFonts w:ascii="Helvetica" w:eastAsia="Helvetica" w:hAnsi="Helvetica" w:cs="Helvetica"/>
                <w:color w:val="000000"/>
                <w:sz w:val="18"/>
                <w:szCs w:val="18"/>
              </w:rPr>
              <w:t>1,132</w:t>
            </w:r>
          </w:p>
        </w:tc>
        <w:tc>
          <w:tcPr>
            <w:tcW w:w="0" w:type="auto"/>
            <w:tcBorders>
              <w:bottom w:val="single" w:sz="16" w:space="0" w:color="666666"/>
            </w:tcBorders>
            <w:shd w:val="clear" w:color="auto" w:fill="FFFFFF"/>
            <w:tcMar>
              <w:top w:w="0" w:type="dxa"/>
              <w:left w:w="0" w:type="dxa"/>
              <w:bottom w:w="0" w:type="dxa"/>
              <w:right w:w="0" w:type="dxa"/>
            </w:tcMar>
            <w:vAlign w:val="center"/>
          </w:tcPr>
          <w:p w14:paraId="07C3F355" w14:textId="77777777" w:rsidR="00E2099A" w:rsidRDefault="00000000">
            <w:pPr>
              <w:spacing w:before="100" w:after="100"/>
              <w:ind w:left="100" w:right="100"/>
              <w:jc w:val="right"/>
            </w:pPr>
            <w:r>
              <w:rPr>
                <w:rFonts w:ascii="Helvetica" w:eastAsia="Helvetica" w:hAnsi="Helvetica" w:cs="Helvetica"/>
                <w:color w:val="000000"/>
                <w:sz w:val="18"/>
                <w:szCs w:val="18"/>
              </w:rPr>
              <w:t>1,126</w:t>
            </w:r>
          </w:p>
        </w:tc>
      </w:tr>
    </w:tbl>
    <w:p w14:paraId="4C3E5874" w14:textId="77777777" w:rsidR="00E2099A" w:rsidRDefault="00000000">
      <w:pPr>
        <w:pStyle w:val="BodyText"/>
      </w:pPr>
      <w:r>
        <w:rPr>
          <w:i/>
          <w:iCs/>
        </w:rPr>
        <w:t xml:space="preserve">Figure 3.1 could be a static or interactive figure. However, there do appear to be some questions about the parameters/results? The biggest issue is that I can’t get the run_scenario_building() function to run without errors? Because I think(?) that is really the key function that we need to run here. It is a bit unclear to me why the table (above) is not coming from running that larger run_scenario_building function, but instead coming from the the calc_affordable_floor_area() function. The plot below is made with the calc_affordable_floor_area function. Other, smaller issues are: 1) The box above suggest that </w:t>
      </w:r>
      <w:r>
        <w:rPr>
          <w:i/>
          <w:iCs/>
        </w:rPr>
        <w:lastRenderedPageBreak/>
        <w:t>the floor area can be reduced by 15%, but running the equation produces an error where “Warning: Single family floor area growth cannot be greater than %5”. This is why you see only small floor area reductions in the figure. 2) It seems like the electricity/gas use is more influenced by year rather than reductions in floor area…for the purpose of the report, should this strategy be replaced with one that has a bigger impact on energy use? 3) It is unclear why the number of single family units decreases - the strategy description suggests that only floor area should decrease - is this a naming typo?</w:t>
      </w:r>
    </w:p>
    <w:p w14:paraId="0ED426A5" w14:textId="77777777" w:rsidR="00E2099A" w:rsidRDefault="00000000">
      <w:pPr>
        <w:pStyle w:val="CaptionedFigure"/>
      </w:pPr>
      <w:r>
        <w:rPr>
          <w:noProof/>
        </w:rPr>
        <w:drawing>
          <wp:inline distT="0" distB="0" distL="0" distR="0" wp14:anchorId="2F79F996" wp14:editId="7568BDA4">
            <wp:extent cx="6400800" cy="4800600"/>
            <wp:effectExtent l="0" t="0" r="0" b="0"/>
            <wp:docPr id="62" name="Picture" descr="Figure 3.1: Comparing output values between years 2018 and 2040 for different percentages of single family floor area reduced due to increased energy prices."/>
            <wp:cNvGraphicFramePr/>
            <a:graphic xmlns:a="http://schemas.openxmlformats.org/drawingml/2006/main">
              <a:graphicData uri="http://schemas.openxmlformats.org/drawingml/2006/picture">
                <pic:pic xmlns:pic="http://schemas.openxmlformats.org/drawingml/2006/picture">
                  <pic:nvPicPr>
                    <pic:cNvPr id="63" name="Picture" descr="/private/var/folders/b6/n168s8b14psghnl3gh43fyj1ctm4s3/T/RtmpPRVKni/preview-1334129cce645.dir/report_files/figure-docx/fig-affordable-floor-area-1.png"/>
                    <pic:cNvPicPr>
                      <a:picLocks noChangeAspect="1" noChangeArrowheads="1"/>
                    </pic:cNvPicPr>
                  </pic:nvPicPr>
                  <pic:blipFill>
                    <a:blip r:embed="rId18"/>
                    <a:stretch>
                      <a:fillRect/>
                    </a:stretch>
                  </pic:blipFill>
                  <pic:spPr bwMode="auto">
                    <a:xfrm>
                      <a:off x="0" y="0"/>
                      <a:ext cx="6400800" cy="4800600"/>
                    </a:xfrm>
                    <a:prstGeom prst="rect">
                      <a:avLst/>
                    </a:prstGeom>
                    <a:noFill/>
                    <a:ln w="9525">
                      <a:noFill/>
                      <a:headEnd/>
                      <a:tailEnd/>
                    </a:ln>
                  </pic:spPr>
                </pic:pic>
              </a:graphicData>
            </a:graphic>
          </wp:inline>
        </w:drawing>
      </w:r>
    </w:p>
    <w:p w14:paraId="7BDB4CDF" w14:textId="77777777" w:rsidR="00E2099A" w:rsidRDefault="00000000">
      <w:pPr>
        <w:pStyle w:val="ImageCaption"/>
      </w:pPr>
      <w:r>
        <w:t>Figure 3.1: Comparing output values between years 2018 and 2040 for different percentages of single family floor area reduced due to increased energy prices.</w:t>
      </w:r>
    </w:p>
    <w:p w14:paraId="27210B69" w14:textId="77777777" w:rsidR="00E2099A" w:rsidRDefault="00E2099A">
      <w:pPr>
        <w:pStyle w:val="BodyText"/>
      </w:pPr>
    </w:p>
    <w:p w14:paraId="39BF937C" w14:textId="77777777" w:rsidR="00E2099A" w:rsidRDefault="00000000">
      <w:pPr>
        <w:pStyle w:val="Heading4"/>
      </w:pPr>
      <w:bookmarkStart w:id="42" w:name="promote-new-homes-energy-efficiency"/>
      <w:bookmarkEnd w:id="40"/>
      <w:r>
        <w:t>3.1.1.3</w:t>
      </w:r>
      <w:r>
        <w:tab/>
        <w:t>Promote New Homes Energy Efficiency</w:t>
      </w:r>
    </w:p>
    <w:p w14:paraId="0589DBCF" w14:textId="77777777" w:rsidR="00E2099A" w:rsidRDefault="00000000">
      <w:pPr>
        <w:pStyle w:val="FirstParagraph"/>
      </w:pPr>
      <w:r>
        <w:rPr>
          <w:i/>
          <w:iCs/>
        </w:rPr>
        <w:t>LEED</w:t>
      </w:r>
      <w:r>
        <w:t xml:space="preserve"> (Leadership in Energy and Environmental Design) is a green building rating system that is used to evaluate the sustainability of buildings. Buildings that meet </w:t>
      </w:r>
      <w:r>
        <w:rPr>
          <w:i/>
          <w:iCs/>
        </w:rPr>
        <w:t>LEED</w:t>
      </w:r>
      <w:r>
        <w:t xml:space="preserve"> standards are designed and constructed to be energy efficient and to use fewer natural resources.</w:t>
      </w:r>
    </w:p>
    <w:p w14:paraId="14C24CEC" w14:textId="77777777" w:rsidR="00E2099A" w:rsidRDefault="00000000">
      <w:pPr>
        <w:pStyle w:val="BodyText"/>
      </w:pPr>
      <w:r>
        <w:t xml:space="preserve">The amount of energy savings that can be achieved through </w:t>
      </w:r>
      <w:r>
        <w:rPr>
          <w:i/>
          <w:iCs/>
        </w:rPr>
        <w:t>LEED</w:t>
      </w:r>
      <w:r>
        <w:t xml:space="preserve"> certifications will depend on the specific design and construction practices that are used, as well as the location and climate of the building. According to the </w:t>
      </w:r>
      <w:hyperlink r:id="rId19">
        <w:r>
          <w:rPr>
            <w:rStyle w:val="Hyperlink"/>
          </w:rPr>
          <w:t>U.S. Green Building Council</w:t>
        </w:r>
      </w:hyperlink>
      <w:r>
        <w:t xml:space="preserve">, buildings that are designed to meet </w:t>
      </w:r>
      <w:r>
        <w:rPr>
          <w:i/>
          <w:iCs/>
        </w:rPr>
        <w:t>LEED</w:t>
      </w:r>
      <w:r>
        <w:t xml:space="preserve"> Gold standards typically achieve energy savings of around 25% compared to conventional buildings.</w:t>
      </w:r>
    </w:p>
    <w:p w14:paraId="7D0DC077" w14:textId="77777777" w:rsidR="00E2099A" w:rsidRDefault="00000000">
      <w:pPr>
        <w:pStyle w:val="BodyText"/>
      </w:pPr>
      <w:r>
        <w:t xml:space="preserve">The Greenhouse Gas Scenario Planning Tool uses </w:t>
      </w:r>
      <w:r>
        <w:rPr>
          <w:i/>
          <w:iCs/>
        </w:rPr>
        <w:t>LEED Gold</w:t>
      </w:r>
      <w:r>
        <w:t xml:space="preserve"> for residential buildings as an example of how building standard could reduce energy use and therefore carbon emissions.</w:t>
      </w:r>
    </w:p>
    <w:p w14:paraId="139D810E" w14:textId="77777777" w:rsidR="00E2099A" w:rsidRDefault="00000000">
      <w:pPr>
        <w:pStyle w:val="BodyText"/>
      </w:pPr>
      <w:r>
        <w:rPr>
          <w:b/>
          <w:bCs/>
          <w:i/>
          <w:iCs/>
        </w:rPr>
        <w:lastRenderedPageBreak/>
        <w:t>About this strategy</w:t>
      </w:r>
      <w:r>
        <w:t xml:space="preserve"> Our main assumption is that cities can adjust the percentage of new homes achieving a standard like LEED. Cities can adopt strict building codes requiring new homes to achieve LEED Gold (or similar) standards. We assumed 50% of new homes (single and multifamily homes) to be LEED-Gold with both electricity and gas energy use intensity reduced 64%. Existing home: 80% reduced EUI by 33%.</w:t>
      </w:r>
    </w:p>
    <w:p w14:paraId="1C6CB840" w14:textId="77777777" w:rsidR="00E2099A" w:rsidRDefault="00000000">
      <w:pPr>
        <w:pStyle w:val="TableCaption"/>
      </w:pPr>
      <w:bookmarkStart w:id="43" w:name="tab-new-home-efficiency"/>
      <w:r>
        <w:rPr>
          <w:b/>
          <w:bCs/>
        </w:rPr>
        <w:t xml:space="preserve">Table 3.3: </w:t>
      </w:r>
      <w:bookmarkEnd w:id="43"/>
      <w:r>
        <w:t>New Home Efficiency Minneapolis 2040</w:t>
      </w:r>
    </w:p>
    <w:tbl>
      <w:tblPr>
        <w:tblW w:w="0" w:type="pct"/>
        <w:jc w:val="center"/>
        <w:tblLook w:val="0420" w:firstRow="1" w:lastRow="0" w:firstColumn="0" w:lastColumn="0" w:noHBand="0" w:noVBand="1"/>
      </w:tblPr>
      <w:tblGrid>
        <w:gridCol w:w="5263"/>
        <w:gridCol w:w="851"/>
      </w:tblGrid>
      <w:tr w:rsidR="00E2099A" w14:paraId="50E27327"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11E531A4" w14:textId="77777777" w:rsidR="00E2099A" w:rsidRDefault="00000000">
            <w:pPr>
              <w:spacing w:before="100" w:after="100"/>
              <w:ind w:left="100" w:right="100"/>
              <w:jc w:val="center"/>
            </w:pPr>
            <w:r>
              <w:rPr>
                <w:rFonts w:ascii="Helvetica" w:eastAsia="Helvetica" w:hAnsi="Helvetica" w:cs="Helvetica"/>
                <w:color w:val="000000"/>
                <w:sz w:val="18"/>
                <w:szCs w:val="18"/>
              </w:rPr>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20AE1182" w14:textId="77777777" w:rsidR="00E2099A" w:rsidRDefault="00000000">
            <w:pPr>
              <w:spacing w:before="100" w:after="100"/>
              <w:ind w:left="100" w:right="100"/>
              <w:jc w:val="center"/>
            </w:pPr>
            <w:r>
              <w:rPr>
                <w:rFonts w:ascii="Helvetica" w:eastAsia="Helvetica" w:hAnsi="Helvetica" w:cs="Helvetica"/>
                <w:color w:val="000000"/>
                <w:sz w:val="18"/>
                <w:szCs w:val="18"/>
              </w:rPr>
              <w:t>Value</w:t>
            </w:r>
          </w:p>
        </w:tc>
      </w:tr>
      <w:tr w:rsidR="00E2099A" w14:paraId="4FE7B595" w14:textId="77777777">
        <w:trPr>
          <w:cantSplit/>
          <w:jc w:val="center"/>
        </w:trPr>
        <w:tc>
          <w:tcPr>
            <w:tcW w:w="0" w:type="auto"/>
            <w:shd w:val="clear" w:color="auto" w:fill="FFFFFF"/>
            <w:tcMar>
              <w:top w:w="0" w:type="dxa"/>
              <w:left w:w="0" w:type="dxa"/>
              <w:bottom w:w="0" w:type="dxa"/>
              <w:right w:w="0" w:type="dxa"/>
            </w:tcMar>
            <w:vAlign w:val="center"/>
          </w:tcPr>
          <w:p w14:paraId="1A689196" w14:textId="77777777" w:rsidR="00E2099A" w:rsidRDefault="00000000">
            <w:pPr>
              <w:spacing w:before="100" w:after="100"/>
              <w:ind w:left="100" w:right="100"/>
            </w:pPr>
            <w:r>
              <w:rPr>
                <w:rFonts w:ascii="Helvetica" w:eastAsia="Helvetica" w:hAnsi="Helvetica" w:cs="Helvetica"/>
                <w:color w:val="000000"/>
                <w:sz w:val="18"/>
                <w:szCs w:val="18"/>
              </w:rPr>
              <w:t>Number of Single Family Units</w:t>
            </w:r>
          </w:p>
        </w:tc>
        <w:tc>
          <w:tcPr>
            <w:tcW w:w="0" w:type="auto"/>
            <w:shd w:val="clear" w:color="auto" w:fill="FFFFFF"/>
            <w:tcMar>
              <w:top w:w="0" w:type="dxa"/>
              <w:left w:w="0" w:type="dxa"/>
              <w:bottom w:w="0" w:type="dxa"/>
              <w:right w:w="0" w:type="dxa"/>
            </w:tcMar>
            <w:vAlign w:val="center"/>
          </w:tcPr>
          <w:p w14:paraId="38A5E8FB" w14:textId="77777777" w:rsidR="00E2099A" w:rsidRDefault="00000000">
            <w:pPr>
              <w:spacing w:before="100" w:after="100"/>
              <w:ind w:left="100" w:right="100"/>
              <w:jc w:val="right"/>
            </w:pPr>
            <w:r>
              <w:rPr>
                <w:rFonts w:ascii="Helvetica" w:eastAsia="Helvetica" w:hAnsi="Helvetica" w:cs="Helvetica"/>
                <w:color w:val="000000"/>
                <w:sz w:val="18"/>
                <w:szCs w:val="18"/>
              </w:rPr>
              <w:t>76,494</w:t>
            </w:r>
          </w:p>
        </w:tc>
      </w:tr>
      <w:tr w:rsidR="00E2099A" w14:paraId="0D532D2C" w14:textId="77777777">
        <w:trPr>
          <w:cantSplit/>
          <w:jc w:val="center"/>
        </w:trPr>
        <w:tc>
          <w:tcPr>
            <w:tcW w:w="0" w:type="auto"/>
            <w:shd w:val="clear" w:color="auto" w:fill="FFFFFF"/>
            <w:tcMar>
              <w:top w:w="0" w:type="dxa"/>
              <w:left w:w="0" w:type="dxa"/>
              <w:bottom w:w="0" w:type="dxa"/>
              <w:right w:w="0" w:type="dxa"/>
            </w:tcMar>
            <w:vAlign w:val="center"/>
          </w:tcPr>
          <w:p w14:paraId="072DEB26" w14:textId="77777777" w:rsidR="00E2099A" w:rsidRDefault="00000000">
            <w:pPr>
              <w:spacing w:before="100" w:after="100"/>
              <w:ind w:left="100" w:right="100"/>
            </w:pPr>
            <w:r>
              <w:rPr>
                <w:rFonts w:ascii="Helvetica" w:eastAsia="Helvetica" w:hAnsi="Helvetica" w:cs="Helvetica"/>
                <w:color w:val="000000"/>
                <w:sz w:val="18"/>
                <w:szCs w:val="18"/>
              </w:rPr>
              <w:t>Number of Multifamily Units</w:t>
            </w:r>
          </w:p>
        </w:tc>
        <w:tc>
          <w:tcPr>
            <w:tcW w:w="0" w:type="auto"/>
            <w:shd w:val="clear" w:color="auto" w:fill="FFFFFF"/>
            <w:tcMar>
              <w:top w:w="0" w:type="dxa"/>
              <w:left w:w="0" w:type="dxa"/>
              <w:bottom w:w="0" w:type="dxa"/>
              <w:right w:w="0" w:type="dxa"/>
            </w:tcMar>
            <w:vAlign w:val="center"/>
          </w:tcPr>
          <w:p w14:paraId="07A2D85D" w14:textId="77777777" w:rsidR="00E2099A" w:rsidRDefault="00000000">
            <w:pPr>
              <w:spacing w:before="100" w:after="100"/>
              <w:ind w:left="100" w:right="100"/>
              <w:jc w:val="right"/>
            </w:pPr>
            <w:r>
              <w:rPr>
                <w:rFonts w:ascii="Helvetica" w:eastAsia="Helvetica" w:hAnsi="Helvetica" w:cs="Helvetica"/>
                <w:color w:val="000000"/>
                <w:sz w:val="18"/>
                <w:szCs w:val="18"/>
              </w:rPr>
              <w:t>145,653</w:t>
            </w:r>
          </w:p>
        </w:tc>
      </w:tr>
      <w:tr w:rsidR="00E2099A" w14:paraId="3690FC5F" w14:textId="77777777">
        <w:trPr>
          <w:cantSplit/>
          <w:jc w:val="center"/>
        </w:trPr>
        <w:tc>
          <w:tcPr>
            <w:tcW w:w="0" w:type="auto"/>
            <w:shd w:val="clear" w:color="auto" w:fill="FFFFFF"/>
            <w:tcMar>
              <w:top w:w="0" w:type="dxa"/>
              <w:left w:w="0" w:type="dxa"/>
              <w:bottom w:w="0" w:type="dxa"/>
              <w:right w:w="0" w:type="dxa"/>
            </w:tcMar>
            <w:vAlign w:val="center"/>
          </w:tcPr>
          <w:p w14:paraId="4AF8AC1A" w14:textId="77777777" w:rsidR="00E2099A" w:rsidRDefault="00000000">
            <w:pPr>
              <w:spacing w:before="100" w:after="100"/>
              <w:ind w:left="100" w:right="100"/>
            </w:pPr>
            <w:r>
              <w:rPr>
                <w:rFonts w:ascii="Helvetica" w:eastAsia="Helvetica" w:hAnsi="Helvetica" w:cs="Helvetica"/>
                <w:color w:val="000000"/>
                <w:sz w:val="18"/>
                <w:szCs w:val="18"/>
              </w:rPr>
              <w:t>Multifamily Average Floor Area for the County (ft&lt;sup&gt;2&lt;/sup&gt;)</w:t>
            </w:r>
          </w:p>
        </w:tc>
        <w:tc>
          <w:tcPr>
            <w:tcW w:w="0" w:type="auto"/>
            <w:shd w:val="clear" w:color="auto" w:fill="FFFFFF"/>
            <w:tcMar>
              <w:top w:w="0" w:type="dxa"/>
              <w:left w:w="0" w:type="dxa"/>
              <w:bottom w:w="0" w:type="dxa"/>
              <w:right w:w="0" w:type="dxa"/>
            </w:tcMar>
            <w:vAlign w:val="center"/>
          </w:tcPr>
          <w:p w14:paraId="40EF4759" w14:textId="77777777" w:rsidR="00E2099A" w:rsidRDefault="00000000">
            <w:pPr>
              <w:spacing w:before="100" w:after="100"/>
              <w:ind w:left="100" w:right="100"/>
              <w:jc w:val="right"/>
            </w:pPr>
            <w:r>
              <w:rPr>
                <w:rFonts w:ascii="Helvetica" w:eastAsia="Helvetica" w:hAnsi="Helvetica" w:cs="Helvetica"/>
                <w:color w:val="000000"/>
                <w:sz w:val="18"/>
                <w:szCs w:val="18"/>
              </w:rPr>
              <w:t>1,126</w:t>
            </w:r>
          </w:p>
        </w:tc>
      </w:tr>
      <w:tr w:rsidR="00E2099A" w14:paraId="754586C7"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732E9696" w14:textId="77777777" w:rsidR="00E2099A" w:rsidRDefault="00000000">
            <w:pPr>
              <w:spacing w:before="100" w:after="100"/>
              <w:ind w:left="100" w:right="100"/>
            </w:pPr>
            <w:r>
              <w:rPr>
                <w:rFonts w:ascii="Helvetica" w:eastAsia="Helvetica" w:hAnsi="Helvetica" w:cs="Helvetica"/>
                <w:color w:val="000000"/>
                <w:sz w:val="18"/>
                <w:szCs w:val="18"/>
              </w:rPr>
              <w:t>Single Family Average Floor Area (ft&lt;sup&gt;2&lt;/sup&gt;)</w:t>
            </w:r>
          </w:p>
        </w:tc>
        <w:tc>
          <w:tcPr>
            <w:tcW w:w="0" w:type="auto"/>
            <w:tcBorders>
              <w:bottom w:val="single" w:sz="16" w:space="0" w:color="666666"/>
            </w:tcBorders>
            <w:shd w:val="clear" w:color="auto" w:fill="FFFFFF"/>
            <w:tcMar>
              <w:top w:w="0" w:type="dxa"/>
              <w:left w:w="0" w:type="dxa"/>
              <w:bottom w:w="0" w:type="dxa"/>
              <w:right w:w="0" w:type="dxa"/>
            </w:tcMar>
            <w:vAlign w:val="center"/>
          </w:tcPr>
          <w:p w14:paraId="5D53DCAB" w14:textId="77777777" w:rsidR="00E2099A" w:rsidRDefault="00000000">
            <w:pPr>
              <w:spacing w:before="100" w:after="100"/>
              <w:ind w:left="100" w:right="100"/>
              <w:jc w:val="right"/>
            </w:pPr>
            <w:r>
              <w:rPr>
                <w:rFonts w:ascii="Helvetica" w:eastAsia="Helvetica" w:hAnsi="Helvetica" w:cs="Helvetica"/>
                <w:color w:val="000000"/>
                <w:sz w:val="18"/>
                <w:szCs w:val="18"/>
              </w:rPr>
              <w:t>1,360</w:t>
            </w:r>
          </w:p>
        </w:tc>
      </w:tr>
    </w:tbl>
    <w:p w14:paraId="07506766" w14:textId="77777777" w:rsidR="00E2099A" w:rsidRDefault="00E2099A">
      <w:pPr>
        <w:pStyle w:val="BodyText"/>
      </w:pPr>
    </w:p>
    <w:p w14:paraId="329B6522" w14:textId="77777777" w:rsidR="00E2099A" w:rsidRDefault="00000000">
      <w:pPr>
        <w:pStyle w:val="BodyText"/>
      </w:pPr>
      <m:oMathPara>
        <m:oMathParaPr>
          <m:jc m:val="center"/>
        </m:oMathParaPr>
        <m:oMath>
          <m:r>
            <w:rPr>
              <w:rFonts w:ascii="Cambria Math" w:hAnsi="Cambria Math"/>
            </w:rPr>
            <m:t>sqf</m:t>
          </m:r>
          <m:sSubSup>
            <m:sSubSupPr>
              <m:ctrlPr>
                <w:rPr>
                  <w:rFonts w:ascii="Cambria Math" w:hAnsi="Cambria Math"/>
                </w:rPr>
              </m:ctrlPr>
            </m:sSubSupPr>
            <m:e>
              <m:r>
                <w:rPr>
                  <w:rFonts w:ascii="Cambria Math" w:hAnsi="Cambria Math"/>
                </w:rPr>
                <m:t>t</m:t>
              </m:r>
            </m:e>
            <m:sub>
              <m:r>
                <w:rPr>
                  <w:rFonts w:ascii="Cambria Math" w:hAnsi="Cambria Math"/>
                </w:rPr>
                <m:t>2040</m:t>
              </m:r>
            </m:sub>
            <m:sup>
              <m:r>
                <w:rPr>
                  <w:rFonts w:ascii="Cambria Math" w:hAnsi="Cambria Math"/>
                </w:rPr>
                <m:t>sf</m:t>
              </m:r>
            </m:sup>
          </m:sSubSup>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2040</m:t>
                  </m:r>
                </m:sub>
                <m:sup>
                  <m:r>
                    <w:rPr>
                      <w:rFonts w:ascii="Cambria Math" w:hAnsi="Cambria Math"/>
                    </w:rPr>
                    <m:t>sf</m:t>
                  </m:r>
                </m:sup>
              </m:sSubSup>
              <m:r>
                <m:rPr>
                  <m:sty m:val="p"/>
                </m:rPr>
                <w:rPr>
                  <w:rFonts w:ascii="Cambria Math" w:hAnsi="Cambria Math"/>
                </w:rPr>
                <m:t>-</m:t>
              </m:r>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2018</m:t>
                  </m:r>
                </m:sub>
                <m:sup>
                  <m:r>
                    <w:rPr>
                      <w:rFonts w:ascii="Cambria Math" w:hAnsi="Cambria Math"/>
                    </w:rPr>
                    <m:t>sf</m:t>
                  </m:r>
                </m:sup>
              </m:sSubSup>
            </m:e>
          </m:d>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sqft</m:t>
                  </m:r>
                </m:e>
              </m:acc>
            </m:e>
            <m:sub>
              <m:r>
                <w:rPr>
                  <w:rFonts w:ascii="Cambria Math" w:hAnsi="Cambria Math"/>
                </w:rPr>
                <m:t>2040</m:t>
              </m:r>
            </m:sub>
            <m:sup>
              <m:r>
                <w:rPr>
                  <w:rFonts w:ascii="Cambria Math" w:hAnsi="Cambria Math"/>
                </w:rPr>
                <m:t>sf</m:t>
              </m:r>
            </m:sup>
          </m:sSubSup>
          <m:r>
            <m:rPr>
              <m:sty m:val="p"/>
            </m:rPr>
            <w:rPr>
              <w:rFonts w:ascii="Cambria Math" w:hAnsi="Cambria Math"/>
            </w:rPr>
            <m:t>)*</m:t>
          </m:r>
          <m:r>
            <w:rPr>
              <w:rFonts w:ascii="Cambria Math" w:hAnsi="Cambria Math"/>
            </w:rPr>
            <m:t>0.64</m:t>
          </m:r>
          <m:r>
            <m:rPr>
              <m:nor/>
            </m:rPr>
            <m:t xml:space="preserve">, where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m:oMathPara>
    </w:p>
    <w:p w14:paraId="0E83A238" w14:textId="77777777" w:rsidR="00E2099A" w:rsidRDefault="00000000">
      <w:pPr>
        <w:pStyle w:val="Compact"/>
        <w:numPr>
          <w:ilvl w:val="0"/>
          <w:numId w:val="9"/>
        </w:numPr>
      </w:pPr>
      <m:oMath>
        <m:r>
          <w:rPr>
            <w:rFonts w:ascii="Cambria Math" w:hAnsi="Cambria Math"/>
          </w:rPr>
          <m:t>X</m:t>
        </m:r>
      </m:oMath>
      <w:r>
        <w:t>: The percentage of new homes that are LEED Gold.</w:t>
      </w:r>
    </w:p>
    <w:p w14:paraId="6AF30227" w14:textId="77777777" w:rsidR="00E2099A" w:rsidRDefault="00000000">
      <w:pPr>
        <w:pStyle w:val="Compact"/>
        <w:numPr>
          <w:ilvl w:val="0"/>
          <w:numId w:val="9"/>
        </w:numPr>
      </w:pPr>
      <m:oMath>
        <m:r>
          <w:rPr>
            <w:rFonts w:ascii="Cambria Math" w:hAnsi="Cambria Math"/>
          </w:rPr>
          <m:t>sqf</m:t>
        </m:r>
        <m:sSubSup>
          <m:sSubSupPr>
            <m:ctrlPr>
              <w:rPr>
                <w:rFonts w:ascii="Cambria Math" w:hAnsi="Cambria Math"/>
              </w:rPr>
            </m:ctrlPr>
          </m:sSubSupPr>
          <m:e>
            <m:r>
              <w:rPr>
                <w:rFonts w:ascii="Cambria Math" w:hAnsi="Cambria Math"/>
              </w:rPr>
              <m:t>t</m:t>
            </m:r>
          </m:e>
          <m:sub>
            <m:r>
              <w:rPr>
                <w:rFonts w:ascii="Cambria Math" w:hAnsi="Cambria Math"/>
              </w:rPr>
              <m:t>2040</m:t>
            </m:r>
          </m:sub>
          <m:sup>
            <m:r>
              <w:rPr>
                <w:rFonts w:ascii="Cambria Math" w:hAnsi="Cambria Math"/>
              </w:rPr>
              <m:t>sf</m:t>
            </m:r>
          </m:sup>
        </m:sSubSup>
      </m:oMath>
      <w:r>
        <w:t>: The total floor area of single-family homes in the community in 2040.</w:t>
      </w:r>
    </w:p>
    <w:p w14:paraId="07A67AC6" w14:textId="77777777" w:rsidR="00E2099A" w:rsidRDefault="00000000">
      <w:pPr>
        <w:pStyle w:val="Compact"/>
        <w:numPr>
          <w:ilvl w:val="0"/>
          <w:numId w:val="9"/>
        </w:numPr>
      </w:pPr>
      <m:oMath>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2040</m:t>
            </m:r>
          </m:sub>
          <m:sup>
            <m:r>
              <w:rPr>
                <w:rFonts w:ascii="Cambria Math" w:hAnsi="Cambria Math"/>
              </w:rPr>
              <m:t>sf</m:t>
            </m:r>
          </m:sup>
        </m:sSubSup>
      </m:oMath>
      <w:r>
        <w:t>: The number of single-family housing units in the community in 2040.</w:t>
      </w:r>
    </w:p>
    <w:p w14:paraId="18C0A0ED" w14:textId="77777777" w:rsidR="00E2099A" w:rsidRDefault="00000000">
      <w:pPr>
        <w:pStyle w:val="Compact"/>
        <w:numPr>
          <w:ilvl w:val="0"/>
          <w:numId w:val="9"/>
        </w:numPr>
      </w:pPr>
      <m:oMath>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2018</m:t>
            </m:r>
          </m:sub>
          <m:sup>
            <m:r>
              <w:rPr>
                <w:rFonts w:ascii="Cambria Math" w:hAnsi="Cambria Math"/>
              </w:rPr>
              <m:t>sf</m:t>
            </m:r>
          </m:sup>
        </m:sSubSup>
      </m:oMath>
      <w:r>
        <w:t>: The number of single-family housing units in the community in 2018.</w:t>
      </w:r>
    </w:p>
    <w:p w14:paraId="30EA50E8" w14:textId="77777777" w:rsidR="00E2099A" w:rsidRDefault="00000000">
      <w:pPr>
        <w:pStyle w:val="Compact"/>
        <w:numPr>
          <w:ilvl w:val="0"/>
          <w:numId w:val="9"/>
        </w:numP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sqft</m:t>
                </m:r>
              </m:e>
            </m:acc>
          </m:e>
          <m:sub>
            <m:r>
              <w:rPr>
                <w:rFonts w:ascii="Cambria Math" w:hAnsi="Cambria Math"/>
              </w:rPr>
              <m:t>2040</m:t>
            </m:r>
          </m:sub>
          <m:sup>
            <m:r>
              <w:rPr>
                <w:rFonts w:ascii="Cambria Math" w:hAnsi="Cambria Math"/>
              </w:rPr>
              <m:t>sf</m:t>
            </m:r>
          </m:sup>
        </m:sSubSup>
      </m:oMath>
      <w:r>
        <w:t>: The average floor area of single-family homes in the community in 2040.</w:t>
      </w:r>
    </w:p>
    <w:p w14:paraId="282E9F96" w14:textId="77777777" w:rsidR="00E2099A" w:rsidRDefault="00000000">
      <w:pPr>
        <w:pStyle w:val="Compact"/>
        <w:numPr>
          <w:ilvl w:val="0"/>
          <w:numId w:val="9"/>
        </w:numPr>
      </w:pPr>
      <m:oMath>
        <m:r>
          <w:rPr>
            <w:rFonts w:ascii="Cambria Math" w:hAnsi="Cambria Math"/>
          </w:rPr>
          <m:t>0.64</m:t>
        </m:r>
      </m:oMath>
      <w:r>
        <w:t>: This factor represents the reduction in energy use intensity due to highly-efficient LEED Gold construction.</w:t>
      </w:r>
    </w:p>
    <w:p w14:paraId="1FAD0606" w14:textId="77777777" w:rsidR="00E2099A" w:rsidRDefault="00000000">
      <w:pPr>
        <w:pStyle w:val="FirstParagraph"/>
      </w:pPr>
      <w:r>
        <w:rPr>
          <w:i/>
          <w:iCs/>
        </w:rPr>
        <w:t>Figure 3.2 could be a static or interactive figure. Same questions/issues as above; the main one being is that the larger run_scenario_building() function has errors and isn’t running right now.</w:t>
      </w:r>
    </w:p>
    <w:p w14:paraId="4BCCE76D" w14:textId="77777777" w:rsidR="00E2099A" w:rsidRDefault="00000000">
      <w:pPr>
        <w:pStyle w:val="CaptionedFigure"/>
      </w:pPr>
      <w:r>
        <w:rPr>
          <w:noProof/>
        </w:rPr>
        <w:lastRenderedPageBreak/>
        <w:drawing>
          <wp:inline distT="0" distB="0" distL="0" distR="0" wp14:anchorId="4E4027BA" wp14:editId="0E40DAD2">
            <wp:extent cx="6400800" cy="4800600"/>
            <wp:effectExtent l="0" t="0" r="0" b="0"/>
            <wp:docPr id="67" name="Picture" descr="Figure 3.2: Comparing output values between years 2018 and 2040 for different percentages of new single family homes built according to LEED Gold standards."/>
            <wp:cNvGraphicFramePr/>
            <a:graphic xmlns:a="http://schemas.openxmlformats.org/drawingml/2006/main">
              <a:graphicData uri="http://schemas.openxmlformats.org/drawingml/2006/picture">
                <pic:pic xmlns:pic="http://schemas.openxmlformats.org/drawingml/2006/picture">
                  <pic:nvPicPr>
                    <pic:cNvPr id="68" name="Picture" descr="/private/var/folders/b6/n168s8b14psghnl3gh43fyj1ctm4s3/T/RtmpPRVKni/preview-1334129cce645.dir/report_files/figure-docx/fig-new-leed-homes-1.png"/>
                    <pic:cNvPicPr>
                      <a:picLocks noChangeAspect="1" noChangeArrowheads="1"/>
                    </pic:cNvPicPr>
                  </pic:nvPicPr>
                  <pic:blipFill>
                    <a:blip r:embed="rId20"/>
                    <a:stretch>
                      <a:fillRect/>
                    </a:stretch>
                  </pic:blipFill>
                  <pic:spPr bwMode="auto">
                    <a:xfrm>
                      <a:off x="0" y="0"/>
                      <a:ext cx="6400800" cy="4800600"/>
                    </a:xfrm>
                    <a:prstGeom prst="rect">
                      <a:avLst/>
                    </a:prstGeom>
                    <a:noFill/>
                    <a:ln w="9525">
                      <a:noFill/>
                      <a:headEnd/>
                      <a:tailEnd/>
                    </a:ln>
                  </pic:spPr>
                </pic:pic>
              </a:graphicData>
            </a:graphic>
          </wp:inline>
        </w:drawing>
      </w:r>
    </w:p>
    <w:p w14:paraId="0ED712DF" w14:textId="77777777" w:rsidR="00E2099A" w:rsidRDefault="00000000">
      <w:pPr>
        <w:pStyle w:val="ImageCaption"/>
      </w:pPr>
      <w:r>
        <w:t>Figure 3.2: Comparing output values between years 2018 and 2040 for different percentages of new single family homes built according to LEED Gold standards.</w:t>
      </w:r>
    </w:p>
    <w:p w14:paraId="6BFBB96B" w14:textId="77777777" w:rsidR="00E2099A" w:rsidRDefault="00000000">
      <w:pPr>
        <w:pStyle w:val="Heading4"/>
      </w:pPr>
      <w:bookmarkStart w:id="44" w:name="X6aef91cb0bba982ccd90003867781ea8d8048a8"/>
      <w:bookmarkEnd w:id="42"/>
      <w:r>
        <w:t>3.1.1.4</w:t>
      </w:r>
      <w:r>
        <w:tab/>
        <w:t>Increase Existing Homes Energy Efficiency</w:t>
      </w:r>
    </w:p>
    <w:p w14:paraId="330537DB" w14:textId="77777777" w:rsidR="00E2099A" w:rsidRDefault="00000000">
      <w:pPr>
        <w:pStyle w:val="FirstParagraph"/>
      </w:pPr>
      <w:r>
        <w:t>There are multiple ways in which a city, like Minneapolis, can promote the retrofit of existing homes to gain energy efficiency. Some examples include:</w:t>
      </w:r>
    </w:p>
    <w:p w14:paraId="6A3C9B4E" w14:textId="77777777" w:rsidR="00E2099A" w:rsidRDefault="00000000">
      <w:pPr>
        <w:numPr>
          <w:ilvl w:val="0"/>
          <w:numId w:val="10"/>
        </w:numPr>
      </w:pPr>
      <w:r>
        <w:rPr>
          <w:b/>
          <w:bCs/>
          <w:i/>
          <w:iCs/>
        </w:rPr>
        <w:t>Develop education and outreach programs</w:t>
      </w:r>
      <w:r>
        <w:t xml:space="preserve">**** Cities can develop education and outreach programs to inform homeowners about the benefits of energy-efficient home retrofits and how to access available resources and incentives. According to the Center for Energy and Environment (CEEE) </w:t>
      </w:r>
      <w:hyperlink r:id="rId21">
        <w:r>
          <w:rPr>
            <w:rStyle w:val="Hyperlink"/>
          </w:rPr>
          <w:t>the Energy Disclosure Program</w:t>
        </w:r>
      </w:hyperlink>
      <w:r>
        <w:t xml:space="preserve"> in Minneapolis aims to increase consumer awareness of energy performance in single-family homes in order to encourage the adoption of energy efficiency improvements. The program has been in place since January 2020 and is a part of the city’s Truth in Sale of Housing (TISH) pre-sale inspection process. It involves gathering data on key energy efficiency attributes such as insulation and heating equipment, and communicating the results to home sellers and buyers in an Energy Disclosure Report. The program is being implemented in partnership with the Center for Energy and Environment and CenterPoint Energy, and this report summarizes findings from the first 30 months of programming.</w:t>
      </w:r>
    </w:p>
    <w:p w14:paraId="321EFBDE" w14:textId="77777777" w:rsidR="00E2099A" w:rsidRDefault="00000000">
      <w:pPr>
        <w:numPr>
          <w:ilvl w:val="0"/>
          <w:numId w:val="10"/>
        </w:numPr>
      </w:pPr>
      <w:r>
        <w:rPr>
          <w:b/>
          <w:bCs/>
          <w:i/>
          <w:iCs/>
        </w:rPr>
        <w:t>Offer financial incentives</w:t>
      </w:r>
      <w:r>
        <w:t xml:space="preserve"> Cities can offer financial incentives, such as rebates or low-interest loans, to encourage homeowners to invest in energy-efficient home retrofits. The City of Minneapolis, offers incentives and </w:t>
      </w:r>
      <w:hyperlink r:id="rId22">
        <w:r>
          <w:rPr>
            <w:rStyle w:val="Hyperlink"/>
          </w:rPr>
          <w:t>rebates for homeowners</w:t>
        </w:r>
      </w:hyperlink>
      <w:r>
        <w:t xml:space="preserve"> for replacing less efficient equipment.</w:t>
      </w:r>
    </w:p>
    <w:p w14:paraId="69B14924" w14:textId="77777777" w:rsidR="00E2099A" w:rsidRDefault="00000000">
      <w:pPr>
        <w:numPr>
          <w:ilvl w:val="0"/>
          <w:numId w:val="10"/>
        </w:numPr>
      </w:pPr>
      <w:r>
        <w:rPr>
          <w:b/>
          <w:bCs/>
          <w:i/>
          <w:iCs/>
        </w:rPr>
        <w:lastRenderedPageBreak/>
        <w:t>Establish building codes and regulations</w:t>
      </w:r>
      <w:r>
        <w:t>**** Cities can establish building codes and regulations that require or encourage energy-efficient retrofits in new construction and renovations.</w:t>
      </w:r>
    </w:p>
    <w:p w14:paraId="514FCD95" w14:textId="77777777" w:rsidR="00E2099A" w:rsidRDefault="00000000">
      <w:pPr>
        <w:numPr>
          <w:ilvl w:val="0"/>
          <w:numId w:val="10"/>
        </w:numPr>
      </w:pPr>
      <w:r>
        <w:rPr>
          <w:b/>
          <w:bCs/>
          <w:i/>
          <w:iCs/>
        </w:rPr>
        <w:t>Implement energy audits</w:t>
      </w:r>
      <w:r>
        <w:t>**** Minneapolis residents might be eligible for program such as the Home Energy Squads which free visits by energy auditors to income qualifying households. Cities can offer energy audits to help homeowners identify areas where their homes are losing energy and recommend cost-effective retrofits.</w:t>
      </w:r>
    </w:p>
    <w:p w14:paraId="7D8EAF5B" w14:textId="77777777" w:rsidR="00E2099A" w:rsidRDefault="00000000">
      <w:pPr>
        <w:numPr>
          <w:ilvl w:val="0"/>
          <w:numId w:val="10"/>
        </w:numPr>
      </w:pPr>
      <w:r>
        <w:rPr>
          <w:b/>
          <w:bCs/>
          <w:i/>
          <w:iCs/>
        </w:rPr>
        <w:t>Partner with local organizations</w:t>
      </w:r>
      <w:r>
        <w:t>**** Cities can partner with local organizations, such as non-profits or utility companies, to offer resources and assistance to homeowners interested in energy-efficient retrofits.</w:t>
      </w:r>
    </w:p>
    <w:p w14:paraId="65EA3B47" w14:textId="77777777" w:rsidR="00E2099A" w:rsidRDefault="00000000">
      <w:pPr>
        <w:pStyle w:val="FirstParagraph"/>
      </w:pPr>
      <w:r>
        <w:rPr>
          <w:b/>
          <w:bCs/>
          <w:i/>
          <w:iCs/>
        </w:rPr>
        <w:t>About this strategy</w:t>
      </w:r>
      <w:r>
        <w:t xml:space="preserve"> Cities can retrofit existing homes to be energy efficient. We assume 80% of existing homes with energy use intensity reduced by 33%. Cities can adjust the percentage of existing homes to be retrofitted.</w:t>
      </w:r>
    </w:p>
    <w:p w14:paraId="65F1117F" w14:textId="77777777" w:rsidR="00E2099A" w:rsidRDefault="00000000">
      <w:pPr>
        <w:pStyle w:val="TableCaption"/>
      </w:pPr>
      <w:bookmarkStart w:id="45" w:name="tab-existing-home-efficiency"/>
      <w:r>
        <w:rPr>
          <w:b/>
          <w:bCs/>
        </w:rPr>
        <w:t xml:space="preserve">Table 3.4: </w:t>
      </w:r>
      <w:bookmarkEnd w:id="45"/>
      <w:r>
        <w:t>Existing Home Efficiency Minneapolis 2040</w:t>
      </w:r>
    </w:p>
    <w:tbl>
      <w:tblPr>
        <w:tblW w:w="0" w:type="pct"/>
        <w:jc w:val="center"/>
        <w:tblLook w:val="0420" w:firstRow="1" w:lastRow="0" w:firstColumn="0" w:lastColumn="0" w:noHBand="0" w:noVBand="1"/>
      </w:tblPr>
      <w:tblGrid>
        <w:gridCol w:w="5263"/>
        <w:gridCol w:w="851"/>
      </w:tblGrid>
      <w:tr w:rsidR="00E2099A" w14:paraId="04F08E9B"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C3914E5" w14:textId="77777777" w:rsidR="00E2099A" w:rsidRDefault="00000000">
            <w:pPr>
              <w:spacing w:before="100" w:after="100"/>
              <w:ind w:left="100" w:right="100"/>
              <w:jc w:val="center"/>
            </w:pPr>
            <w:r>
              <w:rPr>
                <w:rFonts w:ascii="Helvetica" w:eastAsia="Helvetica" w:hAnsi="Helvetica" w:cs="Helvetica"/>
                <w:color w:val="000000"/>
                <w:sz w:val="18"/>
                <w:szCs w:val="18"/>
              </w:rPr>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4E37446" w14:textId="77777777" w:rsidR="00E2099A" w:rsidRDefault="00000000">
            <w:pPr>
              <w:spacing w:before="100" w:after="100"/>
              <w:ind w:left="100" w:right="100"/>
              <w:jc w:val="center"/>
            </w:pPr>
            <w:r>
              <w:rPr>
                <w:rFonts w:ascii="Helvetica" w:eastAsia="Helvetica" w:hAnsi="Helvetica" w:cs="Helvetica"/>
                <w:color w:val="000000"/>
                <w:sz w:val="18"/>
                <w:szCs w:val="18"/>
              </w:rPr>
              <w:t>Value</w:t>
            </w:r>
          </w:p>
        </w:tc>
      </w:tr>
      <w:tr w:rsidR="00E2099A" w14:paraId="77F56042" w14:textId="77777777">
        <w:trPr>
          <w:cantSplit/>
          <w:jc w:val="center"/>
        </w:trPr>
        <w:tc>
          <w:tcPr>
            <w:tcW w:w="0" w:type="auto"/>
            <w:shd w:val="clear" w:color="auto" w:fill="FFFFFF"/>
            <w:tcMar>
              <w:top w:w="0" w:type="dxa"/>
              <w:left w:w="0" w:type="dxa"/>
              <w:bottom w:w="0" w:type="dxa"/>
              <w:right w:w="0" w:type="dxa"/>
            </w:tcMar>
            <w:vAlign w:val="center"/>
          </w:tcPr>
          <w:p w14:paraId="1B9B7660" w14:textId="77777777" w:rsidR="00E2099A" w:rsidRDefault="00000000">
            <w:pPr>
              <w:spacing w:before="100" w:after="100"/>
              <w:ind w:left="100" w:right="100"/>
            </w:pPr>
            <w:r>
              <w:rPr>
                <w:rFonts w:ascii="Helvetica" w:eastAsia="Helvetica" w:hAnsi="Helvetica" w:cs="Helvetica"/>
                <w:color w:val="000000"/>
                <w:sz w:val="18"/>
                <w:szCs w:val="18"/>
              </w:rPr>
              <w:t>Number of Single Family Units</w:t>
            </w:r>
          </w:p>
        </w:tc>
        <w:tc>
          <w:tcPr>
            <w:tcW w:w="0" w:type="auto"/>
            <w:shd w:val="clear" w:color="auto" w:fill="FFFFFF"/>
            <w:tcMar>
              <w:top w:w="0" w:type="dxa"/>
              <w:left w:w="0" w:type="dxa"/>
              <w:bottom w:w="0" w:type="dxa"/>
              <w:right w:w="0" w:type="dxa"/>
            </w:tcMar>
            <w:vAlign w:val="center"/>
          </w:tcPr>
          <w:p w14:paraId="3618FED7" w14:textId="77777777" w:rsidR="00E2099A" w:rsidRDefault="00000000">
            <w:pPr>
              <w:spacing w:before="100" w:after="100"/>
              <w:ind w:left="100" w:right="100"/>
              <w:jc w:val="right"/>
            </w:pPr>
            <w:r>
              <w:rPr>
                <w:rFonts w:ascii="Helvetica" w:eastAsia="Helvetica" w:hAnsi="Helvetica" w:cs="Helvetica"/>
                <w:color w:val="000000"/>
                <w:sz w:val="18"/>
                <w:szCs w:val="18"/>
              </w:rPr>
              <w:t>76,494</w:t>
            </w:r>
          </w:p>
        </w:tc>
      </w:tr>
      <w:tr w:rsidR="00E2099A" w14:paraId="1D3CA9B5" w14:textId="77777777">
        <w:trPr>
          <w:cantSplit/>
          <w:jc w:val="center"/>
        </w:trPr>
        <w:tc>
          <w:tcPr>
            <w:tcW w:w="0" w:type="auto"/>
            <w:shd w:val="clear" w:color="auto" w:fill="FFFFFF"/>
            <w:tcMar>
              <w:top w:w="0" w:type="dxa"/>
              <w:left w:w="0" w:type="dxa"/>
              <w:bottom w:w="0" w:type="dxa"/>
              <w:right w:w="0" w:type="dxa"/>
            </w:tcMar>
            <w:vAlign w:val="center"/>
          </w:tcPr>
          <w:p w14:paraId="1B7AC23C" w14:textId="77777777" w:rsidR="00E2099A" w:rsidRDefault="00000000">
            <w:pPr>
              <w:spacing w:before="100" w:after="100"/>
              <w:ind w:left="100" w:right="100"/>
            </w:pPr>
            <w:r>
              <w:rPr>
                <w:rFonts w:ascii="Helvetica" w:eastAsia="Helvetica" w:hAnsi="Helvetica" w:cs="Helvetica"/>
                <w:color w:val="000000"/>
                <w:sz w:val="18"/>
                <w:szCs w:val="18"/>
              </w:rPr>
              <w:t>Number of Multifamily Units</w:t>
            </w:r>
          </w:p>
        </w:tc>
        <w:tc>
          <w:tcPr>
            <w:tcW w:w="0" w:type="auto"/>
            <w:shd w:val="clear" w:color="auto" w:fill="FFFFFF"/>
            <w:tcMar>
              <w:top w:w="0" w:type="dxa"/>
              <w:left w:w="0" w:type="dxa"/>
              <w:bottom w:w="0" w:type="dxa"/>
              <w:right w:w="0" w:type="dxa"/>
            </w:tcMar>
            <w:vAlign w:val="center"/>
          </w:tcPr>
          <w:p w14:paraId="4F7A2DD2" w14:textId="77777777" w:rsidR="00E2099A" w:rsidRDefault="00000000">
            <w:pPr>
              <w:spacing w:before="100" w:after="100"/>
              <w:ind w:left="100" w:right="100"/>
              <w:jc w:val="right"/>
            </w:pPr>
            <w:r>
              <w:rPr>
                <w:rFonts w:ascii="Helvetica" w:eastAsia="Helvetica" w:hAnsi="Helvetica" w:cs="Helvetica"/>
                <w:color w:val="000000"/>
                <w:sz w:val="18"/>
                <w:szCs w:val="18"/>
              </w:rPr>
              <w:t>145,653</w:t>
            </w:r>
          </w:p>
        </w:tc>
      </w:tr>
      <w:tr w:rsidR="00E2099A" w14:paraId="27976765" w14:textId="77777777">
        <w:trPr>
          <w:cantSplit/>
          <w:jc w:val="center"/>
        </w:trPr>
        <w:tc>
          <w:tcPr>
            <w:tcW w:w="0" w:type="auto"/>
            <w:shd w:val="clear" w:color="auto" w:fill="FFFFFF"/>
            <w:tcMar>
              <w:top w:w="0" w:type="dxa"/>
              <w:left w:w="0" w:type="dxa"/>
              <w:bottom w:w="0" w:type="dxa"/>
              <w:right w:w="0" w:type="dxa"/>
            </w:tcMar>
            <w:vAlign w:val="center"/>
          </w:tcPr>
          <w:p w14:paraId="3B47451E" w14:textId="77777777" w:rsidR="00E2099A" w:rsidRDefault="00000000">
            <w:pPr>
              <w:spacing w:before="100" w:after="100"/>
              <w:ind w:left="100" w:right="100"/>
            </w:pPr>
            <w:r>
              <w:rPr>
                <w:rFonts w:ascii="Helvetica" w:eastAsia="Helvetica" w:hAnsi="Helvetica" w:cs="Helvetica"/>
                <w:color w:val="000000"/>
                <w:sz w:val="18"/>
                <w:szCs w:val="18"/>
              </w:rPr>
              <w:t>Single Family Average Floor Area (ft&lt;sup&gt;2&lt;/sup&gt;)</w:t>
            </w:r>
          </w:p>
        </w:tc>
        <w:tc>
          <w:tcPr>
            <w:tcW w:w="0" w:type="auto"/>
            <w:shd w:val="clear" w:color="auto" w:fill="FFFFFF"/>
            <w:tcMar>
              <w:top w:w="0" w:type="dxa"/>
              <w:left w:w="0" w:type="dxa"/>
              <w:bottom w:w="0" w:type="dxa"/>
              <w:right w:w="0" w:type="dxa"/>
            </w:tcMar>
            <w:vAlign w:val="center"/>
          </w:tcPr>
          <w:p w14:paraId="38336ADD" w14:textId="77777777" w:rsidR="00E2099A" w:rsidRDefault="00000000">
            <w:pPr>
              <w:spacing w:before="100" w:after="100"/>
              <w:ind w:left="100" w:right="100"/>
              <w:jc w:val="right"/>
            </w:pPr>
            <w:r>
              <w:rPr>
                <w:rFonts w:ascii="Helvetica" w:eastAsia="Helvetica" w:hAnsi="Helvetica" w:cs="Helvetica"/>
                <w:color w:val="000000"/>
                <w:sz w:val="18"/>
                <w:szCs w:val="18"/>
              </w:rPr>
              <w:t>941</w:t>
            </w:r>
          </w:p>
        </w:tc>
      </w:tr>
      <w:tr w:rsidR="00E2099A" w14:paraId="63654B9B"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76664FA0" w14:textId="77777777" w:rsidR="00E2099A" w:rsidRDefault="00000000">
            <w:pPr>
              <w:spacing w:before="100" w:after="100"/>
              <w:ind w:left="100" w:right="100"/>
            </w:pPr>
            <w:r>
              <w:rPr>
                <w:rFonts w:ascii="Helvetica" w:eastAsia="Helvetica" w:hAnsi="Helvetica" w:cs="Helvetica"/>
                <w:color w:val="000000"/>
                <w:sz w:val="18"/>
                <w:szCs w:val="18"/>
              </w:rPr>
              <w:t>Multifamily Average Floor Area for the County (ft&lt;sup&gt;2&lt;/sup&gt;)</w:t>
            </w:r>
          </w:p>
        </w:tc>
        <w:tc>
          <w:tcPr>
            <w:tcW w:w="0" w:type="auto"/>
            <w:tcBorders>
              <w:bottom w:val="single" w:sz="16" w:space="0" w:color="666666"/>
            </w:tcBorders>
            <w:shd w:val="clear" w:color="auto" w:fill="FFFFFF"/>
            <w:tcMar>
              <w:top w:w="0" w:type="dxa"/>
              <w:left w:w="0" w:type="dxa"/>
              <w:bottom w:w="0" w:type="dxa"/>
              <w:right w:w="0" w:type="dxa"/>
            </w:tcMar>
            <w:vAlign w:val="center"/>
          </w:tcPr>
          <w:p w14:paraId="4E09A755" w14:textId="77777777" w:rsidR="00E2099A" w:rsidRDefault="00000000">
            <w:pPr>
              <w:spacing w:before="100" w:after="100"/>
              <w:ind w:left="100" w:right="100"/>
              <w:jc w:val="right"/>
            </w:pPr>
            <w:r>
              <w:rPr>
                <w:rFonts w:ascii="Helvetica" w:eastAsia="Helvetica" w:hAnsi="Helvetica" w:cs="Helvetica"/>
                <w:color w:val="000000"/>
                <w:sz w:val="18"/>
                <w:szCs w:val="18"/>
              </w:rPr>
              <w:t>748</w:t>
            </w:r>
          </w:p>
        </w:tc>
      </w:tr>
    </w:tbl>
    <w:p w14:paraId="40127072" w14:textId="77777777" w:rsidR="00E2099A" w:rsidRDefault="00000000">
      <w:pPr>
        <w:pStyle w:val="BodyText"/>
      </w:pPr>
      <m:oMathPara>
        <m:oMathParaPr>
          <m:jc m:val="center"/>
        </m:oMathParaPr>
        <m:oMath>
          <m:r>
            <w:rPr>
              <w:rFonts w:ascii="Cambria Math" w:hAnsi="Cambria Math"/>
            </w:rPr>
            <m:t>sqf</m:t>
          </m:r>
          <m:sSubSup>
            <m:sSubSupPr>
              <m:ctrlPr>
                <w:rPr>
                  <w:rFonts w:ascii="Cambria Math" w:hAnsi="Cambria Math"/>
                </w:rPr>
              </m:ctrlPr>
            </m:sSubSupPr>
            <m:e>
              <m:r>
                <w:rPr>
                  <w:rFonts w:ascii="Cambria Math" w:hAnsi="Cambria Math"/>
                </w:rPr>
                <m:t>t</m:t>
              </m:r>
            </m:e>
            <m:sub>
              <m:r>
                <w:rPr>
                  <w:rFonts w:ascii="Cambria Math" w:hAnsi="Cambria Math"/>
                </w:rPr>
                <m:t>2040</m:t>
              </m:r>
            </m:sub>
            <m:sup>
              <m:r>
                <w:rPr>
                  <w:rFonts w:ascii="Cambria Math" w:hAnsi="Cambria Math"/>
                </w:rPr>
                <m:t>sf</m:t>
              </m:r>
              <m:r>
                <m:rPr>
                  <m:sty m:val="p"/>
                </m:rPr>
                <w:rPr>
                  <w:rFonts w:ascii="Cambria Math" w:hAnsi="Cambria Math"/>
                </w:rPr>
                <m:t>+</m:t>
              </m:r>
              <m:r>
                <w:rPr>
                  <w:rFonts w:ascii="Cambria Math" w:hAnsi="Cambria Math"/>
                </w:rPr>
                <m:t>mf</m:t>
              </m:r>
            </m:sup>
          </m:sSubSup>
          <m:r>
            <m:rPr>
              <m:sty m:val="p"/>
            </m:rPr>
            <w:rPr>
              <w:rFonts w:ascii="Cambria Math" w:hAnsi="Cambria Math"/>
            </w:rPr>
            <m:t>=</m:t>
          </m:r>
          <m:d>
            <m:dPr>
              <m:ctrlPr>
                <w:rPr>
                  <w:rFonts w:ascii="Cambria Math" w:hAnsi="Cambria Math"/>
                </w:rPr>
              </m:ctrlPr>
            </m:dPr>
            <m:e>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2018</m:t>
                  </m:r>
                </m:sub>
                <m:sup>
                  <m:r>
                    <w:rPr>
                      <w:rFonts w:ascii="Cambria Math" w:hAnsi="Cambria Math"/>
                    </w:rPr>
                    <m:t>sf</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0.33</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sqft</m:t>
                      </m:r>
                    </m:e>
                  </m:acc>
                </m:e>
                <m:sub>
                  <m:r>
                    <w:rPr>
                      <w:rFonts w:ascii="Cambria Math" w:hAnsi="Cambria Math"/>
                    </w:rPr>
                    <m:t>2018</m:t>
                  </m:r>
                </m:sub>
                <m:sup>
                  <m:r>
                    <w:rPr>
                      <w:rFonts w:ascii="Cambria Math" w:hAnsi="Cambria Math"/>
                    </w:rPr>
                    <m:t>sf</m:t>
                  </m:r>
                </m:sup>
              </m:sSubSup>
              <m:r>
                <m:rPr>
                  <m:sty m:val="p"/>
                </m:rPr>
                <w:rPr>
                  <w:rFonts w:ascii="Cambria Math" w:hAnsi="Cambria Math"/>
                </w:rPr>
                <m:t>+</m:t>
              </m:r>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2018</m:t>
                  </m:r>
                </m:sub>
                <m:sup>
                  <m:r>
                    <w:rPr>
                      <w:rFonts w:ascii="Cambria Math" w:hAnsi="Cambria Math"/>
                    </w:rPr>
                    <m:t>mf</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0.33</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sqft</m:t>
                      </m:r>
                    </m:e>
                  </m:acc>
                </m:e>
                <m:sub>
                  <m:r>
                    <w:rPr>
                      <w:rFonts w:ascii="Cambria Math" w:hAnsi="Cambria Math"/>
                    </w:rPr>
                    <m:t>2018</m:t>
                  </m:r>
                </m:sub>
                <m:sup>
                  <m:r>
                    <w:rPr>
                      <w:rFonts w:ascii="Cambria Math" w:hAnsi="Cambria Math"/>
                    </w:rPr>
                    <m:t>mf</m:t>
                  </m:r>
                </m:sup>
              </m:sSubSup>
            </m:e>
          </m:d>
        </m:oMath>
      </m:oMathPara>
    </w:p>
    <w:p w14:paraId="1E7097EA" w14:textId="77777777" w:rsidR="00E2099A" w:rsidRDefault="00000000">
      <w:pPr>
        <w:pStyle w:val="Compact"/>
        <w:numPr>
          <w:ilvl w:val="0"/>
          <w:numId w:val="11"/>
        </w:numPr>
      </w:pPr>
      <m:oMath>
        <m:r>
          <w:rPr>
            <w:rFonts w:ascii="Cambria Math" w:hAnsi="Cambria Math"/>
          </w:rPr>
          <m:t>0.33</m:t>
        </m:r>
      </m:oMath>
      <w:r>
        <w:t>: Percent reduction in energy use intensity due to efficiency gains of the retrofitting.</w:t>
      </w:r>
    </w:p>
    <w:p w14:paraId="60809EF5" w14:textId="77777777" w:rsidR="00E2099A" w:rsidRDefault="00000000">
      <w:pPr>
        <w:pStyle w:val="Compact"/>
        <w:numPr>
          <w:ilvl w:val="0"/>
          <w:numId w:val="11"/>
        </w:numPr>
      </w:pPr>
      <m:oMath>
        <m:r>
          <w:rPr>
            <w:rFonts w:ascii="Cambria Math" w:hAnsi="Cambria Math"/>
          </w:rPr>
          <m:t>X</m:t>
        </m:r>
      </m:oMath>
      <w:r>
        <w:t>: The percentage of existing homes to be retrofitted. This value can be adjusted by the user and is defaulted to 80%.</w:t>
      </w:r>
    </w:p>
    <w:p w14:paraId="415F0AA0" w14:textId="77777777" w:rsidR="00E2099A" w:rsidRDefault="00000000">
      <w:pPr>
        <w:pStyle w:val="Compact"/>
        <w:numPr>
          <w:ilvl w:val="0"/>
          <w:numId w:val="11"/>
        </w:numPr>
      </w:pPr>
      <m:oMath>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2040</m:t>
            </m:r>
          </m:sub>
          <m:sup>
            <m:r>
              <w:rPr>
                <w:rFonts w:ascii="Cambria Math" w:hAnsi="Cambria Math"/>
              </w:rPr>
              <m:t>sf</m:t>
            </m:r>
          </m:sup>
        </m:sSubSup>
      </m:oMath>
      <w:r>
        <w:t>: Number of single-family housing units in 2018.</w:t>
      </w:r>
    </w:p>
    <w:p w14:paraId="76276BFF" w14:textId="77777777" w:rsidR="00E2099A" w:rsidRDefault="00000000">
      <w:pPr>
        <w:pStyle w:val="Compact"/>
        <w:numPr>
          <w:ilvl w:val="0"/>
          <w:numId w:val="11"/>
        </w:numPr>
      </w:pPr>
      <m:oMath>
        <m:r>
          <w:rPr>
            <w:rFonts w:ascii="Cambria Math" w:hAnsi="Cambria Math"/>
          </w:rPr>
          <m:t>unit</m:t>
        </m:r>
        <m:sSubSup>
          <m:sSubSupPr>
            <m:ctrlPr>
              <w:rPr>
                <w:rFonts w:ascii="Cambria Math" w:hAnsi="Cambria Math"/>
              </w:rPr>
            </m:ctrlPr>
          </m:sSubSupPr>
          <m:e>
            <m:r>
              <w:rPr>
                <w:rFonts w:ascii="Cambria Math" w:hAnsi="Cambria Math"/>
              </w:rPr>
              <m:t>s</m:t>
            </m:r>
          </m:e>
          <m:sub>
            <m:r>
              <w:rPr>
                <w:rFonts w:ascii="Cambria Math" w:hAnsi="Cambria Math"/>
              </w:rPr>
              <m:t>2018</m:t>
            </m:r>
          </m:sub>
          <m:sup>
            <m:r>
              <w:rPr>
                <w:rFonts w:ascii="Cambria Math" w:hAnsi="Cambria Math"/>
              </w:rPr>
              <m:t>mf</m:t>
            </m:r>
          </m:sup>
        </m:sSubSup>
      </m:oMath>
      <w:r>
        <w:t>: The number of multi-family homes in 2018.</w:t>
      </w:r>
    </w:p>
    <w:p w14:paraId="6167079A" w14:textId="77777777" w:rsidR="00E2099A" w:rsidRDefault="00000000">
      <w:pPr>
        <w:pStyle w:val="Compact"/>
        <w:numPr>
          <w:ilvl w:val="0"/>
          <w:numId w:val="11"/>
        </w:numP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sqft</m:t>
                </m:r>
              </m:e>
            </m:acc>
          </m:e>
          <m:sub>
            <m:r>
              <w:rPr>
                <w:rFonts w:ascii="Cambria Math" w:hAnsi="Cambria Math"/>
              </w:rPr>
              <m:t>2018</m:t>
            </m:r>
          </m:sub>
          <m:sup>
            <m:r>
              <w:rPr>
                <w:rFonts w:ascii="Cambria Math" w:hAnsi="Cambria Math"/>
              </w:rPr>
              <m:t>sf</m:t>
            </m:r>
          </m:sup>
        </m:sSubSup>
      </m:oMath>
      <w:r>
        <w:t>: The 2018 average floor area of single-family homes.</w:t>
      </w:r>
    </w:p>
    <w:p w14:paraId="489B836D" w14:textId="77777777" w:rsidR="00E2099A" w:rsidRDefault="00000000">
      <w:pPr>
        <w:pStyle w:val="Compact"/>
        <w:numPr>
          <w:ilvl w:val="0"/>
          <w:numId w:val="11"/>
        </w:numP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sqft</m:t>
                </m:r>
              </m:e>
            </m:acc>
          </m:e>
          <m:sub>
            <m:r>
              <w:rPr>
                <w:rFonts w:ascii="Cambria Math" w:hAnsi="Cambria Math"/>
              </w:rPr>
              <m:t>2018</m:t>
            </m:r>
          </m:sub>
          <m:sup>
            <m:r>
              <w:rPr>
                <w:rFonts w:ascii="Cambria Math" w:hAnsi="Cambria Math"/>
              </w:rPr>
              <m:t>mf</m:t>
            </m:r>
          </m:sup>
        </m:sSubSup>
      </m:oMath>
      <w:r>
        <w:t>: The average floor area of multi-family homes in 2018.</w:t>
      </w:r>
    </w:p>
    <w:p w14:paraId="110DB655" w14:textId="77777777" w:rsidR="00E2099A" w:rsidRDefault="00000000">
      <w:pPr>
        <w:pStyle w:val="FirstParagraph"/>
      </w:pPr>
      <w:r>
        <w:rPr>
          <w:i/>
          <w:iCs/>
        </w:rPr>
        <w:t>Figure 3.3 could be a static or interactive figure. Same questions/issues as above; the main one being is that the larger run_scenario_building() function has errors and isn’t running right now.</w:t>
      </w:r>
    </w:p>
    <w:p w14:paraId="5618842A" w14:textId="77777777" w:rsidR="00E2099A" w:rsidRDefault="00000000">
      <w:pPr>
        <w:pStyle w:val="CaptionedFigure"/>
      </w:pPr>
      <w:r>
        <w:rPr>
          <w:noProof/>
        </w:rPr>
        <w:lastRenderedPageBreak/>
        <w:drawing>
          <wp:inline distT="0" distB="0" distL="0" distR="0" wp14:anchorId="6917725E" wp14:editId="438B764F">
            <wp:extent cx="6400800" cy="4800600"/>
            <wp:effectExtent l="0" t="0" r="0" b="0"/>
            <wp:docPr id="73" name="Picture" descr="Figure 3.3: Comparing output values between years 2018 and 2040 for different percentages of existing homes retrofitted to be more energy efficient."/>
            <wp:cNvGraphicFramePr/>
            <a:graphic xmlns:a="http://schemas.openxmlformats.org/drawingml/2006/main">
              <a:graphicData uri="http://schemas.openxmlformats.org/drawingml/2006/picture">
                <pic:pic xmlns:pic="http://schemas.openxmlformats.org/drawingml/2006/picture">
                  <pic:nvPicPr>
                    <pic:cNvPr id="74" name="Picture" descr="/private/var/folders/b6/n168s8b14psghnl3gh43fyj1ctm4s3/T/RtmpPRVKni/preview-1334129cce645.dir/report_files/figure-docx/fig-existing-home-efficiency-1.png"/>
                    <pic:cNvPicPr>
                      <a:picLocks noChangeAspect="1" noChangeArrowheads="1"/>
                    </pic:cNvPicPr>
                  </pic:nvPicPr>
                  <pic:blipFill>
                    <a:blip r:embed="rId23"/>
                    <a:stretch>
                      <a:fillRect/>
                    </a:stretch>
                  </pic:blipFill>
                  <pic:spPr bwMode="auto">
                    <a:xfrm>
                      <a:off x="0" y="0"/>
                      <a:ext cx="6400800" cy="4800600"/>
                    </a:xfrm>
                    <a:prstGeom prst="rect">
                      <a:avLst/>
                    </a:prstGeom>
                    <a:noFill/>
                    <a:ln w="9525">
                      <a:noFill/>
                      <a:headEnd/>
                      <a:tailEnd/>
                    </a:ln>
                  </pic:spPr>
                </pic:pic>
              </a:graphicData>
            </a:graphic>
          </wp:inline>
        </w:drawing>
      </w:r>
    </w:p>
    <w:p w14:paraId="05931C53" w14:textId="77777777" w:rsidR="00E2099A" w:rsidRDefault="00000000">
      <w:pPr>
        <w:pStyle w:val="ImageCaption"/>
      </w:pPr>
      <w:r>
        <w:t>Figure 3.3: Comparing output values between years 2018 and 2040 for different percentages of existing homes retrofitted to be more energy efficient.</w:t>
      </w:r>
    </w:p>
    <w:p w14:paraId="77B24031" w14:textId="77777777" w:rsidR="00E2099A" w:rsidRDefault="00000000">
      <w:pPr>
        <w:pStyle w:val="Heading4"/>
      </w:pPr>
      <w:bookmarkStart w:id="46" w:name="Xfdcc320d3c6fb52a2a6db3abe918d2f7b928db2"/>
      <w:bookmarkEnd w:id="44"/>
      <w:r>
        <w:t>3.1.1.5</w:t>
      </w:r>
      <w:r>
        <w:tab/>
        <w:t>Promote Behavior Change for Residential Energy Efficiency</w:t>
      </w:r>
    </w:p>
    <w:p w14:paraId="0C557FCE" w14:textId="77777777" w:rsidR="00E2099A" w:rsidRDefault="00000000">
      <w:pPr>
        <w:pStyle w:val="FirstParagraph"/>
      </w:pPr>
      <w:r>
        <w:t>implementing efficient messaging, in-home energy displays, and smart meters can be an effective way to reduce household energy use, but the actual impact may depend on the specific circumstances of each city and the participation rate of households in these actions.</w:t>
      </w:r>
    </w:p>
    <w:p w14:paraId="4714B9CF" w14:textId="77777777" w:rsidR="00E2099A" w:rsidRDefault="00000000">
      <w:pPr>
        <w:pStyle w:val="BodyText"/>
      </w:pPr>
      <w:r>
        <w:rPr>
          <w:b/>
          <w:bCs/>
          <w:i/>
          <w:iCs/>
        </w:rPr>
        <w:t>About this strategy</w:t>
      </w:r>
      <w:r>
        <w:t xml:space="preserve"> Efficient messaging, in-home energy display, and smart meters together can reduce household energy use by 11%. The default is 100% of homes change behaviors due to these actions. Cities can adjust this participation rate accordingly.</w:t>
      </w:r>
    </w:p>
    <w:p w14:paraId="012907FB" w14:textId="77777777" w:rsidR="00E2099A" w:rsidRDefault="00000000">
      <w:pPr>
        <w:pStyle w:val="TableCaption"/>
      </w:pPr>
      <w:bookmarkStart w:id="47" w:name="tab-behavior-change"/>
      <w:r>
        <w:rPr>
          <w:b/>
          <w:bCs/>
        </w:rPr>
        <w:t xml:space="preserve">Table 3.5: </w:t>
      </w:r>
      <w:bookmarkEnd w:id="47"/>
      <w:r>
        <w:t>Behavior Change Minneapolis 2040</w:t>
      </w:r>
    </w:p>
    <w:tbl>
      <w:tblPr>
        <w:tblW w:w="0" w:type="pct"/>
        <w:jc w:val="center"/>
        <w:tblLook w:val="0420" w:firstRow="1" w:lastRow="0" w:firstColumn="0" w:lastColumn="0" w:noHBand="0" w:noVBand="1"/>
      </w:tblPr>
      <w:tblGrid>
        <w:gridCol w:w="5263"/>
        <w:gridCol w:w="851"/>
      </w:tblGrid>
      <w:tr w:rsidR="00E2099A" w14:paraId="5CE20AA6"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1E23CA21" w14:textId="77777777" w:rsidR="00E2099A" w:rsidRDefault="00000000">
            <w:pPr>
              <w:spacing w:before="100" w:after="100"/>
              <w:ind w:left="100" w:right="100"/>
              <w:jc w:val="center"/>
            </w:pPr>
            <w:r>
              <w:rPr>
                <w:rFonts w:ascii="Helvetica" w:eastAsia="Helvetica" w:hAnsi="Helvetica" w:cs="Helvetica"/>
                <w:color w:val="000000"/>
                <w:sz w:val="18"/>
                <w:szCs w:val="18"/>
              </w:rPr>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5E0E1254" w14:textId="77777777" w:rsidR="00E2099A" w:rsidRDefault="00000000">
            <w:pPr>
              <w:spacing w:before="100" w:after="100"/>
              <w:ind w:left="100" w:right="100"/>
              <w:jc w:val="center"/>
            </w:pPr>
            <w:r>
              <w:rPr>
                <w:rFonts w:ascii="Helvetica" w:eastAsia="Helvetica" w:hAnsi="Helvetica" w:cs="Helvetica"/>
                <w:color w:val="000000"/>
                <w:sz w:val="18"/>
                <w:szCs w:val="18"/>
              </w:rPr>
              <w:t>Value</w:t>
            </w:r>
          </w:p>
        </w:tc>
      </w:tr>
      <w:tr w:rsidR="00E2099A" w14:paraId="13A8906D" w14:textId="77777777">
        <w:trPr>
          <w:cantSplit/>
          <w:jc w:val="center"/>
        </w:trPr>
        <w:tc>
          <w:tcPr>
            <w:tcW w:w="0" w:type="auto"/>
            <w:shd w:val="clear" w:color="auto" w:fill="FFFFFF"/>
            <w:tcMar>
              <w:top w:w="0" w:type="dxa"/>
              <w:left w:w="0" w:type="dxa"/>
              <w:bottom w:w="0" w:type="dxa"/>
              <w:right w:w="0" w:type="dxa"/>
            </w:tcMar>
            <w:vAlign w:val="center"/>
          </w:tcPr>
          <w:p w14:paraId="66BF7AA3" w14:textId="77777777" w:rsidR="00E2099A" w:rsidRDefault="00000000">
            <w:pPr>
              <w:spacing w:before="100" w:after="100"/>
              <w:ind w:left="100" w:right="100"/>
            </w:pPr>
            <w:r>
              <w:rPr>
                <w:rFonts w:ascii="Helvetica" w:eastAsia="Helvetica" w:hAnsi="Helvetica" w:cs="Helvetica"/>
                <w:color w:val="000000"/>
                <w:sz w:val="18"/>
                <w:szCs w:val="18"/>
              </w:rPr>
              <w:t>Number of Single Family Units</w:t>
            </w:r>
          </w:p>
        </w:tc>
        <w:tc>
          <w:tcPr>
            <w:tcW w:w="0" w:type="auto"/>
            <w:shd w:val="clear" w:color="auto" w:fill="FFFFFF"/>
            <w:tcMar>
              <w:top w:w="0" w:type="dxa"/>
              <w:left w:w="0" w:type="dxa"/>
              <w:bottom w:w="0" w:type="dxa"/>
              <w:right w:w="0" w:type="dxa"/>
            </w:tcMar>
            <w:vAlign w:val="center"/>
          </w:tcPr>
          <w:p w14:paraId="5AD0B47A" w14:textId="77777777" w:rsidR="00E2099A" w:rsidRDefault="00000000">
            <w:pPr>
              <w:spacing w:before="100" w:after="100"/>
              <w:ind w:left="100" w:right="100"/>
              <w:jc w:val="right"/>
            </w:pPr>
            <w:r>
              <w:rPr>
                <w:rFonts w:ascii="Helvetica" w:eastAsia="Helvetica" w:hAnsi="Helvetica" w:cs="Helvetica"/>
                <w:color w:val="000000"/>
                <w:sz w:val="18"/>
                <w:szCs w:val="18"/>
              </w:rPr>
              <w:t>76,494</w:t>
            </w:r>
          </w:p>
        </w:tc>
      </w:tr>
      <w:tr w:rsidR="00E2099A" w14:paraId="24E9CE2F" w14:textId="77777777">
        <w:trPr>
          <w:cantSplit/>
          <w:jc w:val="center"/>
        </w:trPr>
        <w:tc>
          <w:tcPr>
            <w:tcW w:w="0" w:type="auto"/>
            <w:shd w:val="clear" w:color="auto" w:fill="FFFFFF"/>
            <w:tcMar>
              <w:top w:w="0" w:type="dxa"/>
              <w:left w:w="0" w:type="dxa"/>
              <w:bottom w:w="0" w:type="dxa"/>
              <w:right w:w="0" w:type="dxa"/>
            </w:tcMar>
            <w:vAlign w:val="center"/>
          </w:tcPr>
          <w:p w14:paraId="44B972D9" w14:textId="77777777" w:rsidR="00E2099A" w:rsidRDefault="00000000">
            <w:pPr>
              <w:spacing w:before="100" w:after="100"/>
              <w:ind w:left="100" w:right="100"/>
            </w:pPr>
            <w:r>
              <w:rPr>
                <w:rFonts w:ascii="Helvetica" w:eastAsia="Helvetica" w:hAnsi="Helvetica" w:cs="Helvetica"/>
                <w:color w:val="000000"/>
                <w:sz w:val="18"/>
                <w:szCs w:val="18"/>
              </w:rPr>
              <w:t>Number of Multifamily Units</w:t>
            </w:r>
          </w:p>
        </w:tc>
        <w:tc>
          <w:tcPr>
            <w:tcW w:w="0" w:type="auto"/>
            <w:shd w:val="clear" w:color="auto" w:fill="FFFFFF"/>
            <w:tcMar>
              <w:top w:w="0" w:type="dxa"/>
              <w:left w:w="0" w:type="dxa"/>
              <w:bottom w:w="0" w:type="dxa"/>
              <w:right w:w="0" w:type="dxa"/>
            </w:tcMar>
            <w:vAlign w:val="center"/>
          </w:tcPr>
          <w:p w14:paraId="1977D317" w14:textId="77777777" w:rsidR="00E2099A" w:rsidRDefault="00000000">
            <w:pPr>
              <w:spacing w:before="100" w:after="100"/>
              <w:ind w:left="100" w:right="100"/>
              <w:jc w:val="right"/>
            </w:pPr>
            <w:r>
              <w:rPr>
                <w:rFonts w:ascii="Helvetica" w:eastAsia="Helvetica" w:hAnsi="Helvetica" w:cs="Helvetica"/>
                <w:color w:val="000000"/>
                <w:sz w:val="18"/>
                <w:szCs w:val="18"/>
              </w:rPr>
              <w:t>145,653</w:t>
            </w:r>
          </w:p>
        </w:tc>
      </w:tr>
      <w:tr w:rsidR="00E2099A" w14:paraId="41B14769" w14:textId="77777777">
        <w:trPr>
          <w:cantSplit/>
          <w:jc w:val="center"/>
        </w:trPr>
        <w:tc>
          <w:tcPr>
            <w:tcW w:w="0" w:type="auto"/>
            <w:shd w:val="clear" w:color="auto" w:fill="FFFFFF"/>
            <w:tcMar>
              <w:top w:w="0" w:type="dxa"/>
              <w:left w:w="0" w:type="dxa"/>
              <w:bottom w:w="0" w:type="dxa"/>
              <w:right w:w="0" w:type="dxa"/>
            </w:tcMar>
            <w:vAlign w:val="center"/>
          </w:tcPr>
          <w:p w14:paraId="389796B9" w14:textId="77777777" w:rsidR="00E2099A" w:rsidRDefault="00000000">
            <w:pPr>
              <w:spacing w:before="100" w:after="100"/>
              <w:ind w:left="100" w:right="100"/>
            </w:pPr>
            <w:r>
              <w:rPr>
                <w:rFonts w:ascii="Helvetica" w:eastAsia="Helvetica" w:hAnsi="Helvetica" w:cs="Helvetica"/>
                <w:color w:val="000000"/>
                <w:sz w:val="18"/>
                <w:szCs w:val="18"/>
              </w:rPr>
              <w:t>Single Family Average Floor Area (ft&lt;sup&gt;2&lt;/sup&gt;)</w:t>
            </w:r>
          </w:p>
        </w:tc>
        <w:tc>
          <w:tcPr>
            <w:tcW w:w="0" w:type="auto"/>
            <w:shd w:val="clear" w:color="auto" w:fill="FFFFFF"/>
            <w:tcMar>
              <w:top w:w="0" w:type="dxa"/>
              <w:left w:w="0" w:type="dxa"/>
              <w:bottom w:w="0" w:type="dxa"/>
              <w:right w:w="0" w:type="dxa"/>
            </w:tcMar>
            <w:vAlign w:val="center"/>
          </w:tcPr>
          <w:p w14:paraId="2A7E1325" w14:textId="77777777" w:rsidR="00E2099A" w:rsidRDefault="00000000">
            <w:pPr>
              <w:spacing w:before="100" w:after="100"/>
              <w:ind w:left="100" w:right="100"/>
              <w:jc w:val="right"/>
            </w:pPr>
            <w:r>
              <w:rPr>
                <w:rFonts w:ascii="Helvetica" w:eastAsia="Helvetica" w:hAnsi="Helvetica" w:cs="Helvetica"/>
                <w:color w:val="000000"/>
                <w:sz w:val="18"/>
                <w:szCs w:val="18"/>
              </w:rPr>
              <w:t>1,392</w:t>
            </w:r>
          </w:p>
        </w:tc>
      </w:tr>
      <w:tr w:rsidR="00E2099A" w14:paraId="0B339BD5"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490D603C" w14:textId="77777777" w:rsidR="00E2099A" w:rsidRDefault="00000000">
            <w:pPr>
              <w:spacing w:before="100" w:after="100"/>
              <w:ind w:left="100" w:right="100"/>
            </w:pPr>
            <w:r>
              <w:rPr>
                <w:rFonts w:ascii="Helvetica" w:eastAsia="Helvetica" w:hAnsi="Helvetica" w:cs="Helvetica"/>
                <w:color w:val="000000"/>
                <w:sz w:val="18"/>
                <w:szCs w:val="18"/>
              </w:rPr>
              <w:t>Multifamily Average Floor Area for the County (ft&lt;sup&gt;2&lt;/sup&gt;)</w:t>
            </w:r>
          </w:p>
        </w:tc>
        <w:tc>
          <w:tcPr>
            <w:tcW w:w="0" w:type="auto"/>
            <w:tcBorders>
              <w:bottom w:val="single" w:sz="16" w:space="0" w:color="666666"/>
            </w:tcBorders>
            <w:shd w:val="clear" w:color="auto" w:fill="FFFFFF"/>
            <w:tcMar>
              <w:top w:w="0" w:type="dxa"/>
              <w:left w:w="0" w:type="dxa"/>
              <w:bottom w:w="0" w:type="dxa"/>
              <w:right w:w="0" w:type="dxa"/>
            </w:tcMar>
            <w:vAlign w:val="center"/>
          </w:tcPr>
          <w:p w14:paraId="2131B684" w14:textId="77777777" w:rsidR="00E2099A" w:rsidRDefault="00000000">
            <w:pPr>
              <w:spacing w:before="100" w:after="100"/>
              <w:ind w:left="100" w:right="100"/>
              <w:jc w:val="right"/>
            </w:pPr>
            <w:r>
              <w:rPr>
                <w:rFonts w:ascii="Helvetica" w:eastAsia="Helvetica" w:hAnsi="Helvetica" w:cs="Helvetica"/>
                <w:color w:val="000000"/>
                <w:sz w:val="18"/>
                <w:szCs w:val="18"/>
              </w:rPr>
              <w:t>1,002</w:t>
            </w:r>
          </w:p>
        </w:tc>
      </w:tr>
    </w:tbl>
    <w:p w14:paraId="55EDDE7E" w14:textId="77777777" w:rsidR="00E2099A" w:rsidRDefault="00E2099A">
      <w:pPr>
        <w:pStyle w:val="BodyText"/>
      </w:pPr>
    </w:p>
    <w:p w14:paraId="217D76BF" w14:textId="77777777" w:rsidR="00E2099A" w:rsidRDefault="00000000">
      <w:pPr>
        <w:pStyle w:val="BodyText"/>
      </w:pPr>
      <m:oMathPara>
        <m:oMathParaPr>
          <m:jc m:val="center"/>
        </m:oMathParaPr>
        <m:oMath>
          <m:r>
            <w:rPr>
              <w:rFonts w:ascii="Cambria Math" w:hAnsi="Cambria Math"/>
            </w:rPr>
            <w:lastRenderedPageBreak/>
            <m:t>sqf</m:t>
          </m:r>
          <m:sSubSup>
            <m:sSubSupPr>
              <m:ctrlPr>
                <w:rPr>
                  <w:rFonts w:ascii="Cambria Math" w:hAnsi="Cambria Math"/>
                </w:rPr>
              </m:ctrlPr>
            </m:sSubSupPr>
            <m:e>
              <m:r>
                <w:rPr>
                  <w:rFonts w:ascii="Cambria Math" w:hAnsi="Cambria Math"/>
                </w:rPr>
                <m:t>t</m:t>
              </m:r>
            </m:e>
            <m:sub>
              <m:r>
                <w:rPr>
                  <w:rFonts w:ascii="Cambria Math" w:hAnsi="Cambria Math"/>
                </w:rPr>
                <m:t>2040</m:t>
              </m:r>
            </m:sub>
            <m:sup>
              <m:r>
                <w:rPr>
                  <w:rFonts w:ascii="Cambria Math" w:hAnsi="Cambria Math"/>
                </w:rPr>
                <m:t>sf</m:t>
              </m:r>
              <m:r>
                <m:rPr>
                  <m:sty m:val="p"/>
                </m:rPr>
                <w:rPr>
                  <w:rFonts w:ascii="Cambria Math" w:hAnsi="Cambria Math"/>
                </w:rPr>
                <m:t>+</m:t>
              </m:r>
              <m:r>
                <w:rPr>
                  <w:rFonts w:ascii="Cambria Math" w:hAnsi="Cambria Math"/>
                </w:rPr>
                <m:t>mf</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populatio</m:t>
          </m:r>
          <m:sSub>
            <m:sSubPr>
              <m:ctrlPr>
                <w:rPr>
                  <w:rFonts w:ascii="Cambria Math" w:hAnsi="Cambria Math"/>
                </w:rPr>
              </m:ctrlPr>
            </m:sSubPr>
            <m:e>
              <m:r>
                <w:rPr>
                  <w:rFonts w:ascii="Cambria Math" w:hAnsi="Cambria Math"/>
                </w:rPr>
                <m:t>n</m:t>
              </m:r>
            </m:e>
            <m:sub>
              <m:r>
                <w:rPr>
                  <w:rFonts w:ascii="Cambria Math" w:hAnsi="Cambria Math"/>
                </w:rPr>
                <m:t>2040</m:t>
              </m:r>
            </m:sub>
          </m:sSub>
          <m:r>
            <m:rPr>
              <m:sty m:val="p"/>
            </m:rPr>
            <w:rPr>
              <w:rFonts w:ascii="Cambria Math" w:hAnsi="Cambria Math"/>
            </w:rPr>
            <m:t>*</m:t>
          </m:r>
          <m:r>
            <w:rPr>
              <w:rFonts w:ascii="Cambria Math" w:hAnsi="Cambria Math"/>
            </w:rPr>
            <m:t>sqf</m:t>
          </m:r>
          <m:sSubSup>
            <m:sSubSupPr>
              <m:ctrlPr>
                <w:rPr>
                  <w:rFonts w:ascii="Cambria Math" w:hAnsi="Cambria Math"/>
                </w:rPr>
              </m:ctrlPr>
            </m:sSubSupPr>
            <m:e>
              <m:r>
                <w:rPr>
                  <w:rFonts w:ascii="Cambria Math" w:hAnsi="Cambria Math"/>
                </w:rPr>
                <m:t>t</m:t>
              </m:r>
            </m:e>
            <m:sub>
              <m:r>
                <w:rPr>
                  <w:rFonts w:ascii="Cambria Math" w:hAnsi="Cambria Math"/>
                </w:rPr>
                <m:t>2040</m:t>
              </m:r>
            </m:sub>
            <m:sup>
              <m:r>
                <w:rPr>
                  <w:rFonts w:ascii="Cambria Math" w:hAnsi="Cambria Math"/>
                </w:rPr>
                <m:t>sf</m:t>
              </m:r>
              <m:r>
                <m:rPr>
                  <m:sty m:val="p"/>
                </m:rPr>
                <w:rPr>
                  <w:rFonts w:ascii="Cambria Math" w:hAnsi="Cambria Math"/>
                </w:rPr>
                <m:t>+</m:t>
              </m:r>
              <m:r>
                <w:rPr>
                  <w:rFonts w:ascii="Cambria Math" w:hAnsi="Cambria Math"/>
                </w:rPr>
                <m:t>mf</m:t>
              </m:r>
            </m:sup>
          </m:sSubSup>
          <m:r>
            <m:rPr>
              <m:sty m:val="p"/>
            </m:rPr>
            <w:rPr>
              <w:rFonts w:ascii="Cambria Math" w:hAnsi="Cambria Math"/>
            </w:rPr>
            <m:t>/</m:t>
          </m:r>
          <m:r>
            <w:rPr>
              <w:rFonts w:ascii="Cambria Math" w:hAnsi="Cambria Math"/>
            </w:rPr>
            <m:t>populatio</m:t>
          </m:r>
          <m:sSub>
            <m:sSubPr>
              <m:ctrlPr>
                <w:rPr>
                  <w:rFonts w:ascii="Cambria Math" w:hAnsi="Cambria Math"/>
                </w:rPr>
              </m:ctrlPr>
            </m:sSubPr>
            <m:e>
              <m:r>
                <w:rPr>
                  <w:rFonts w:ascii="Cambria Math" w:hAnsi="Cambria Math"/>
                </w:rPr>
                <m:t>n</m:t>
              </m:r>
            </m:e>
            <m:sub>
              <m:r>
                <w:rPr>
                  <w:rFonts w:ascii="Cambria Math" w:hAnsi="Cambria Math"/>
                </w:rPr>
                <m:t>2040</m:t>
              </m:r>
            </m:sub>
          </m:sSub>
          <m:r>
            <m:rPr>
              <m:sty m:val="p"/>
            </m:rPr>
            <w:rPr>
              <w:rFonts w:ascii="Cambria Math" w:hAnsi="Cambria Math"/>
            </w:rPr>
            <m:t>*</m:t>
          </m:r>
          <m:r>
            <w:rPr>
              <w:rFonts w:ascii="Cambria Math" w:hAnsi="Cambria Math"/>
            </w:rPr>
            <m:t>0.11</m:t>
          </m:r>
        </m:oMath>
      </m:oMathPara>
    </w:p>
    <w:p w14:paraId="6541313C" w14:textId="77777777" w:rsidR="00E2099A" w:rsidRDefault="00000000">
      <w:pPr>
        <w:pStyle w:val="Compact"/>
        <w:numPr>
          <w:ilvl w:val="0"/>
          <w:numId w:val="12"/>
        </w:numPr>
      </w:pPr>
      <m:oMath>
        <m:r>
          <w:rPr>
            <w:rFonts w:ascii="Cambria Math" w:hAnsi="Cambria Math"/>
          </w:rPr>
          <m:t>0.11</m:t>
        </m:r>
      </m:oMath>
      <w:r>
        <w:t>: The percentage reduction in household energy use as a result of smart nudges.</w:t>
      </w:r>
    </w:p>
    <w:p w14:paraId="110ABF50" w14:textId="77777777" w:rsidR="00E2099A" w:rsidRDefault="00000000">
      <w:pPr>
        <w:pStyle w:val="Compact"/>
        <w:numPr>
          <w:ilvl w:val="0"/>
          <w:numId w:val="12"/>
        </w:numPr>
      </w:pPr>
      <m:oMath>
        <m:r>
          <w:rPr>
            <w:rFonts w:ascii="Cambria Math" w:hAnsi="Cambria Math"/>
          </w:rPr>
          <m:t>X</m:t>
        </m:r>
      </m:oMath>
      <w:r>
        <w:t>: The percentage of homes that change their behavior for energy efficiency.</w:t>
      </w:r>
    </w:p>
    <w:p w14:paraId="645A24D8" w14:textId="77777777" w:rsidR="00E2099A" w:rsidRDefault="00000000">
      <w:pPr>
        <w:pStyle w:val="Compact"/>
        <w:numPr>
          <w:ilvl w:val="0"/>
          <w:numId w:val="12"/>
        </w:numPr>
      </w:pPr>
      <m:oMath>
        <m:r>
          <w:rPr>
            <w:rFonts w:ascii="Cambria Math" w:hAnsi="Cambria Math"/>
          </w:rPr>
          <m:t>populatio</m:t>
        </m:r>
        <m:sSub>
          <m:sSubPr>
            <m:ctrlPr>
              <w:rPr>
                <w:rFonts w:ascii="Cambria Math" w:hAnsi="Cambria Math"/>
              </w:rPr>
            </m:ctrlPr>
          </m:sSubPr>
          <m:e>
            <m:r>
              <w:rPr>
                <w:rFonts w:ascii="Cambria Math" w:hAnsi="Cambria Math"/>
              </w:rPr>
              <m:t>n</m:t>
            </m:r>
          </m:e>
          <m:sub>
            <m:r>
              <w:rPr>
                <w:rFonts w:ascii="Cambria Math" w:hAnsi="Cambria Math"/>
              </w:rPr>
              <m:t>2040</m:t>
            </m:r>
          </m:sub>
        </m:sSub>
      </m:oMath>
      <w:r>
        <w:t>: The total population in 2040.</w:t>
      </w:r>
    </w:p>
    <w:p w14:paraId="714468ED" w14:textId="77777777" w:rsidR="00E2099A" w:rsidRDefault="00000000">
      <w:pPr>
        <w:pStyle w:val="Compact"/>
        <w:numPr>
          <w:ilvl w:val="0"/>
          <w:numId w:val="12"/>
        </w:numPr>
      </w:pPr>
      <m:oMath>
        <m:r>
          <w:rPr>
            <w:rFonts w:ascii="Cambria Math" w:hAnsi="Cambria Math"/>
          </w:rPr>
          <m:t>sqf</m:t>
        </m:r>
        <m:sSubSup>
          <m:sSubSupPr>
            <m:ctrlPr>
              <w:rPr>
                <w:rFonts w:ascii="Cambria Math" w:hAnsi="Cambria Math"/>
              </w:rPr>
            </m:ctrlPr>
          </m:sSubSupPr>
          <m:e>
            <m:r>
              <w:rPr>
                <w:rFonts w:ascii="Cambria Math" w:hAnsi="Cambria Math"/>
              </w:rPr>
              <m:t>t</m:t>
            </m:r>
          </m:e>
          <m:sub>
            <m:r>
              <w:rPr>
                <w:rFonts w:ascii="Cambria Math" w:hAnsi="Cambria Math"/>
              </w:rPr>
              <m:t>2040</m:t>
            </m:r>
          </m:sub>
          <m:sup>
            <m:r>
              <w:rPr>
                <w:rFonts w:ascii="Cambria Math" w:hAnsi="Cambria Math"/>
              </w:rPr>
              <m:t>sf</m:t>
            </m:r>
            <m:r>
              <m:rPr>
                <m:sty m:val="p"/>
              </m:rPr>
              <w:rPr>
                <w:rFonts w:ascii="Cambria Math" w:hAnsi="Cambria Math"/>
              </w:rPr>
              <m:t>+</m:t>
            </m:r>
            <m:r>
              <w:rPr>
                <w:rFonts w:ascii="Cambria Math" w:hAnsi="Cambria Math"/>
              </w:rPr>
              <m:t>mf</m:t>
            </m:r>
          </m:sup>
        </m:sSubSup>
        <m:r>
          <m:rPr>
            <m:sty m:val="p"/>
          </m:rPr>
          <w:rPr>
            <w:rFonts w:ascii="Cambria Math" w:hAnsi="Cambria Math"/>
          </w:rPr>
          <m:t>/</m:t>
        </m:r>
        <m:r>
          <w:rPr>
            <w:rFonts w:ascii="Cambria Math" w:hAnsi="Cambria Math"/>
          </w:rPr>
          <m:t>populatio</m:t>
        </m:r>
        <m:sSub>
          <m:sSubPr>
            <m:ctrlPr>
              <w:rPr>
                <w:rFonts w:ascii="Cambria Math" w:hAnsi="Cambria Math"/>
              </w:rPr>
            </m:ctrlPr>
          </m:sSubPr>
          <m:e>
            <m:r>
              <w:rPr>
                <w:rFonts w:ascii="Cambria Math" w:hAnsi="Cambria Math"/>
              </w:rPr>
              <m:t>n</m:t>
            </m:r>
          </m:e>
          <m:sub>
            <m:r>
              <w:rPr>
                <w:rFonts w:ascii="Cambria Math" w:hAnsi="Cambria Math"/>
              </w:rPr>
              <m:t>2040</m:t>
            </m:r>
          </m:sub>
        </m:sSub>
      </m:oMath>
      <w:r>
        <w:t>: The average square footage per person in 2040 for residential buildings.</w:t>
      </w:r>
    </w:p>
    <w:p w14:paraId="687A52F7" w14:textId="77777777" w:rsidR="00E2099A" w:rsidRDefault="00000000">
      <w:pPr>
        <w:pStyle w:val="FirstParagraph"/>
      </w:pPr>
      <w:r>
        <w:rPr>
          <w:i/>
          <w:iCs/>
        </w:rPr>
        <w:t>Figure 3.4 could be a static or interactive figure. Same questions/issues as above; the main one being is that the larger run_scenario_building() function has errors and isn’t running right now.</w:t>
      </w:r>
    </w:p>
    <w:p w14:paraId="37CDCC23" w14:textId="77777777" w:rsidR="00E2099A" w:rsidRDefault="00000000">
      <w:pPr>
        <w:pStyle w:val="CaptionedFigure"/>
      </w:pPr>
      <w:r>
        <w:rPr>
          <w:noProof/>
        </w:rPr>
        <w:drawing>
          <wp:inline distT="0" distB="0" distL="0" distR="0" wp14:anchorId="58469FB2" wp14:editId="28695831">
            <wp:extent cx="6400800" cy="4800600"/>
            <wp:effectExtent l="0" t="0" r="0" b="0"/>
            <wp:docPr id="77" name="Picture" descr="Figure 3.4: Comparing output values between years 2018 and 2040 for different percentages of existing homes retrofitted to be more energy efficient."/>
            <wp:cNvGraphicFramePr/>
            <a:graphic xmlns:a="http://schemas.openxmlformats.org/drawingml/2006/main">
              <a:graphicData uri="http://schemas.openxmlformats.org/drawingml/2006/picture">
                <pic:pic xmlns:pic="http://schemas.openxmlformats.org/drawingml/2006/picture">
                  <pic:nvPicPr>
                    <pic:cNvPr id="78" name="Picture" descr="/private/var/folders/b6/n168s8b14psghnl3gh43fyj1ctm4s3/T/RtmpPRVKni/preview-1334129cce645.dir/report_files/figure-docx/fig-behavior-change-1.png"/>
                    <pic:cNvPicPr>
                      <a:picLocks noChangeAspect="1" noChangeArrowheads="1"/>
                    </pic:cNvPicPr>
                  </pic:nvPicPr>
                  <pic:blipFill>
                    <a:blip r:embed="rId24"/>
                    <a:stretch>
                      <a:fillRect/>
                    </a:stretch>
                  </pic:blipFill>
                  <pic:spPr bwMode="auto">
                    <a:xfrm>
                      <a:off x="0" y="0"/>
                      <a:ext cx="6400800" cy="4800600"/>
                    </a:xfrm>
                    <a:prstGeom prst="rect">
                      <a:avLst/>
                    </a:prstGeom>
                    <a:noFill/>
                    <a:ln w="9525">
                      <a:noFill/>
                      <a:headEnd/>
                      <a:tailEnd/>
                    </a:ln>
                  </pic:spPr>
                </pic:pic>
              </a:graphicData>
            </a:graphic>
          </wp:inline>
        </w:drawing>
      </w:r>
    </w:p>
    <w:p w14:paraId="6D1D1E99" w14:textId="77777777" w:rsidR="00E2099A" w:rsidRDefault="00000000">
      <w:pPr>
        <w:pStyle w:val="ImageCaption"/>
      </w:pPr>
      <w:r>
        <w:t>Figure 3.4: Comparing output values between years 2018 and 2040 for different percentages of existing homes retrofitted to be more energy efficient.</w:t>
      </w:r>
    </w:p>
    <w:p w14:paraId="112BC327" w14:textId="77777777" w:rsidR="00E2099A" w:rsidRDefault="00000000">
      <w:pPr>
        <w:pStyle w:val="Heading4"/>
      </w:pPr>
      <w:bookmarkStart w:id="48" w:name="decarbonize-residential-energy-use"/>
      <w:bookmarkEnd w:id="46"/>
      <w:r>
        <w:t>3.1.1.6</w:t>
      </w:r>
      <w:r>
        <w:tab/>
        <w:t>Decarbonize Residential Energy Use</w:t>
      </w:r>
    </w:p>
    <w:p w14:paraId="56EA747A" w14:textId="77777777" w:rsidR="00E2099A" w:rsidRDefault="00000000">
      <w:pPr>
        <w:pStyle w:val="FirstParagraph"/>
      </w:pPr>
      <w:r>
        <w:t>The energy grid could become cleaner by increasing the use of renewable energy sources such as solar, wind, and hydroelectric power, which produce significantly fewer greenhouse gas emissions than fossil fuels</w:t>
      </w:r>
    </w:p>
    <w:p w14:paraId="7B8346D5" w14:textId="77777777" w:rsidR="00E2099A" w:rsidRDefault="00000000">
      <w:pPr>
        <w:pStyle w:val="BodyText"/>
      </w:pPr>
      <w:r>
        <w:rPr>
          <w:b/>
          <w:bCs/>
          <w:i/>
          <w:iCs/>
        </w:rPr>
        <w:t>About this strategy</w:t>
      </w:r>
      <w:r>
        <w:t>: Due to decarbonizing the grid, the emission factor of electricity decreases from 568 kg2e/MWh (2018 Minnesota state level) to 113 kgCO2e/MWh. This change is fixed by the grid.</w:t>
      </w:r>
    </w:p>
    <w:p w14:paraId="76414366" w14:textId="77777777" w:rsidR="00E2099A" w:rsidRDefault="00000000">
      <w:pPr>
        <w:pStyle w:val="TableCaption"/>
      </w:pPr>
      <w:bookmarkStart w:id="49" w:name="tab-decarbonize-residential-energy"/>
      <w:r>
        <w:rPr>
          <w:b/>
          <w:bCs/>
        </w:rPr>
        <w:t xml:space="preserve">Table 3.6: </w:t>
      </w:r>
      <w:bookmarkEnd w:id="49"/>
      <w:r>
        <w:t>Decarbonize Residential Energy Use Minneapolis 2040</w:t>
      </w:r>
    </w:p>
    <w:tbl>
      <w:tblPr>
        <w:tblW w:w="0" w:type="pct"/>
        <w:jc w:val="center"/>
        <w:tblLook w:val="0420" w:firstRow="1" w:lastRow="0" w:firstColumn="0" w:lastColumn="0" w:noHBand="0" w:noVBand="1"/>
      </w:tblPr>
      <w:tblGrid>
        <w:gridCol w:w="4903"/>
        <w:gridCol w:w="1201"/>
      </w:tblGrid>
      <w:tr w:rsidR="00E2099A" w14:paraId="234BF141"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0C3A128" w14:textId="77777777" w:rsidR="00E2099A" w:rsidRDefault="00000000">
            <w:pPr>
              <w:spacing w:before="100" w:after="100"/>
              <w:ind w:left="100" w:right="100"/>
              <w:jc w:val="center"/>
            </w:pPr>
            <w:r>
              <w:rPr>
                <w:rFonts w:ascii="Helvetica" w:eastAsia="Helvetica" w:hAnsi="Helvetica" w:cs="Helvetica"/>
                <w:color w:val="000000"/>
                <w:sz w:val="18"/>
                <w:szCs w:val="18"/>
              </w:rPr>
              <w:lastRenderedPageBreak/>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2C0A542C" w14:textId="77777777" w:rsidR="00E2099A" w:rsidRDefault="00000000">
            <w:pPr>
              <w:spacing w:before="100" w:after="100"/>
              <w:ind w:left="100" w:right="100"/>
              <w:jc w:val="center"/>
            </w:pPr>
            <w:r>
              <w:rPr>
                <w:rFonts w:ascii="Helvetica" w:eastAsia="Helvetica" w:hAnsi="Helvetica" w:cs="Helvetica"/>
                <w:color w:val="000000"/>
                <w:sz w:val="18"/>
                <w:szCs w:val="18"/>
              </w:rPr>
              <w:t>Value</w:t>
            </w:r>
          </w:p>
        </w:tc>
      </w:tr>
      <w:tr w:rsidR="00E2099A" w14:paraId="166FC45B" w14:textId="77777777">
        <w:trPr>
          <w:cantSplit/>
          <w:jc w:val="center"/>
        </w:trPr>
        <w:tc>
          <w:tcPr>
            <w:tcW w:w="0" w:type="auto"/>
            <w:shd w:val="clear" w:color="auto" w:fill="FFFFFF"/>
            <w:tcMar>
              <w:top w:w="0" w:type="dxa"/>
              <w:left w:w="0" w:type="dxa"/>
              <w:bottom w:w="0" w:type="dxa"/>
              <w:right w:w="0" w:type="dxa"/>
            </w:tcMar>
            <w:vAlign w:val="center"/>
          </w:tcPr>
          <w:p w14:paraId="33731937" w14:textId="77777777" w:rsidR="00E2099A" w:rsidRDefault="00000000">
            <w:pPr>
              <w:spacing w:before="100" w:after="100"/>
              <w:ind w:left="100" w:right="100"/>
            </w:pPr>
            <w:r>
              <w:rPr>
                <w:rFonts w:ascii="Helvetica" w:eastAsia="Helvetica" w:hAnsi="Helvetica" w:cs="Helvetica"/>
                <w:color w:val="000000"/>
                <w:sz w:val="18"/>
                <w:szCs w:val="18"/>
              </w:rPr>
              <w:t>Residential Electricity (MWh)</w:t>
            </w:r>
          </w:p>
        </w:tc>
        <w:tc>
          <w:tcPr>
            <w:tcW w:w="0" w:type="auto"/>
            <w:shd w:val="clear" w:color="auto" w:fill="FFFFFF"/>
            <w:tcMar>
              <w:top w:w="0" w:type="dxa"/>
              <w:left w:w="0" w:type="dxa"/>
              <w:bottom w:w="0" w:type="dxa"/>
              <w:right w:w="0" w:type="dxa"/>
            </w:tcMar>
            <w:vAlign w:val="center"/>
          </w:tcPr>
          <w:p w14:paraId="619B1B36" w14:textId="77777777" w:rsidR="00E2099A" w:rsidRDefault="00000000">
            <w:pPr>
              <w:spacing w:before="100" w:after="100"/>
              <w:ind w:left="100" w:right="100"/>
              <w:jc w:val="right"/>
            </w:pPr>
            <w:r>
              <w:rPr>
                <w:rFonts w:ascii="Helvetica" w:eastAsia="Helvetica" w:hAnsi="Helvetica" w:cs="Helvetica"/>
                <w:color w:val="000000"/>
                <w:sz w:val="18"/>
                <w:szCs w:val="18"/>
              </w:rPr>
              <w:t>954,909</w:t>
            </w:r>
          </w:p>
        </w:tc>
      </w:tr>
      <w:tr w:rsidR="00E2099A" w14:paraId="5CA6B06D" w14:textId="77777777">
        <w:trPr>
          <w:cantSplit/>
          <w:jc w:val="center"/>
        </w:trPr>
        <w:tc>
          <w:tcPr>
            <w:tcW w:w="0" w:type="auto"/>
            <w:shd w:val="clear" w:color="auto" w:fill="FFFFFF"/>
            <w:tcMar>
              <w:top w:w="0" w:type="dxa"/>
              <w:left w:w="0" w:type="dxa"/>
              <w:bottom w:w="0" w:type="dxa"/>
              <w:right w:w="0" w:type="dxa"/>
            </w:tcMar>
            <w:vAlign w:val="center"/>
          </w:tcPr>
          <w:p w14:paraId="58CC9373" w14:textId="77777777" w:rsidR="00E2099A" w:rsidRDefault="00000000">
            <w:pPr>
              <w:spacing w:before="100" w:after="100"/>
              <w:ind w:left="100" w:right="100"/>
            </w:pPr>
            <w:r>
              <w:rPr>
                <w:rFonts w:ascii="Helvetica" w:eastAsia="Helvetica" w:hAnsi="Helvetica" w:cs="Helvetica"/>
                <w:color w:val="000000"/>
                <w:sz w:val="18"/>
                <w:szCs w:val="18"/>
              </w:rPr>
              <w:t>Residential Electricity Emissions (kg CO&lt;sub&gt;2&lt;/sub&gt;e)</w:t>
            </w:r>
          </w:p>
        </w:tc>
        <w:tc>
          <w:tcPr>
            <w:tcW w:w="0" w:type="auto"/>
            <w:shd w:val="clear" w:color="auto" w:fill="FFFFFF"/>
            <w:tcMar>
              <w:top w:w="0" w:type="dxa"/>
              <w:left w:w="0" w:type="dxa"/>
              <w:bottom w:w="0" w:type="dxa"/>
              <w:right w:w="0" w:type="dxa"/>
            </w:tcMar>
            <w:vAlign w:val="center"/>
          </w:tcPr>
          <w:p w14:paraId="3B418C0D" w14:textId="77777777" w:rsidR="00E2099A" w:rsidRDefault="00000000">
            <w:pPr>
              <w:spacing w:before="100" w:after="100"/>
              <w:ind w:left="100" w:right="100"/>
              <w:jc w:val="right"/>
            </w:pPr>
            <w:r>
              <w:rPr>
                <w:rFonts w:ascii="Helvetica" w:eastAsia="Helvetica" w:hAnsi="Helvetica" w:cs="Helvetica"/>
                <w:color w:val="000000"/>
                <w:sz w:val="18"/>
                <w:szCs w:val="18"/>
              </w:rPr>
              <w:t>108,172,078</w:t>
            </w:r>
          </w:p>
        </w:tc>
      </w:tr>
      <w:tr w:rsidR="00E2099A" w14:paraId="621BEBB4" w14:textId="77777777">
        <w:trPr>
          <w:cantSplit/>
          <w:jc w:val="center"/>
        </w:trPr>
        <w:tc>
          <w:tcPr>
            <w:tcW w:w="0" w:type="auto"/>
            <w:shd w:val="clear" w:color="auto" w:fill="FFFFFF"/>
            <w:tcMar>
              <w:top w:w="0" w:type="dxa"/>
              <w:left w:w="0" w:type="dxa"/>
              <w:bottom w:w="0" w:type="dxa"/>
              <w:right w:w="0" w:type="dxa"/>
            </w:tcMar>
            <w:vAlign w:val="center"/>
          </w:tcPr>
          <w:p w14:paraId="01CB4069" w14:textId="77777777" w:rsidR="00E2099A" w:rsidRDefault="00000000">
            <w:pPr>
              <w:spacing w:before="100" w:after="100"/>
              <w:ind w:left="100" w:right="100"/>
            </w:pPr>
            <w:r>
              <w:rPr>
                <w:rFonts w:ascii="Helvetica" w:eastAsia="Helvetica" w:hAnsi="Helvetica" w:cs="Helvetica"/>
                <w:color w:val="000000"/>
                <w:sz w:val="18"/>
                <w:szCs w:val="18"/>
              </w:rPr>
              <w:t>Residential Natural Gas (Therms)</w:t>
            </w:r>
          </w:p>
        </w:tc>
        <w:tc>
          <w:tcPr>
            <w:tcW w:w="0" w:type="auto"/>
            <w:shd w:val="clear" w:color="auto" w:fill="FFFFFF"/>
            <w:tcMar>
              <w:top w:w="0" w:type="dxa"/>
              <w:left w:w="0" w:type="dxa"/>
              <w:bottom w:w="0" w:type="dxa"/>
              <w:right w:w="0" w:type="dxa"/>
            </w:tcMar>
            <w:vAlign w:val="center"/>
          </w:tcPr>
          <w:p w14:paraId="6D72A474" w14:textId="77777777" w:rsidR="00E2099A" w:rsidRDefault="00000000">
            <w:pPr>
              <w:spacing w:before="100" w:after="100"/>
              <w:ind w:left="100" w:right="100"/>
              <w:jc w:val="right"/>
            </w:pPr>
            <w:r>
              <w:rPr>
                <w:rFonts w:ascii="Helvetica" w:eastAsia="Helvetica" w:hAnsi="Helvetica" w:cs="Helvetica"/>
                <w:color w:val="000000"/>
                <w:sz w:val="18"/>
                <w:szCs w:val="18"/>
              </w:rPr>
              <w:t>140,340,271</w:t>
            </w:r>
          </w:p>
        </w:tc>
      </w:tr>
      <w:tr w:rsidR="00E2099A" w14:paraId="2DD24AF6"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642E4902" w14:textId="77777777" w:rsidR="00E2099A" w:rsidRDefault="00000000">
            <w:pPr>
              <w:spacing w:before="100" w:after="100"/>
              <w:ind w:left="100" w:right="100"/>
            </w:pPr>
            <w:r>
              <w:rPr>
                <w:rFonts w:ascii="Helvetica" w:eastAsia="Helvetica" w:hAnsi="Helvetica" w:cs="Helvetica"/>
                <w:color w:val="000000"/>
                <w:sz w:val="18"/>
                <w:szCs w:val="18"/>
              </w:rPr>
              <w:t>Residential Natural Gas Emissions (kg CO&lt;sub&gt;2&lt;/sub&gt;e)</w:t>
            </w:r>
          </w:p>
        </w:tc>
        <w:tc>
          <w:tcPr>
            <w:tcW w:w="0" w:type="auto"/>
            <w:tcBorders>
              <w:bottom w:val="single" w:sz="16" w:space="0" w:color="666666"/>
            </w:tcBorders>
            <w:shd w:val="clear" w:color="auto" w:fill="FFFFFF"/>
            <w:tcMar>
              <w:top w:w="0" w:type="dxa"/>
              <w:left w:w="0" w:type="dxa"/>
              <w:bottom w:w="0" w:type="dxa"/>
              <w:right w:w="0" w:type="dxa"/>
            </w:tcMar>
            <w:vAlign w:val="center"/>
          </w:tcPr>
          <w:p w14:paraId="5EB3ABCA" w14:textId="77777777" w:rsidR="00E2099A" w:rsidRDefault="00000000">
            <w:pPr>
              <w:spacing w:before="100" w:after="100"/>
              <w:ind w:left="100" w:right="100"/>
              <w:jc w:val="right"/>
            </w:pPr>
            <w:r>
              <w:rPr>
                <w:rFonts w:ascii="Helvetica" w:eastAsia="Helvetica" w:hAnsi="Helvetica" w:cs="Helvetica"/>
                <w:color w:val="000000"/>
                <w:sz w:val="18"/>
                <w:szCs w:val="18"/>
              </w:rPr>
              <w:t>745,206,837</w:t>
            </w:r>
          </w:p>
        </w:tc>
      </w:tr>
    </w:tbl>
    <w:p w14:paraId="77928C64" w14:textId="77777777" w:rsidR="00E2099A" w:rsidRDefault="00E2099A">
      <w:pPr>
        <w:pStyle w:val="BodyText"/>
      </w:pPr>
    </w:p>
    <w:p w14:paraId="4C20CE0A" w14:textId="77777777" w:rsidR="00E2099A" w:rsidRDefault="00000000">
      <w:pPr>
        <w:pStyle w:val="BodyText"/>
      </w:pPr>
      <m:oMathPara>
        <m:oMathParaPr>
          <m:jc m:val="center"/>
        </m:oMathParaPr>
        <m:oMath>
          <m:r>
            <w:rPr>
              <w:rFonts w:ascii="Cambria Math" w:hAnsi="Cambria Math"/>
            </w:rPr>
            <m:t>kgC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populatio</m:t>
              </m:r>
              <m:sSub>
                <m:sSubPr>
                  <m:ctrlPr>
                    <w:rPr>
                      <w:rFonts w:ascii="Cambria Math" w:hAnsi="Cambria Math"/>
                    </w:rPr>
                  </m:ctrlPr>
                </m:sSubPr>
                <m:e>
                  <m:r>
                    <w:rPr>
                      <w:rFonts w:ascii="Cambria Math" w:hAnsi="Cambria Math"/>
                    </w:rPr>
                    <m:t>n</m:t>
                  </m:r>
                </m:e>
                <m:sub>
                  <m:r>
                    <w:rPr>
                      <w:rFonts w:ascii="Cambria Math" w:hAnsi="Cambria Math"/>
                    </w:rPr>
                    <m:t>2040</m:t>
                  </m:r>
                </m:sub>
              </m:sSub>
              <m:r>
                <m:rPr>
                  <m:sty m:val="p"/>
                </m:rPr>
                <w:rPr>
                  <w:rFonts w:ascii="Cambria Math" w:hAnsi="Cambria Math"/>
                </w:rPr>
                <m:t>*</m:t>
              </m:r>
              <m:r>
                <w:rPr>
                  <w:rFonts w:ascii="Cambria Math" w:hAnsi="Cambria Math"/>
                </w:rPr>
                <m:t>sqft</m:t>
              </m:r>
              <m:r>
                <m:rPr>
                  <m:sty m:val="p"/>
                </m:rPr>
                <w:rPr>
                  <w:rFonts w:ascii="Cambria Math" w:hAnsi="Cambria Math"/>
                </w:rPr>
                <m:t>/</m:t>
              </m:r>
              <m:r>
                <w:rPr>
                  <w:rFonts w:ascii="Cambria Math" w:hAnsi="Cambria Math"/>
                </w:rPr>
                <m:t>perso</m:t>
              </m:r>
              <m:sSubSup>
                <m:sSubSupPr>
                  <m:ctrlPr>
                    <w:rPr>
                      <w:rFonts w:ascii="Cambria Math" w:hAnsi="Cambria Math"/>
                    </w:rPr>
                  </m:ctrlPr>
                </m:sSubSupPr>
                <m:e>
                  <m:r>
                    <w:rPr>
                      <w:rFonts w:ascii="Cambria Math" w:hAnsi="Cambria Math"/>
                    </w:rPr>
                    <m:t>n</m:t>
                  </m:r>
                </m:e>
                <m:sub>
                  <m:r>
                    <w:rPr>
                      <w:rFonts w:ascii="Cambria Math" w:hAnsi="Cambria Math"/>
                    </w:rPr>
                    <m:t>2040</m:t>
                  </m:r>
                </m:sub>
                <m:sup>
                  <m:r>
                    <w:rPr>
                      <w:rFonts w:ascii="Cambria Math" w:hAnsi="Cambria Math"/>
                    </w:rPr>
                    <m:t>residential</m:t>
                  </m:r>
                </m:sup>
              </m:sSubSup>
              <m:r>
                <m:rPr>
                  <m:sty m:val="p"/>
                </m:rPr>
                <w:rPr>
                  <w:rFonts w:ascii="Cambria Math" w:hAnsi="Cambria Math"/>
                </w:rPr>
                <m:t>*</m:t>
              </m:r>
              <m:r>
                <w:rPr>
                  <w:rFonts w:ascii="Cambria Math" w:hAnsi="Cambria Math"/>
                </w:rPr>
                <m:t>kWh</m:t>
              </m:r>
              <m:r>
                <m:rPr>
                  <m:sty m:val="p"/>
                </m:rPr>
                <w:rPr>
                  <w:rFonts w:ascii="Cambria Math" w:hAnsi="Cambria Math"/>
                </w:rPr>
                <m:t>/</m:t>
              </m:r>
              <m:r>
                <w:rPr>
                  <w:rFonts w:ascii="Cambria Math" w:hAnsi="Cambria Math"/>
                </w:rPr>
                <m:t>sqf</m:t>
              </m:r>
              <m:sSubSup>
                <m:sSubSupPr>
                  <m:ctrlPr>
                    <w:rPr>
                      <w:rFonts w:ascii="Cambria Math" w:hAnsi="Cambria Math"/>
                    </w:rPr>
                  </m:ctrlPr>
                </m:sSubSupPr>
                <m:e>
                  <m:r>
                    <w:rPr>
                      <w:rFonts w:ascii="Cambria Math" w:hAnsi="Cambria Math"/>
                    </w:rPr>
                    <m:t>t</m:t>
                  </m:r>
                </m:e>
                <m:sub>
                  <m:r>
                    <w:rPr>
                      <w:rFonts w:ascii="Cambria Math" w:hAnsi="Cambria Math"/>
                    </w:rPr>
                    <m:t>residential</m:t>
                  </m:r>
                </m:sub>
                <m:sup>
                  <m:r>
                    <w:rPr>
                      <w:rFonts w:ascii="Cambria Math" w:hAnsi="Cambria Math"/>
                    </w:rPr>
                    <m:t>2040</m:t>
                  </m:r>
                </m:sup>
              </m:sSubSup>
            </m:e>
          </m:d>
        </m:oMath>
      </m:oMathPara>
    </w:p>
    <w:p w14:paraId="218D3D43" w14:textId="77777777" w:rsidR="00E2099A" w:rsidRDefault="00000000">
      <w:pPr>
        <w:pStyle w:val="FirstParagraph"/>
      </w:pPr>
      <w:r>
        <w:rPr>
          <w:i/>
          <w:iCs/>
        </w:rPr>
        <w:t>Figure 3.5 could be a static or interactive figure. Same questions/issues as above; the main one being is that the larger run_scenario_building() function has errors and isn’t running right now.</w:t>
      </w:r>
    </w:p>
    <w:p w14:paraId="4273EED5" w14:textId="77777777" w:rsidR="00E2099A" w:rsidRDefault="00000000">
      <w:pPr>
        <w:pStyle w:val="CaptionedFigure"/>
      </w:pPr>
      <w:r>
        <w:rPr>
          <w:noProof/>
        </w:rPr>
        <w:drawing>
          <wp:inline distT="0" distB="0" distL="0" distR="0" wp14:anchorId="6C69122F" wp14:editId="15EB92BB">
            <wp:extent cx="6400800" cy="4800600"/>
            <wp:effectExtent l="0" t="0" r="0" b="0"/>
            <wp:docPr id="81" name="Picture" descr="Figure 3.5: Comparing output values between years 2018 and 2040 for different percentages of decarbonizing the grid."/>
            <wp:cNvGraphicFramePr/>
            <a:graphic xmlns:a="http://schemas.openxmlformats.org/drawingml/2006/main">
              <a:graphicData uri="http://schemas.openxmlformats.org/drawingml/2006/picture">
                <pic:pic xmlns:pic="http://schemas.openxmlformats.org/drawingml/2006/picture">
                  <pic:nvPicPr>
                    <pic:cNvPr id="82" name="Picture" descr="/private/var/folders/b6/n168s8b14psghnl3gh43fyj1ctm4s3/T/RtmpPRVKni/preview-1334129cce645.dir/report_files/figure-docx/fig-decarbonize-residential-energy-1.png"/>
                    <pic:cNvPicPr>
                      <a:picLocks noChangeAspect="1" noChangeArrowheads="1"/>
                    </pic:cNvPicPr>
                  </pic:nvPicPr>
                  <pic:blipFill>
                    <a:blip r:embed="rId25"/>
                    <a:stretch>
                      <a:fillRect/>
                    </a:stretch>
                  </pic:blipFill>
                  <pic:spPr bwMode="auto">
                    <a:xfrm>
                      <a:off x="0" y="0"/>
                      <a:ext cx="6400800" cy="4800600"/>
                    </a:xfrm>
                    <a:prstGeom prst="rect">
                      <a:avLst/>
                    </a:prstGeom>
                    <a:noFill/>
                    <a:ln w="9525">
                      <a:noFill/>
                      <a:headEnd/>
                      <a:tailEnd/>
                    </a:ln>
                  </pic:spPr>
                </pic:pic>
              </a:graphicData>
            </a:graphic>
          </wp:inline>
        </w:drawing>
      </w:r>
    </w:p>
    <w:p w14:paraId="749E43C2" w14:textId="77777777" w:rsidR="00E2099A" w:rsidRDefault="00000000">
      <w:pPr>
        <w:pStyle w:val="ImageCaption"/>
      </w:pPr>
      <w:r>
        <w:t>Figure 3.5: Comparing output values between years 2018 and 2040 for different percentages of decarbonizing the grid.</w:t>
      </w:r>
    </w:p>
    <w:p w14:paraId="769A5645" w14:textId="77777777" w:rsidR="00E2099A" w:rsidRDefault="00000000">
      <w:pPr>
        <w:pStyle w:val="Heading4"/>
      </w:pPr>
      <w:bookmarkStart w:id="50" w:name="electrifying-residential-heating"/>
      <w:bookmarkEnd w:id="48"/>
      <w:r>
        <w:t>3.1.1.7</w:t>
      </w:r>
      <w:r>
        <w:tab/>
        <w:t>Electrifying Residential Heating</w:t>
      </w:r>
    </w:p>
    <w:p w14:paraId="19EC8B61" w14:textId="77777777" w:rsidR="00E2099A" w:rsidRDefault="00000000">
      <w:pPr>
        <w:pStyle w:val="FirstParagraph"/>
      </w:pPr>
      <w:r>
        <w:t>The Greenhouse Gas Scenario Planning Tool estimates that by 2040, Minnesota will decarbonize the overall grid to 80% relative to 2018 levels, consistent with Xcel Energy’s plans to achieve a net-zero power grid by 2050.</w:t>
      </w:r>
    </w:p>
    <w:p w14:paraId="22ABDAE3" w14:textId="77777777" w:rsidR="00E2099A" w:rsidRDefault="00000000">
      <w:pPr>
        <w:pStyle w:val="BodyText"/>
      </w:pPr>
      <w:r>
        <w:t>Switching to more efficient electric heat pumps and tank-less water heaters with a net zero-carbon future electric grid can significantly reduce emissions.</w:t>
      </w:r>
    </w:p>
    <w:p w14:paraId="35F8F75B" w14:textId="77777777" w:rsidR="00E2099A" w:rsidRDefault="00000000">
      <w:pPr>
        <w:pStyle w:val="BodyText"/>
      </w:pPr>
      <w:r>
        <w:lastRenderedPageBreak/>
        <w:t>Only around 14% of homes in MN have adopted these new technologies.2 The scenario planning tool projects that by 2050, 59% of residential and commercial buildings will switch to electrically driven heat pumps,3 which can heat and cool homes while offering long-term cost savings. Furthermore, the scenario planning model utilizes efficiency of the heat pump derived from pilot tests in Minnesota,4 so the results are more realistic for our region. National studies indicate 100% adoption of electric heat pumps may be unlikely in cold areas, due to which we also model renewable natural gas for the remaining buildings, described in the following strategy.</w:t>
      </w:r>
    </w:p>
    <w:p w14:paraId="2B361D13" w14:textId="77777777" w:rsidR="00E2099A" w:rsidRDefault="00000000">
      <w:pPr>
        <w:pStyle w:val="BodyText"/>
      </w:pPr>
      <w:r>
        <w:t>Electricity can be generated from various sources, including renewable energy sources such as solar, wind, and hydroelectric power. Using electricity for heating, cooling, and other household energy needs can reduce greenhouse gas emissions compared to fossil fuels such as natural gas, propane, and oil.</w:t>
      </w:r>
    </w:p>
    <w:p w14:paraId="56063286" w14:textId="77777777" w:rsidR="00E2099A" w:rsidRDefault="00000000">
      <w:pPr>
        <w:pStyle w:val="BodyText"/>
      </w:pPr>
      <w:r>
        <w:rPr>
          <w:b/>
          <w:bCs/>
        </w:rPr>
        <w:t>About this strategy</w:t>
      </w:r>
      <w:r>
        <w:t xml:space="preserve"> For this strategy, we made the assumption that by 2040 59% of homes are using air-source heat pumps and electric water heaters, instead of using gas for heating. Cities can adjust the percentage of homes participated in electrifying heating.</w:t>
      </w:r>
    </w:p>
    <w:p w14:paraId="46CD299A" w14:textId="77777777" w:rsidR="00E2099A" w:rsidRDefault="00000000">
      <w:pPr>
        <w:pStyle w:val="TableCaption"/>
      </w:pPr>
      <w:bookmarkStart w:id="51" w:name="tab-electrify-residential-heating"/>
      <w:r>
        <w:rPr>
          <w:b/>
          <w:bCs/>
        </w:rPr>
        <w:t xml:space="preserve">Table 3.7: </w:t>
      </w:r>
      <w:bookmarkEnd w:id="51"/>
      <w:r>
        <w:t>Electrifying Residential Heating Minneapolis 2040</w:t>
      </w:r>
    </w:p>
    <w:tbl>
      <w:tblPr>
        <w:tblW w:w="0" w:type="pct"/>
        <w:jc w:val="center"/>
        <w:tblLook w:val="0420" w:firstRow="1" w:lastRow="0" w:firstColumn="0" w:lastColumn="0" w:noHBand="0" w:noVBand="1"/>
      </w:tblPr>
      <w:tblGrid>
        <w:gridCol w:w="4903"/>
        <w:gridCol w:w="1261"/>
      </w:tblGrid>
      <w:tr w:rsidR="00E2099A" w14:paraId="54ED0C6D"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7C1DA80" w14:textId="77777777" w:rsidR="00E2099A" w:rsidRDefault="00000000">
            <w:pPr>
              <w:spacing w:before="100" w:after="100"/>
              <w:ind w:left="100" w:right="100"/>
              <w:jc w:val="center"/>
            </w:pPr>
            <w:r>
              <w:rPr>
                <w:rFonts w:ascii="Helvetica" w:eastAsia="Helvetica" w:hAnsi="Helvetica" w:cs="Helvetica"/>
                <w:color w:val="000000"/>
                <w:sz w:val="18"/>
                <w:szCs w:val="18"/>
              </w:rPr>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2E84D5E" w14:textId="77777777" w:rsidR="00E2099A" w:rsidRDefault="00000000">
            <w:pPr>
              <w:spacing w:before="100" w:after="100"/>
              <w:ind w:left="100" w:right="100"/>
              <w:jc w:val="center"/>
            </w:pPr>
            <w:r>
              <w:rPr>
                <w:rFonts w:ascii="Helvetica" w:eastAsia="Helvetica" w:hAnsi="Helvetica" w:cs="Helvetica"/>
                <w:color w:val="000000"/>
                <w:sz w:val="18"/>
                <w:szCs w:val="18"/>
              </w:rPr>
              <w:t>Value</w:t>
            </w:r>
          </w:p>
        </w:tc>
      </w:tr>
      <w:tr w:rsidR="00E2099A" w14:paraId="115AA074" w14:textId="77777777">
        <w:trPr>
          <w:cantSplit/>
          <w:jc w:val="center"/>
        </w:trPr>
        <w:tc>
          <w:tcPr>
            <w:tcW w:w="0" w:type="auto"/>
            <w:shd w:val="clear" w:color="auto" w:fill="FFFFFF"/>
            <w:tcMar>
              <w:top w:w="0" w:type="dxa"/>
              <w:left w:w="0" w:type="dxa"/>
              <w:bottom w:w="0" w:type="dxa"/>
              <w:right w:w="0" w:type="dxa"/>
            </w:tcMar>
            <w:vAlign w:val="center"/>
          </w:tcPr>
          <w:p w14:paraId="2502A66A" w14:textId="77777777" w:rsidR="00E2099A" w:rsidRDefault="00000000">
            <w:pPr>
              <w:spacing w:before="100" w:after="100"/>
              <w:ind w:left="100" w:right="100"/>
            </w:pPr>
            <w:r>
              <w:rPr>
                <w:rFonts w:ascii="Helvetica" w:eastAsia="Helvetica" w:hAnsi="Helvetica" w:cs="Helvetica"/>
                <w:color w:val="000000"/>
                <w:sz w:val="18"/>
                <w:szCs w:val="18"/>
              </w:rPr>
              <w:t>Population</w:t>
            </w:r>
          </w:p>
        </w:tc>
        <w:tc>
          <w:tcPr>
            <w:tcW w:w="0" w:type="auto"/>
            <w:shd w:val="clear" w:color="auto" w:fill="FFFFFF"/>
            <w:tcMar>
              <w:top w:w="0" w:type="dxa"/>
              <w:left w:w="0" w:type="dxa"/>
              <w:bottom w:w="0" w:type="dxa"/>
              <w:right w:w="0" w:type="dxa"/>
            </w:tcMar>
            <w:vAlign w:val="center"/>
          </w:tcPr>
          <w:p w14:paraId="71B6EACD" w14:textId="77777777" w:rsidR="00E2099A" w:rsidRDefault="00000000">
            <w:pPr>
              <w:spacing w:before="100" w:after="100"/>
              <w:ind w:left="100" w:right="100"/>
              <w:jc w:val="right"/>
            </w:pPr>
            <w:r>
              <w:rPr>
                <w:rFonts w:ascii="Helvetica" w:eastAsia="Helvetica" w:hAnsi="Helvetica" w:cs="Helvetica"/>
                <w:color w:val="000000"/>
                <w:sz w:val="18"/>
                <w:szCs w:val="18"/>
              </w:rPr>
              <w:t>485,000</w:t>
            </w:r>
          </w:p>
        </w:tc>
      </w:tr>
      <w:tr w:rsidR="00E2099A" w14:paraId="7351CBE6" w14:textId="77777777">
        <w:trPr>
          <w:cantSplit/>
          <w:jc w:val="center"/>
        </w:trPr>
        <w:tc>
          <w:tcPr>
            <w:tcW w:w="0" w:type="auto"/>
            <w:shd w:val="clear" w:color="auto" w:fill="FFFFFF"/>
            <w:tcMar>
              <w:top w:w="0" w:type="dxa"/>
              <w:left w:w="0" w:type="dxa"/>
              <w:bottom w:w="0" w:type="dxa"/>
              <w:right w:w="0" w:type="dxa"/>
            </w:tcMar>
            <w:vAlign w:val="center"/>
          </w:tcPr>
          <w:p w14:paraId="5CCA3DDB" w14:textId="77777777" w:rsidR="00E2099A" w:rsidRDefault="00000000">
            <w:pPr>
              <w:spacing w:before="100" w:after="100"/>
              <w:ind w:left="100" w:right="100"/>
            </w:pPr>
            <w:r>
              <w:rPr>
                <w:rFonts w:ascii="Helvetica" w:eastAsia="Helvetica" w:hAnsi="Helvetica" w:cs="Helvetica"/>
                <w:color w:val="000000"/>
                <w:sz w:val="18"/>
                <w:szCs w:val="18"/>
              </w:rPr>
              <w:t>Residential Electricity (MWh)</w:t>
            </w:r>
          </w:p>
        </w:tc>
        <w:tc>
          <w:tcPr>
            <w:tcW w:w="0" w:type="auto"/>
            <w:shd w:val="clear" w:color="auto" w:fill="FFFFFF"/>
            <w:tcMar>
              <w:top w:w="0" w:type="dxa"/>
              <w:left w:w="0" w:type="dxa"/>
              <w:bottom w:w="0" w:type="dxa"/>
              <w:right w:w="0" w:type="dxa"/>
            </w:tcMar>
            <w:vAlign w:val="center"/>
          </w:tcPr>
          <w:p w14:paraId="55B3F1D8" w14:textId="77777777" w:rsidR="00E2099A" w:rsidRDefault="00000000">
            <w:pPr>
              <w:spacing w:before="100" w:after="100"/>
              <w:ind w:left="100" w:right="100"/>
              <w:jc w:val="right"/>
            </w:pPr>
            <w:r>
              <w:rPr>
                <w:rFonts w:ascii="Helvetica" w:eastAsia="Helvetica" w:hAnsi="Helvetica" w:cs="Helvetica"/>
                <w:color w:val="000000"/>
                <w:sz w:val="18"/>
                <w:szCs w:val="18"/>
              </w:rPr>
              <w:t>954,909</w:t>
            </w:r>
          </w:p>
        </w:tc>
      </w:tr>
      <w:tr w:rsidR="00E2099A" w14:paraId="6F4A1FBA" w14:textId="77777777">
        <w:trPr>
          <w:cantSplit/>
          <w:jc w:val="center"/>
        </w:trPr>
        <w:tc>
          <w:tcPr>
            <w:tcW w:w="0" w:type="auto"/>
            <w:shd w:val="clear" w:color="auto" w:fill="FFFFFF"/>
            <w:tcMar>
              <w:top w:w="0" w:type="dxa"/>
              <w:left w:w="0" w:type="dxa"/>
              <w:bottom w:w="0" w:type="dxa"/>
              <w:right w:w="0" w:type="dxa"/>
            </w:tcMar>
            <w:vAlign w:val="center"/>
          </w:tcPr>
          <w:p w14:paraId="24082DFE" w14:textId="77777777" w:rsidR="00E2099A" w:rsidRDefault="00000000">
            <w:pPr>
              <w:spacing w:before="100" w:after="100"/>
              <w:ind w:left="100" w:right="100"/>
            </w:pPr>
            <w:r>
              <w:rPr>
                <w:rFonts w:ascii="Helvetica" w:eastAsia="Helvetica" w:hAnsi="Helvetica" w:cs="Helvetica"/>
                <w:color w:val="000000"/>
                <w:sz w:val="18"/>
                <w:szCs w:val="18"/>
              </w:rPr>
              <w:t>Residential Electricity Emissions (kg CO&lt;sub&gt;2&lt;/sub&gt;e)</w:t>
            </w:r>
          </w:p>
        </w:tc>
        <w:tc>
          <w:tcPr>
            <w:tcW w:w="0" w:type="auto"/>
            <w:shd w:val="clear" w:color="auto" w:fill="FFFFFF"/>
            <w:tcMar>
              <w:top w:w="0" w:type="dxa"/>
              <w:left w:w="0" w:type="dxa"/>
              <w:bottom w:w="0" w:type="dxa"/>
              <w:right w:w="0" w:type="dxa"/>
            </w:tcMar>
            <w:vAlign w:val="center"/>
          </w:tcPr>
          <w:p w14:paraId="68D9316D" w14:textId="77777777" w:rsidR="00E2099A" w:rsidRDefault="00000000">
            <w:pPr>
              <w:spacing w:before="100" w:after="100"/>
              <w:ind w:left="100" w:right="100"/>
              <w:jc w:val="right"/>
            </w:pPr>
            <w:r>
              <w:rPr>
                <w:rFonts w:ascii="Helvetica" w:eastAsia="Helvetica" w:hAnsi="Helvetica" w:cs="Helvetica"/>
                <w:color w:val="000000"/>
                <w:sz w:val="18"/>
                <w:szCs w:val="18"/>
              </w:rPr>
              <w:t>108,172,078</w:t>
            </w:r>
          </w:p>
        </w:tc>
      </w:tr>
      <w:tr w:rsidR="00E2099A" w14:paraId="3191192A" w14:textId="77777777">
        <w:trPr>
          <w:cantSplit/>
          <w:jc w:val="center"/>
        </w:trPr>
        <w:tc>
          <w:tcPr>
            <w:tcW w:w="0" w:type="auto"/>
            <w:shd w:val="clear" w:color="auto" w:fill="FFFFFF"/>
            <w:tcMar>
              <w:top w:w="0" w:type="dxa"/>
              <w:left w:w="0" w:type="dxa"/>
              <w:bottom w:w="0" w:type="dxa"/>
              <w:right w:w="0" w:type="dxa"/>
            </w:tcMar>
            <w:vAlign w:val="center"/>
          </w:tcPr>
          <w:p w14:paraId="09B00973" w14:textId="77777777" w:rsidR="00E2099A" w:rsidRDefault="00000000">
            <w:pPr>
              <w:spacing w:before="100" w:after="100"/>
              <w:ind w:left="100" w:right="100"/>
            </w:pPr>
            <w:r>
              <w:rPr>
                <w:rFonts w:ascii="Helvetica" w:eastAsia="Helvetica" w:hAnsi="Helvetica" w:cs="Helvetica"/>
                <w:color w:val="000000"/>
                <w:sz w:val="18"/>
                <w:szCs w:val="18"/>
              </w:rPr>
              <w:t>Residential Natural Gas (Therms)</w:t>
            </w:r>
          </w:p>
        </w:tc>
        <w:tc>
          <w:tcPr>
            <w:tcW w:w="0" w:type="auto"/>
            <w:shd w:val="clear" w:color="auto" w:fill="FFFFFF"/>
            <w:tcMar>
              <w:top w:w="0" w:type="dxa"/>
              <w:left w:w="0" w:type="dxa"/>
              <w:bottom w:w="0" w:type="dxa"/>
              <w:right w:w="0" w:type="dxa"/>
            </w:tcMar>
            <w:vAlign w:val="center"/>
          </w:tcPr>
          <w:p w14:paraId="41674364" w14:textId="77777777" w:rsidR="00E2099A" w:rsidRDefault="00000000">
            <w:pPr>
              <w:spacing w:before="100" w:after="100"/>
              <w:ind w:left="100" w:right="100"/>
              <w:jc w:val="right"/>
            </w:pPr>
            <w:r>
              <w:rPr>
                <w:rFonts w:ascii="Helvetica" w:eastAsia="Helvetica" w:hAnsi="Helvetica" w:cs="Helvetica"/>
                <w:color w:val="000000"/>
                <w:sz w:val="18"/>
                <w:szCs w:val="18"/>
              </w:rPr>
              <w:t>140,340,271</w:t>
            </w:r>
          </w:p>
        </w:tc>
      </w:tr>
      <w:tr w:rsidR="00E2099A" w14:paraId="07260F4E" w14:textId="77777777">
        <w:trPr>
          <w:cantSplit/>
          <w:jc w:val="center"/>
        </w:trPr>
        <w:tc>
          <w:tcPr>
            <w:tcW w:w="0" w:type="auto"/>
            <w:shd w:val="clear" w:color="auto" w:fill="FFFFFF"/>
            <w:tcMar>
              <w:top w:w="0" w:type="dxa"/>
              <w:left w:w="0" w:type="dxa"/>
              <w:bottom w:w="0" w:type="dxa"/>
              <w:right w:w="0" w:type="dxa"/>
            </w:tcMar>
            <w:vAlign w:val="center"/>
          </w:tcPr>
          <w:p w14:paraId="267F1ED3" w14:textId="77777777" w:rsidR="00E2099A" w:rsidRDefault="00000000">
            <w:pPr>
              <w:spacing w:before="100" w:after="100"/>
              <w:ind w:left="100" w:right="100"/>
            </w:pPr>
            <w:r>
              <w:rPr>
                <w:rFonts w:ascii="Helvetica" w:eastAsia="Helvetica" w:hAnsi="Helvetica" w:cs="Helvetica"/>
                <w:color w:val="000000"/>
                <w:sz w:val="18"/>
                <w:szCs w:val="18"/>
              </w:rPr>
              <w:t>Residential Natural Gas Emissions (kg CO&lt;sub&gt;2&lt;/sub&gt;e)</w:t>
            </w:r>
          </w:p>
        </w:tc>
        <w:tc>
          <w:tcPr>
            <w:tcW w:w="0" w:type="auto"/>
            <w:shd w:val="clear" w:color="auto" w:fill="FFFFFF"/>
            <w:tcMar>
              <w:top w:w="0" w:type="dxa"/>
              <w:left w:w="0" w:type="dxa"/>
              <w:bottom w:w="0" w:type="dxa"/>
              <w:right w:w="0" w:type="dxa"/>
            </w:tcMar>
            <w:vAlign w:val="center"/>
          </w:tcPr>
          <w:p w14:paraId="75CE51D3" w14:textId="77777777" w:rsidR="00E2099A" w:rsidRDefault="00000000">
            <w:pPr>
              <w:spacing w:before="100" w:after="100"/>
              <w:ind w:left="100" w:right="100"/>
              <w:jc w:val="right"/>
            </w:pPr>
            <w:r>
              <w:rPr>
                <w:rFonts w:ascii="Helvetica" w:eastAsia="Helvetica" w:hAnsi="Helvetica" w:cs="Helvetica"/>
                <w:color w:val="000000"/>
                <w:sz w:val="18"/>
                <w:szCs w:val="18"/>
              </w:rPr>
              <w:t>-185,722,810</w:t>
            </w:r>
          </w:p>
        </w:tc>
      </w:tr>
      <w:tr w:rsidR="00E2099A" w14:paraId="42AC6218"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5A25DC5B" w14:textId="77777777" w:rsidR="00E2099A" w:rsidRDefault="00000000">
            <w:pPr>
              <w:spacing w:before="100" w:after="100"/>
              <w:ind w:left="100" w:right="100"/>
            </w:pPr>
            <w:r>
              <w:rPr>
                <w:rFonts w:ascii="Helvetica" w:eastAsia="Helvetica" w:hAnsi="Helvetica" w:cs="Helvetica"/>
                <w:color w:val="000000"/>
                <w:sz w:val="18"/>
                <w:szCs w:val="18"/>
              </w:rPr>
              <w:t>Total Residential Emissions (tonnes CO&lt;sub&gt;2&lt;/sub&gt;e)</w:t>
            </w:r>
          </w:p>
        </w:tc>
        <w:tc>
          <w:tcPr>
            <w:tcW w:w="0" w:type="auto"/>
            <w:tcBorders>
              <w:bottom w:val="single" w:sz="16" w:space="0" w:color="666666"/>
            </w:tcBorders>
            <w:shd w:val="clear" w:color="auto" w:fill="FFFFFF"/>
            <w:tcMar>
              <w:top w:w="0" w:type="dxa"/>
              <w:left w:w="0" w:type="dxa"/>
              <w:bottom w:w="0" w:type="dxa"/>
              <w:right w:w="0" w:type="dxa"/>
            </w:tcMar>
            <w:vAlign w:val="center"/>
          </w:tcPr>
          <w:p w14:paraId="798371A9" w14:textId="77777777" w:rsidR="00E2099A" w:rsidRDefault="00000000">
            <w:pPr>
              <w:spacing w:before="100" w:after="100"/>
              <w:ind w:left="100" w:right="100"/>
              <w:jc w:val="right"/>
            </w:pPr>
            <w:r>
              <w:rPr>
                <w:rFonts w:ascii="Helvetica" w:eastAsia="Helvetica" w:hAnsi="Helvetica" w:cs="Helvetica"/>
                <w:color w:val="000000"/>
                <w:sz w:val="18"/>
                <w:szCs w:val="18"/>
              </w:rPr>
              <w:t>853,378,915</w:t>
            </w:r>
          </w:p>
        </w:tc>
      </w:tr>
    </w:tbl>
    <w:p w14:paraId="6A3C1CBD" w14:textId="77777777" w:rsidR="00E2099A" w:rsidRDefault="00000000">
      <w:pPr>
        <w:pStyle w:val="BodyText"/>
      </w:pPr>
      <w:r>
        <w:rPr>
          <w:i/>
          <w:iCs/>
        </w:rPr>
        <w:t>Figure 3.6 could be a static or interactive figure. Same questions/issues as above; the main one being is that the larger run_scenario_building() function has errors and isn’t running right now.</w:t>
      </w:r>
    </w:p>
    <w:p w14:paraId="1F277FB0" w14:textId="77777777" w:rsidR="00E2099A" w:rsidRDefault="00000000">
      <w:pPr>
        <w:pStyle w:val="BodyText"/>
      </w:pPr>
      <w:r>
        <w:rPr>
          <w:noProof/>
        </w:rPr>
        <w:lastRenderedPageBreak/>
        <w:drawing>
          <wp:inline distT="0" distB="0" distL="0" distR="0" wp14:anchorId="0968DAF1" wp14:editId="16A3FC36">
            <wp:extent cx="6400800" cy="4800600"/>
            <wp:effectExtent l="0" t="0" r="0" b="0"/>
            <wp:docPr id="85" name="Picture" descr="Figure 3.6: Comparing output values between years 2018 and 2040 for different percentages of electrififying residential buildings. Grid decarbonization is held constant at 80%, natural gas for space heating held at 71% and natural gas for water heating at 24% (the constants are the same as in the above table)."/>
            <wp:cNvGraphicFramePr/>
            <a:graphic xmlns:a="http://schemas.openxmlformats.org/drawingml/2006/main">
              <a:graphicData uri="http://schemas.openxmlformats.org/drawingml/2006/picture">
                <pic:pic xmlns:pic="http://schemas.openxmlformats.org/drawingml/2006/picture">
                  <pic:nvPicPr>
                    <pic:cNvPr id="86" name="Picture" descr="/private/var/folders/b6/n168s8b14psghnl3gh43fyj1ctm4s3/T/RtmpPRVKni/preview-1334129cce645.dir/report_files/figure-docx/fig-electrify-residential-heating-1.png"/>
                    <pic:cNvPicPr>
                      <a:picLocks noChangeAspect="1" noChangeArrowheads="1"/>
                    </pic:cNvPicPr>
                  </pic:nvPicPr>
                  <pic:blipFill>
                    <a:blip r:embed="rId26"/>
                    <a:stretch>
                      <a:fillRect/>
                    </a:stretch>
                  </pic:blipFill>
                  <pic:spPr bwMode="auto">
                    <a:xfrm>
                      <a:off x="0" y="0"/>
                      <a:ext cx="6400800" cy="4800600"/>
                    </a:xfrm>
                    <a:prstGeom prst="rect">
                      <a:avLst/>
                    </a:prstGeom>
                    <a:noFill/>
                    <a:ln w="9525">
                      <a:noFill/>
                      <a:headEnd/>
                      <a:tailEnd/>
                    </a:ln>
                  </pic:spPr>
                </pic:pic>
              </a:graphicData>
            </a:graphic>
          </wp:inline>
        </w:drawing>
      </w:r>
      <w:r>
        <w:t xml:space="preserve"> </w:t>
      </w:r>
    </w:p>
    <w:p w14:paraId="495A5489" w14:textId="77777777" w:rsidR="00E2099A" w:rsidRDefault="00000000">
      <w:pPr>
        <w:pStyle w:val="Heading2"/>
      </w:pPr>
      <w:bookmarkStart w:id="52" w:name="non-residential-energy-assumptions"/>
      <w:bookmarkStart w:id="53" w:name="_Toc124529426"/>
      <w:bookmarkEnd w:id="34"/>
      <w:bookmarkEnd w:id="37"/>
      <w:bookmarkEnd w:id="50"/>
      <w:r>
        <w:t>3.2</w:t>
      </w:r>
      <w:r>
        <w:tab/>
        <w:t>Non-Residential Energy Assumptions</w:t>
      </w:r>
      <w:bookmarkEnd w:id="53"/>
    </w:p>
    <w:p w14:paraId="2969DE31" w14:textId="77777777" w:rsidR="00E2099A" w:rsidRDefault="00000000">
      <w:pPr>
        <w:pStyle w:val="FirstParagraph"/>
      </w:pPr>
      <w:r>
        <w:t>Non-residential energy use refers to the energy consumption of commercial and industrial buildings, including both electricity and natural gas. This energy use is estimated by considering the size of the commercial and industrial buildings, as well as the number of people who are expected to work in these buildings.</w:t>
      </w:r>
    </w:p>
    <w:p w14:paraId="5D7DD025" w14:textId="77777777" w:rsidR="00E2099A" w:rsidRDefault="00000000">
      <w:pPr>
        <w:pStyle w:val="BodyText"/>
      </w:pPr>
      <w:r>
        <w:t>In addition to electricity and natural gas, non-residential energy use may also include other energy sources such as propane, fuel oil, and renewable energy sources. Accurate estimates of non-residential energy use can help Minneapolis make informed decisions about energy efficiency and conservation efforts.</w:t>
      </w:r>
    </w:p>
    <w:p w14:paraId="3EA70D2F" w14:textId="77777777" w:rsidR="00E2099A" w:rsidRDefault="00000000">
      <w:pPr>
        <w:pStyle w:val="BodyText"/>
      </w:pPr>
      <w:r>
        <w:rPr>
          <w:b/>
          <w:bCs/>
        </w:rPr>
        <w:t>Table 3.8</w:t>
      </w:r>
      <w:r>
        <w:t xml:space="preserve"> shows the baseline and forecast assumptions for non-residential electricity and natural gas use for Minneapolis.</w:t>
      </w:r>
    </w:p>
    <w:p w14:paraId="29B19393" w14:textId="77777777" w:rsidR="00E2099A" w:rsidRDefault="00000000">
      <w:pPr>
        <w:pStyle w:val="TableCaption"/>
      </w:pPr>
      <w:bookmarkStart w:id="54" w:name="tab-non-residential-energy"/>
      <w:r>
        <w:rPr>
          <w:b/>
          <w:bCs/>
        </w:rPr>
        <w:t xml:space="preserve">Table 3.8: </w:t>
      </w:r>
      <w:bookmarkEnd w:id="54"/>
      <w:r>
        <w:t>Non-Residential Energy for Minneapolis</w:t>
      </w:r>
    </w:p>
    <w:tbl>
      <w:tblPr>
        <w:tblW w:w="0" w:type="pct"/>
        <w:jc w:val="center"/>
        <w:tblLook w:val="0420" w:firstRow="1" w:lastRow="0" w:firstColumn="0" w:lastColumn="0" w:noHBand="0" w:noVBand="1"/>
      </w:tblPr>
      <w:tblGrid>
        <w:gridCol w:w="4421"/>
        <w:gridCol w:w="1352"/>
        <w:gridCol w:w="1352"/>
      </w:tblGrid>
      <w:tr w:rsidR="00E2099A" w14:paraId="306B47D1"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1C773D87" w14:textId="77777777" w:rsidR="00E2099A" w:rsidRDefault="00000000">
            <w:pPr>
              <w:spacing w:before="100" w:after="100"/>
              <w:ind w:left="100" w:right="100"/>
              <w:jc w:val="center"/>
            </w:pPr>
            <w:r>
              <w:rPr>
                <w:rFonts w:ascii="Helvetica" w:eastAsia="Helvetica" w:hAnsi="Helvetica" w:cs="Helvetica"/>
                <w:color w:val="000000"/>
                <w:sz w:val="18"/>
                <w:szCs w:val="18"/>
              </w:rPr>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258036B1" w14:textId="77777777" w:rsidR="00E2099A" w:rsidRDefault="00000000">
            <w:pPr>
              <w:spacing w:before="100" w:after="100"/>
              <w:ind w:left="100" w:right="100"/>
              <w:jc w:val="center"/>
            </w:pPr>
            <w:r>
              <w:rPr>
                <w:rFonts w:ascii="Helvetica" w:eastAsia="Helvetica" w:hAnsi="Helvetica" w:cs="Helvetica"/>
                <w:color w:val="000000"/>
                <w:sz w:val="18"/>
                <w:szCs w:val="18"/>
              </w:rPr>
              <w:t>2018</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2BEE530" w14:textId="77777777" w:rsidR="00E2099A" w:rsidRDefault="00000000">
            <w:pPr>
              <w:spacing w:before="100" w:after="100"/>
              <w:ind w:left="100" w:right="100"/>
              <w:jc w:val="center"/>
            </w:pPr>
            <w:r>
              <w:rPr>
                <w:rFonts w:ascii="Helvetica" w:eastAsia="Helvetica" w:hAnsi="Helvetica" w:cs="Helvetica"/>
                <w:color w:val="000000"/>
                <w:sz w:val="18"/>
                <w:szCs w:val="18"/>
              </w:rPr>
              <w:t>2040</w:t>
            </w:r>
          </w:p>
        </w:tc>
      </w:tr>
      <w:tr w:rsidR="00E2099A" w14:paraId="1E42A47E" w14:textId="77777777">
        <w:trPr>
          <w:cantSplit/>
          <w:jc w:val="center"/>
        </w:trPr>
        <w:tc>
          <w:tcPr>
            <w:tcW w:w="0" w:type="auto"/>
            <w:shd w:val="clear" w:color="auto" w:fill="FFFFFF"/>
            <w:tcMar>
              <w:top w:w="0" w:type="dxa"/>
              <w:left w:w="0" w:type="dxa"/>
              <w:bottom w:w="0" w:type="dxa"/>
              <w:right w:w="0" w:type="dxa"/>
            </w:tcMar>
            <w:vAlign w:val="center"/>
          </w:tcPr>
          <w:p w14:paraId="1EAEED8D" w14:textId="77777777" w:rsidR="00E2099A" w:rsidRDefault="00000000">
            <w:pPr>
              <w:spacing w:before="100" w:after="100"/>
              <w:ind w:left="100" w:right="100"/>
            </w:pPr>
            <w:r>
              <w:rPr>
                <w:rFonts w:ascii="Helvetica" w:eastAsia="Helvetica" w:hAnsi="Helvetica" w:cs="Helvetica"/>
                <w:color w:val="000000"/>
                <w:sz w:val="18"/>
                <w:szCs w:val="18"/>
              </w:rPr>
              <w:t>Commercial Natural Gas (Therms)</w:t>
            </w:r>
          </w:p>
        </w:tc>
        <w:tc>
          <w:tcPr>
            <w:tcW w:w="0" w:type="auto"/>
            <w:shd w:val="clear" w:color="auto" w:fill="FFFFFF"/>
            <w:tcMar>
              <w:top w:w="0" w:type="dxa"/>
              <w:left w:w="0" w:type="dxa"/>
              <w:bottom w:w="0" w:type="dxa"/>
              <w:right w:w="0" w:type="dxa"/>
            </w:tcMar>
            <w:vAlign w:val="center"/>
          </w:tcPr>
          <w:p w14:paraId="37DBFEC8" w14:textId="77777777" w:rsidR="00E2099A" w:rsidRDefault="00000000">
            <w:pPr>
              <w:spacing w:before="100" w:after="100"/>
              <w:ind w:left="100" w:right="100"/>
              <w:jc w:val="right"/>
            </w:pPr>
            <w:r>
              <w:rPr>
                <w:rFonts w:ascii="Helvetica" w:eastAsia="Helvetica" w:hAnsi="Helvetica" w:cs="Helvetica"/>
                <w:color w:val="000000"/>
                <w:sz w:val="18"/>
                <w:szCs w:val="18"/>
              </w:rPr>
              <w:t>187,242,459.5</w:t>
            </w:r>
          </w:p>
        </w:tc>
        <w:tc>
          <w:tcPr>
            <w:tcW w:w="0" w:type="auto"/>
            <w:shd w:val="clear" w:color="auto" w:fill="FFFFFF"/>
            <w:tcMar>
              <w:top w:w="0" w:type="dxa"/>
              <w:left w:w="0" w:type="dxa"/>
              <w:bottom w:w="0" w:type="dxa"/>
              <w:right w:w="0" w:type="dxa"/>
            </w:tcMar>
            <w:vAlign w:val="center"/>
          </w:tcPr>
          <w:p w14:paraId="0DCA2037" w14:textId="77777777" w:rsidR="00E2099A" w:rsidRDefault="00000000">
            <w:pPr>
              <w:spacing w:before="100" w:after="100"/>
              <w:ind w:left="100" w:right="100"/>
              <w:jc w:val="right"/>
            </w:pPr>
            <w:r>
              <w:rPr>
                <w:rFonts w:ascii="Helvetica" w:eastAsia="Helvetica" w:hAnsi="Helvetica" w:cs="Helvetica"/>
                <w:color w:val="000000"/>
                <w:sz w:val="18"/>
                <w:szCs w:val="18"/>
              </w:rPr>
              <w:t>213,077,984.6</w:t>
            </w:r>
          </w:p>
        </w:tc>
      </w:tr>
      <w:tr w:rsidR="00E2099A" w14:paraId="11EBB1E4" w14:textId="77777777">
        <w:trPr>
          <w:cantSplit/>
          <w:jc w:val="center"/>
        </w:trPr>
        <w:tc>
          <w:tcPr>
            <w:tcW w:w="0" w:type="auto"/>
            <w:shd w:val="clear" w:color="auto" w:fill="FFFFFF"/>
            <w:tcMar>
              <w:top w:w="0" w:type="dxa"/>
              <w:left w:w="0" w:type="dxa"/>
              <w:bottom w:w="0" w:type="dxa"/>
              <w:right w:w="0" w:type="dxa"/>
            </w:tcMar>
            <w:vAlign w:val="center"/>
          </w:tcPr>
          <w:p w14:paraId="7DAD2653" w14:textId="77777777" w:rsidR="00E2099A" w:rsidRDefault="00000000">
            <w:pPr>
              <w:spacing w:before="100" w:after="100"/>
              <w:ind w:left="100" w:right="100"/>
            </w:pPr>
            <w:r>
              <w:rPr>
                <w:rFonts w:ascii="Helvetica" w:eastAsia="Helvetica" w:hAnsi="Helvetica" w:cs="Helvetica"/>
                <w:color w:val="000000"/>
                <w:sz w:val="18"/>
                <w:szCs w:val="18"/>
              </w:rPr>
              <w:t>Industrial Natural Gas (Therms)</w:t>
            </w:r>
          </w:p>
        </w:tc>
        <w:tc>
          <w:tcPr>
            <w:tcW w:w="0" w:type="auto"/>
            <w:shd w:val="clear" w:color="auto" w:fill="FFFFFF"/>
            <w:tcMar>
              <w:top w:w="0" w:type="dxa"/>
              <w:left w:w="0" w:type="dxa"/>
              <w:bottom w:w="0" w:type="dxa"/>
              <w:right w:w="0" w:type="dxa"/>
            </w:tcMar>
            <w:vAlign w:val="center"/>
          </w:tcPr>
          <w:p w14:paraId="76A432F6" w14:textId="77777777" w:rsidR="00E2099A" w:rsidRDefault="00000000">
            <w:pPr>
              <w:spacing w:before="100" w:after="100"/>
              <w:ind w:left="100" w:right="100"/>
              <w:jc w:val="right"/>
            </w:pPr>
            <w:r>
              <w:rPr>
                <w:rFonts w:ascii="Helvetica" w:eastAsia="Helvetica" w:hAnsi="Helvetica" w:cs="Helvetica"/>
                <w:color w:val="000000"/>
                <w:sz w:val="18"/>
                <w:szCs w:val="18"/>
              </w:rPr>
              <w:t>26,082,036.9</w:t>
            </w:r>
          </w:p>
        </w:tc>
        <w:tc>
          <w:tcPr>
            <w:tcW w:w="0" w:type="auto"/>
            <w:shd w:val="clear" w:color="auto" w:fill="FFFFFF"/>
            <w:tcMar>
              <w:top w:w="0" w:type="dxa"/>
              <w:left w:w="0" w:type="dxa"/>
              <w:bottom w:w="0" w:type="dxa"/>
              <w:right w:w="0" w:type="dxa"/>
            </w:tcMar>
            <w:vAlign w:val="center"/>
          </w:tcPr>
          <w:p w14:paraId="14440E77" w14:textId="77777777" w:rsidR="00E2099A" w:rsidRDefault="00000000">
            <w:pPr>
              <w:spacing w:before="100" w:after="100"/>
              <w:ind w:left="100" w:right="100"/>
              <w:jc w:val="right"/>
            </w:pPr>
            <w:r>
              <w:rPr>
                <w:rFonts w:ascii="Helvetica" w:eastAsia="Helvetica" w:hAnsi="Helvetica" w:cs="Helvetica"/>
                <w:color w:val="000000"/>
                <w:sz w:val="18"/>
                <w:szCs w:val="18"/>
              </w:rPr>
              <w:t>43,953,039.3</w:t>
            </w:r>
          </w:p>
        </w:tc>
      </w:tr>
      <w:tr w:rsidR="00E2099A" w14:paraId="588311EE" w14:textId="77777777">
        <w:trPr>
          <w:cantSplit/>
          <w:jc w:val="center"/>
        </w:trPr>
        <w:tc>
          <w:tcPr>
            <w:tcW w:w="0" w:type="auto"/>
            <w:shd w:val="clear" w:color="auto" w:fill="FFFFFF"/>
            <w:tcMar>
              <w:top w:w="0" w:type="dxa"/>
              <w:left w:w="0" w:type="dxa"/>
              <w:bottom w:w="0" w:type="dxa"/>
              <w:right w:w="0" w:type="dxa"/>
            </w:tcMar>
            <w:vAlign w:val="center"/>
          </w:tcPr>
          <w:p w14:paraId="1A143652" w14:textId="77777777" w:rsidR="00E2099A" w:rsidRDefault="00000000">
            <w:pPr>
              <w:spacing w:before="100" w:after="100"/>
              <w:ind w:left="100" w:right="100"/>
            </w:pPr>
            <w:r>
              <w:rPr>
                <w:rFonts w:ascii="Helvetica" w:eastAsia="Helvetica" w:hAnsi="Helvetica" w:cs="Helvetica"/>
                <w:color w:val="000000"/>
                <w:sz w:val="18"/>
                <w:szCs w:val="18"/>
              </w:rPr>
              <w:t>Commercial Electricity (MWh)</w:t>
            </w:r>
          </w:p>
        </w:tc>
        <w:tc>
          <w:tcPr>
            <w:tcW w:w="0" w:type="auto"/>
            <w:shd w:val="clear" w:color="auto" w:fill="FFFFFF"/>
            <w:tcMar>
              <w:top w:w="0" w:type="dxa"/>
              <w:left w:w="0" w:type="dxa"/>
              <w:bottom w:w="0" w:type="dxa"/>
              <w:right w:w="0" w:type="dxa"/>
            </w:tcMar>
            <w:vAlign w:val="center"/>
          </w:tcPr>
          <w:p w14:paraId="1474AE00" w14:textId="77777777" w:rsidR="00E2099A" w:rsidRDefault="00000000">
            <w:pPr>
              <w:spacing w:before="100" w:after="100"/>
              <w:ind w:left="100" w:right="100"/>
              <w:jc w:val="right"/>
            </w:pPr>
            <w:r>
              <w:rPr>
                <w:rFonts w:ascii="Helvetica" w:eastAsia="Helvetica" w:hAnsi="Helvetica" w:cs="Helvetica"/>
                <w:color w:val="000000"/>
                <w:sz w:val="18"/>
                <w:szCs w:val="18"/>
              </w:rPr>
              <w:t>1,580,539.7</w:t>
            </w:r>
          </w:p>
        </w:tc>
        <w:tc>
          <w:tcPr>
            <w:tcW w:w="0" w:type="auto"/>
            <w:shd w:val="clear" w:color="auto" w:fill="FFFFFF"/>
            <w:tcMar>
              <w:top w:w="0" w:type="dxa"/>
              <w:left w:w="0" w:type="dxa"/>
              <w:bottom w:w="0" w:type="dxa"/>
              <w:right w:w="0" w:type="dxa"/>
            </w:tcMar>
            <w:vAlign w:val="center"/>
          </w:tcPr>
          <w:p w14:paraId="5B43F10B" w14:textId="77777777" w:rsidR="00E2099A" w:rsidRDefault="00000000">
            <w:pPr>
              <w:spacing w:before="100" w:after="100"/>
              <w:ind w:left="100" w:right="100"/>
              <w:jc w:val="right"/>
            </w:pPr>
            <w:r>
              <w:rPr>
                <w:rFonts w:ascii="Helvetica" w:eastAsia="Helvetica" w:hAnsi="Helvetica" w:cs="Helvetica"/>
                <w:color w:val="000000"/>
                <w:sz w:val="18"/>
                <w:szCs w:val="18"/>
              </w:rPr>
              <w:t>1,798,621.0</w:t>
            </w:r>
          </w:p>
        </w:tc>
      </w:tr>
      <w:tr w:rsidR="00E2099A" w14:paraId="75F5187F" w14:textId="77777777">
        <w:trPr>
          <w:cantSplit/>
          <w:jc w:val="center"/>
        </w:trPr>
        <w:tc>
          <w:tcPr>
            <w:tcW w:w="0" w:type="auto"/>
            <w:shd w:val="clear" w:color="auto" w:fill="FFFFFF"/>
            <w:tcMar>
              <w:top w:w="0" w:type="dxa"/>
              <w:left w:w="0" w:type="dxa"/>
              <w:bottom w:w="0" w:type="dxa"/>
              <w:right w:w="0" w:type="dxa"/>
            </w:tcMar>
            <w:vAlign w:val="center"/>
          </w:tcPr>
          <w:p w14:paraId="3753B69F" w14:textId="77777777" w:rsidR="00E2099A" w:rsidRDefault="00000000">
            <w:pPr>
              <w:spacing w:before="100" w:after="100"/>
              <w:ind w:left="100" w:right="100"/>
            </w:pPr>
            <w:r>
              <w:rPr>
                <w:rFonts w:ascii="Helvetica" w:eastAsia="Helvetica" w:hAnsi="Helvetica" w:cs="Helvetica"/>
                <w:color w:val="000000"/>
                <w:sz w:val="18"/>
                <w:szCs w:val="18"/>
              </w:rPr>
              <w:t>Industrial Electricity (MWh)</w:t>
            </w:r>
          </w:p>
        </w:tc>
        <w:tc>
          <w:tcPr>
            <w:tcW w:w="0" w:type="auto"/>
            <w:shd w:val="clear" w:color="auto" w:fill="FFFFFF"/>
            <w:tcMar>
              <w:top w:w="0" w:type="dxa"/>
              <w:left w:w="0" w:type="dxa"/>
              <w:bottom w:w="0" w:type="dxa"/>
              <w:right w:w="0" w:type="dxa"/>
            </w:tcMar>
            <w:vAlign w:val="center"/>
          </w:tcPr>
          <w:p w14:paraId="2191BF77" w14:textId="77777777" w:rsidR="00E2099A" w:rsidRDefault="00000000">
            <w:pPr>
              <w:spacing w:before="100" w:after="100"/>
              <w:ind w:left="100" w:right="100"/>
              <w:jc w:val="right"/>
            </w:pPr>
            <w:r>
              <w:rPr>
                <w:rFonts w:ascii="Helvetica" w:eastAsia="Helvetica" w:hAnsi="Helvetica" w:cs="Helvetica"/>
                <w:color w:val="000000"/>
                <w:sz w:val="18"/>
                <w:szCs w:val="18"/>
              </w:rPr>
              <w:t>1,254,092.3</w:t>
            </w:r>
          </w:p>
        </w:tc>
        <w:tc>
          <w:tcPr>
            <w:tcW w:w="0" w:type="auto"/>
            <w:shd w:val="clear" w:color="auto" w:fill="FFFFFF"/>
            <w:tcMar>
              <w:top w:w="0" w:type="dxa"/>
              <w:left w:w="0" w:type="dxa"/>
              <w:bottom w:w="0" w:type="dxa"/>
              <w:right w:w="0" w:type="dxa"/>
            </w:tcMar>
            <w:vAlign w:val="center"/>
          </w:tcPr>
          <w:p w14:paraId="6F6AF991" w14:textId="77777777" w:rsidR="00E2099A" w:rsidRDefault="00000000">
            <w:pPr>
              <w:spacing w:before="100" w:after="100"/>
              <w:ind w:left="100" w:right="100"/>
              <w:jc w:val="right"/>
            </w:pPr>
            <w:r>
              <w:rPr>
                <w:rFonts w:ascii="Helvetica" w:eastAsia="Helvetica" w:hAnsi="Helvetica" w:cs="Helvetica"/>
                <w:color w:val="000000"/>
                <w:sz w:val="18"/>
                <w:szCs w:val="18"/>
              </w:rPr>
              <w:t>2,113,376.7</w:t>
            </w:r>
          </w:p>
        </w:tc>
      </w:tr>
      <w:tr w:rsidR="00E2099A" w14:paraId="75F02B5A" w14:textId="77777777">
        <w:trPr>
          <w:cantSplit/>
          <w:jc w:val="center"/>
        </w:trPr>
        <w:tc>
          <w:tcPr>
            <w:tcW w:w="0" w:type="auto"/>
            <w:shd w:val="clear" w:color="auto" w:fill="FFFFFF"/>
            <w:tcMar>
              <w:top w:w="0" w:type="dxa"/>
              <w:left w:w="0" w:type="dxa"/>
              <w:bottom w:w="0" w:type="dxa"/>
              <w:right w:w="0" w:type="dxa"/>
            </w:tcMar>
            <w:vAlign w:val="center"/>
          </w:tcPr>
          <w:p w14:paraId="56B9C4D5" w14:textId="77777777" w:rsidR="00E2099A" w:rsidRDefault="00000000">
            <w:pPr>
              <w:spacing w:before="100" w:after="100"/>
              <w:ind w:left="100" w:right="100"/>
            </w:pPr>
            <w:r>
              <w:rPr>
                <w:rFonts w:ascii="Helvetica" w:eastAsia="Helvetica" w:hAnsi="Helvetica" w:cs="Helvetica"/>
                <w:color w:val="000000"/>
                <w:sz w:val="18"/>
                <w:szCs w:val="18"/>
              </w:rPr>
              <w:lastRenderedPageBreak/>
              <w:t>Commercial Natural Gas per Worker (therms/worker)</w:t>
            </w:r>
          </w:p>
        </w:tc>
        <w:tc>
          <w:tcPr>
            <w:tcW w:w="0" w:type="auto"/>
            <w:shd w:val="clear" w:color="auto" w:fill="FFFFFF"/>
            <w:tcMar>
              <w:top w:w="0" w:type="dxa"/>
              <w:left w:w="0" w:type="dxa"/>
              <w:bottom w:w="0" w:type="dxa"/>
              <w:right w:w="0" w:type="dxa"/>
            </w:tcMar>
            <w:vAlign w:val="center"/>
          </w:tcPr>
          <w:p w14:paraId="2FC11398" w14:textId="77777777" w:rsidR="00E2099A" w:rsidRDefault="00000000">
            <w:pPr>
              <w:spacing w:before="100" w:after="100"/>
              <w:ind w:left="100" w:right="100"/>
              <w:jc w:val="right"/>
            </w:pPr>
            <w:r>
              <w:rPr>
                <w:rFonts w:ascii="Helvetica" w:eastAsia="Helvetica" w:hAnsi="Helvetica" w:cs="Helvetica"/>
                <w:color w:val="000000"/>
                <w:sz w:val="18"/>
                <w:szCs w:val="18"/>
              </w:rPr>
              <w:t>729.4</w:t>
            </w:r>
          </w:p>
        </w:tc>
        <w:tc>
          <w:tcPr>
            <w:tcW w:w="0" w:type="auto"/>
            <w:shd w:val="clear" w:color="auto" w:fill="FFFFFF"/>
            <w:tcMar>
              <w:top w:w="0" w:type="dxa"/>
              <w:left w:w="0" w:type="dxa"/>
              <w:bottom w:w="0" w:type="dxa"/>
              <w:right w:w="0" w:type="dxa"/>
            </w:tcMar>
            <w:vAlign w:val="center"/>
          </w:tcPr>
          <w:p w14:paraId="1D197D7F" w14:textId="77777777" w:rsidR="00E2099A" w:rsidRDefault="00000000">
            <w:pPr>
              <w:spacing w:before="100" w:after="100"/>
              <w:ind w:left="100" w:right="100"/>
              <w:jc w:val="right"/>
            </w:pPr>
            <w:r>
              <w:rPr>
                <w:rFonts w:ascii="Helvetica" w:eastAsia="Helvetica" w:hAnsi="Helvetica" w:cs="Helvetica"/>
                <w:color w:val="000000"/>
                <w:sz w:val="18"/>
                <w:szCs w:val="18"/>
              </w:rPr>
              <w:t>729.4</w:t>
            </w:r>
          </w:p>
        </w:tc>
      </w:tr>
      <w:tr w:rsidR="00E2099A" w14:paraId="76C91515" w14:textId="77777777">
        <w:trPr>
          <w:cantSplit/>
          <w:jc w:val="center"/>
        </w:trPr>
        <w:tc>
          <w:tcPr>
            <w:tcW w:w="0" w:type="auto"/>
            <w:shd w:val="clear" w:color="auto" w:fill="FFFFFF"/>
            <w:tcMar>
              <w:top w:w="0" w:type="dxa"/>
              <w:left w:w="0" w:type="dxa"/>
              <w:bottom w:w="0" w:type="dxa"/>
              <w:right w:w="0" w:type="dxa"/>
            </w:tcMar>
            <w:vAlign w:val="center"/>
          </w:tcPr>
          <w:p w14:paraId="19BC2112" w14:textId="77777777" w:rsidR="00E2099A" w:rsidRDefault="00000000">
            <w:pPr>
              <w:spacing w:before="100" w:after="100"/>
              <w:ind w:left="100" w:right="100"/>
            </w:pPr>
            <w:r>
              <w:rPr>
                <w:rFonts w:ascii="Helvetica" w:eastAsia="Helvetica" w:hAnsi="Helvetica" w:cs="Helvetica"/>
                <w:color w:val="000000"/>
                <w:sz w:val="18"/>
                <w:szCs w:val="18"/>
              </w:rPr>
              <w:t>Industrial Natural Gas per Worker (therms/worker)</w:t>
            </w:r>
          </w:p>
        </w:tc>
        <w:tc>
          <w:tcPr>
            <w:tcW w:w="0" w:type="auto"/>
            <w:shd w:val="clear" w:color="auto" w:fill="FFFFFF"/>
            <w:tcMar>
              <w:top w:w="0" w:type="dxa"/>
              <w:left w:w="0" w:type="dxa"/>
              <w:bottom w:w="0" w:type="dxa"/>
              <w:right w:w="0" w:type="dxa"/>
            </w:tcMar>
            <w:vAlign w:val="center"/>
          </w:tcPr>
          <w:p w14:paraId="614D6F4D" w14:textId="77777777" w:rsidR="00E2099A" w:rsidRDefault="00000000">
            <w:pPr>
              <w:spacing w:before="100" w:after="100"/>
              <w:ind w:left="100" w:right="100"/>
              <w:jc w:val="right"/>
            </w:pPr>
            <w:r>
              <w:rPr>
                <w:rFonts w:ascii="Helvetica" w:eastAsia="Helvetica" w:hAnsi="Helvetica" w:cs="Helvetica"/>
                <w:color w:val="000000"/>
                <w:sz w:val="18"/>
                <w:szCs w:val="18"/>
              </w:rPr>
              <w:t>617.1</w:t>
            </w:r>
          </w:p>
        </w:tc>
        <w:tc>
          <w:tcPr>
            <w:tcW w:w="0" w:type="auto"/>
            <w:shd w:val="clear" w:color="auto" w:fill="FFFFFF"/>
            <w:tcMar>
              <w:top w:w="0" w:type="dxa"/>
              <w:left w:w="0" w:type="dxa"/>
              <w:bottom w:w="0" w:type="dxa"/>
              <w:right w:w="0" w:type="dxa"/>
            </w:tcMar>
            <w:vAlign w:val="center"/>
          </w:tcPr>
          <w:p w14:paraId="72B3CCEA" w14:textId="77777777" w:rsidR="00E2099A" w:rsidRDefault="00000000">
            <w:pPr>
              <w:spacing w:before="100" w:after="100"/>
              <w:ind w:left="100" w:right="100"/>
              <w:jc w:val="right"/>
            </w:pPr>
            <w:r>
              <w:rPr>
                <w:rFonts w:ascii="Helvetica" w:eastAsia="Helvetica" w:hAnsi="Helvetica" w:cs="Helvetica"/>
                <w:color w:val="000000"/>
                <w:sz w:val="18"/>
                <w:szCs w:val="18"/>
              </w:rPr>
              <w:t>617.1</w:t>
            </w:r>
          </w:p>
        </w:tc>
      </w:tr>
      <w:tr w:rsidR="00E2099A" w14:paraId="78C6C70F" w14:textId="77777777">
        <w:trPr>
          <w:cantSplit/>
          <w:jc w:val="center"/>
        </w:trPr>
        <w:tc>
          <w:tcPr>
            <w:tcW w:w="0" w:type="auto"/>
            <w:shd w:val="clear" w:color="auto" w:fill="FFFFFF"/>
            <w:tcMar>
              <w:top w:w="0" w:type="dxa"/>
              <w:left w:w="0" w:type="dxa"/>
              <w:bottom w:w="0" w:type="dxa"/>
              <w:right w:w="0" w:type="dxa"/>
            </w:tcMar>
            <w:vAlign w:val="center"/>
          </w:tcPr>
          <w:p w14:paraId="1B3AAC02" w14:textId="77777777" w:rsidR="00E2099A" w:rsidRDefault="00000000">
            <w:pPr>
              <w:spacing w:before="100" w:after="100"/>
              <w:ind w:left="100" w:right="100"/>
            </w:pPr>
            <w:r>
              <w:rPr>
                <w:rFonts w:ascii="Helvetica" w:eastAsia="Helvetica" w:hAnsi="Helvetica" w:cs="Helvetica"/>
                <w:color w:val="000000"/>
                <w:sz w:val="18"/>
                <w:szCs w:val="18"/>
              </w:rPr>
              <w:t>Commercial Electricity per Worker (MWh/worker)</w:t>
            </w:r>
          </w:p>
        </w:tc>
        <w:tc>
          <w:tcPr>
            <w:tcW w:w="0" w:type="auto"/>
            <w:shd w:val="clear" w:color="auto" w:fill="FFFFFF"/>
            <w:tcMar>
              <w:top w:w="0" w:type="dxa"/>
              <w:left w:w="0" w:type="dxa"/>
              <w:bottom w:w="0" w:type="dxa"/>
              <w:right w:w="0" w:type="dxa"/>
            </w:tcMar>
            <w:vAlign w:val="center"/>
          </w:tcPr>
          <w:p w14:paraId="34E5996D" w14:textId="77777777" w:rsidR="00E2099A" w:rsidRDefault="00000000">
            <w:pPr>
              <w:spacing w:before="100" w:after="100"/>
              <w:ind w:left="100" w:right="100"/>
              <w:jc w:val="right"/>
            </w:pPr>
            <w:r>
              <w:rPr>
                <w:rFonts w:ascii="Helvetica" w:eastAsia="Helvetica" w:hAnsi="Helvetica" w:cs="Helvetica"/>
                <w:color w:val="000000"/>
                <w:sz w:val="18"/>
                <w:szCs w:val="18"/>
              </w:rPr>
              <w:t>6.2</w:t>
            </w:r>
          </w:p>
        </w:tc>
        <w:tc>
          <w:tcPr>
            <w:tcW w:w="0" w:type="auto"/>
            <w:shd w:val="clear" w:color="auto" w:fill="FFFFFF"/>
            <w:tcMar>
              <w:top w:w="0" w:type="dxa"/>
              <w:left w:w="0" w:type="dxa"/>
              <w:bottom w:w="0" w:type="dxa"/>
              <w:right w:w="0" w:type="dxa"/>
            </w:tcMar>
            <w:vAlign w:val="center"/>
          </w:tcPr>
          <w:p w14:paraId="673BB620" w14:textId="77777777" w:rsidR="00E2099A" w:rsidRDefault="00000000">
            <w:pPr>
              <w:spacing w:before="100" w:after="100"/>
              <w:ind w:left="100" w:right="100"/>
              <w:jc w:val="right"/>
            </w:pPr>
            <w:r>
              <w:rPr>
                <w:rFonts w:ascii="Helvetica" w:eastAsia="Helvetica" w:hAnsi="Helvetica" w:cs="Helvetica"/>
                <w:color w:val="000000"/>
                <w:sz w:val="18"/>
                <w:szCs w:val="18"/>
              </w:rPr>
              <w:t>6.2</w:t>
            </w:r>
          </w:p>
        </w:tc>
      </w:tr>
      <w:tr w:rsidR="00E2099A" w14:paraId="2056D937"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7CCF77B1" w14:textId="77777777" w:rsidR="00E2099A" w:rsidRDefault="00000000">
            <w:pPr>
              <w:spacing w:before="100" w:after="100"/>
              <w:ind w:left="100" w:right="100"/>
            </w:pPr>
            <w:r>
              <w:rPr>
                <w:rFonts w:ascii="Helvetica" w:eastAsia="Helvetica" w:hAnsi="Helvetica" w:cs="Helvetica"/>
                <w:color w:val="000000"/>
                <w:sz w:val="18"/>
                <w:szCs w:val="18"/>
              </w:rPr>
              <w:t>Industrial Electricity per Worker (MWh/worker)</w:t>
            </w:r>
          </w:p>
        </w:tc>
        <w:tc>
          <w:tcPr>
            <w:tcW w:w="0" w:type="auto"/>
            <w:tcBorders>
              <w:bottom w:val="single" w:sz="16" w:space="0" w:color="666666"/>
            </w:tcBorders>
            <w:shd w:val="clear" w:color="auto" w:fill="FFFFFF"/>
            <w:tcMar>
              <w:top w:w="0" w:type="dxa"/>
              <w:left w:w="0" w:type="dxa"/>
              <w:bottom w:w="0" w:type="dxa"/>
              <w:right w:w="0" w:type="dxa"/>
            </w:tcMar>
            <w:vAlign w:val="center"/>
          </w:tcPr>
          <w:p w14:paraId="3E2FBB36" w14:textId="77777777" w:rsidR="00E2099A" w:rsidRDefault="00000000">
            <w:pPr>
              <w:spacing w:before="100" w:after="100"/>
              <w:ind w:left="100" w:right="100"/>
              <w:jc w:val="right"/>
            </w:pPr>
            <w:r>
              <w:rPr>
                <w:rFonts w:ascii="Helvetica" w:eastAsia="Helvetica" w:hAnsi="Helvetica" w:cs="Helvetica"/>
                <w:color w:val="000000"/>
                <w:sz w:val="18"/>
                <w:szCs w:val="18"/>
              </w:rPr>
              <w:t>29.7</w:t>
            </w:r>
          </w:p>
        </w:tc>
        <w:tc>
          <w:tcPr>
            <w:tcW w:w="0" w:type="auto"/>
            <w:tcBorders>
              <w:bottom w:val="single" w:sz="16" w:space="0" w:color="666666"/>
            </w:tcBorders>
            <w:shd w:val="clear" w:color="auto" w:fill="FFFFFF"/>
            <w:tcMar>
              <w:top w:w="0" w:type="dxa"/>
              <w:left w:w="0" w:type="dxa"/>
              <w:bottom w:w="0" w:type="dxa"/>
              <w:right w:w="0" w:type="dxa"/>
            </w:tcMar>
            <w:vAlign w:val="center"/>
          </w:tcPr>
          <w:p w14:paraId="482DCE79" w14:textId="77777777" w:rsidR="00E2099A" w:rsidRDefault="00000000">
            <w:pPr>
              <w:spacing w:before="100" w:after="100"/>
              <w:ind w:left="100" w:right="100"/>
              <w:jc w:val="right"/>
            </w:pPr>
            <w:r>
              <w:rPr>
                <w:rFonts w:ascii="Helvetica" w:eastAsia="Helvetica" w:hAnsi="Helvetica" w:cs="Helvetica"/>
                <w:color w:val="000000"/>
                <w:sz w:val="18"/>
                <w:szCs w:val="18"/>
              </w:rPr>
              <w:t>29.7</w:t>
            </w:r>
          </w:p>
        </w:tc>
      </w:tr>
    </w:tbl>
    <w:p w14:paraId="3ED7E3FA" w14:textId="77777777" w:rsidR="00E2099A" w:rsidRDefault="00E2099A">
      <w:pPr>
        <w:pStyle w:val="BodyText"/>
      </w:pPr>
    </w:p>
    <w:p w14:paraId="7B51D538" w14:textId="77777777" w:rsidR="00E2099A" w:rsidRDefault="00000000">
      <w:pPr>
        <w:pStyle w:val="Heading3"/>
      </w:pPr>
      <w:bookmarkStart w:id="55" w:name="non-residential-energy-strategies"/>
      <w:bookmarkStart w:id="56" w:name="_Toc124529427"/>
      <w:r>
        <w:t>3.2.1</w:t>
      </w:r>
      <w:r>
        <w:tab/>
        <w:t>Non-Residential Energy Strategies</w:t>
      </w:r>
      <w:bookmarkEnd w:id="56"/>
    </w:p>
    <w:p w14:paraId="0D6DB8A9" w14:textId="77777777" w:rsidR="00E2099A" w:rsidRDefault="00000000">
      <w:pPr>
        <w:pStyle w:val="FirstParagraph"/>
      </w:pPr>
      <w:r>
        <w:t>Some existing programs include:</w:t>
      </w:r>
    </w:p>
    <w:p w14:paraId="4551F3DA" w14:textId="77777777" w:rsidR="00E2099A" w:rsidRDefault="00000000">
      <w:pPr>
        <w:pStyle w:val="BodyText"/>
      </w:pPr>
      <w:r>
        <w:rPr>
          <w:b/>
          <w:bCs/>
        </w:rPr>
        <w:t>Conservation Improvement Programs</w:t>
      </w:r>
    </w:p>
    <w:p w14:paraId="7404BE78" w14:textId="77777777" w:rsidR="00E2099A" w:rsidRDefault="00000000">
      <w:pPr>
        <w:pStyle w:val="BodyText"/>
      </w:pPr>
      <w:r>
        <w:t>The Conservation Improvement Program (CIP) is a policy in Minnesota that aims to improve energy efficiency and conservation in households and businesses. It is funded by ratepayers and administered by over 180 electric and natural gas utilities, with oversight from the Minnesota Department of Commerce, Division of Energy Resources (DER). Implementors of CIP include the Center for Energy and Environment (CEE) and Home Energy Squad.</w:t>
      </w:r>
    </w:p>
    <w:p w14:paraId="750BFE59" w14:textId="77777777" w:rsidR="00E2099A" w:rsidRDefault="00000000">
      <w:pPr>
        <w:pStyle w:val="BodyText"/>
      </w:pPr>
      <w:r>
        <w:t>CIP promotes energy-efficient technologies and practices to residential, commercial, and industrial customers through various programs, such as energy audits, rebates on high-efficiency appliances, LED lighting, and air-conditioning cycling programs. The requirements for investor-owned utilities (IOUs) and consumer-owned utilities (COUs) are different, with more stringent requirements for IOUs due to their status as natural monopolies. According to the American Council for an Energy-Efficient Economy’s 2022 State Energy Efficiency Scorecard, Minnesota’s electric efficiency program spending in 2021 was $174 million, with net incremental electricity savings of 955 thousand MWh, and natural gas efficiency program spending was $71 million, with net incremental natural gas and delivered fuel savings of 3.3 million MMBtu. Fresh Energy, a non-profit organization, has been actively involved in the development and implementation of CIP, including advocating for improvements to cost-effectiveness tests and working to advance equity in energy efficiency programs.</w:t>
      </w:r>
    </w:p>
    <w:p w14:paraId="682986CE" w14:textId="77777777" w:rsidR="00E2099A" w:rsidRDefault="00000000">
      <w:pPr>
        <w:pStyle w:val="BodyText"/>
      </w:pPr>
      <w:r>
        <w:rPr>
          <w:b/>
          <w:bCs/>
        </w:rPr>
        <w:t>The Eco Act</w:t>
      </w:r>
    </w:p>
    <w:p w14:paraId="1C256B06" w14:textId="77777777" w:rsidR="00E2099A" w:rsidRDefault="00000000">
      <w:pPr>
        <w:pStyle w:val="BodyText"/>
      </w:pPr>
      <w:r>
        <w:t>The Energy Conservation and Optimization Act of 2021 (ECO Act) in Minnesota aims to strengthen the state’s energy conservation programs, reduce greenhouse gas emissions, and create local jobs through energy efficiency projects in homes and businesses. The ECO Act updates and expands the Conservation Improvement Program (CIP), which helps households and businesses use electricity and natural gas more efficiently and reduces the need for new utility infrastructure. The ECO Act expands eligibility for low-income households, requires energy efficiency improvements for public schools, increases conservation goals for investor-owned utilities, and provides additional flexibility for cooperatives in meeting their conservation requirements. The ECO Act is expected to create local jobs through electrical, heating and cooling, ventilation, and insulation installation projects across the state.</w:t>
      </w:r>
    </w:p>
    <w:p w14:paraId="62878504" w14:textId="77777777" w:rsidR="00E2099A" w:rsidRDefault="00000000">
      <w:pPr>
        <w:pStyle w:val="BodyText"/>
      </w:pPr>
      <w:r>
        <w:rPr>
          <w:b/>
          <w:bCs/>
        </w:rPr>
        <w:t>SB2030</w:t>
      </w:r>
    </w:p>
    <w:p w14:paraId="0406E15E" w14:textId="77777777" w:rsidR="00E2099A" w:rsidRDefault="00000000">
      <w:pPr>
        <w:pStyle w:val="BodyText"/>
      </w:pPr>
      <w:r>
        <w:t xml:space="preserve">The Minnesota </w:t>
      </w:r>
      <w:r>
        <w:rPr>
          <w:i/>
          <w:iCs/>
        </w:rPr>
        <w:t>SB2030</w:t>
      </w:r>
      <w:r>
        <w:t xml:space="preserve"> program is focused on reducing emissions in commercial, industrial, and institutional buildings. The goal is to reduce energy use and decrease carbon dioxide emissions. To do this, the program sets standards for energy efficiency and renewable energy for new and renovated buildings. These standards are based on the amount of energy a building uses per square foot and will become more strict over time. Buildings starting construction between 2010 and 2015 need to reduce their energy use by 60% compared to an average building in 2003, while those starting construction between 2025 and 2030 need to reduce it by 90%. These energy efficiency standards will be updated every three to five years to make sure they are effective and cost-effective. The program also considers the impact of electric vehicle charging infrastructure on a building’s energy use.</w:t>
      </w:r>
    </w:p>
    <w:p w14:paraId="170090BE" w14:textId="77777777" w:rsidR="00E2099A" w:rsidRDefault="00000000">
      <w:pPr>
        <w:pStyle w:val="Heading4"/>
      </w:pPr>
      <w:bookmarkStart w:id="57" w:name="electrify-non-residential-heating"/>
      <w:r>
        <w:lastRenderedPageBreak/>
        <w:t>3.2.1.1</w:t>
      </w:r>
      <w:r>
        <w:tab/>
        <w:t>Electrify Non-Residential Heating</w:t>
      </w:r>
    </w:p>
    <w:p w14:paraId="0BBD8857" w14:textId="77777777" w:rsidR="00E2099A" w:rsidRDefault="00000000">
      <w:pPr>
        <w:pStyle w:val="SourceCode"/>
      </w:pPr>
      <w:r>
        <w:t>#&gt; Warning: Expected 3 pieces. Missing pieces filled with `NA` in 372 rows [65, 66,</w:t>
      </w:r>
      <w:r>
        <w:br/>
        <w:t>#&gt; 131, 132, 197, 198, 263, 264, 329, 330, 395, 396, 461, 462, 527, 528, 593, 594,</w:t>
      </w:r>
      <w:r>
        <w:br/>
        <w:t>#&gt; 659, 660, ...].</w:t>
      </w:r>
    </w:p>
    <w:p w14:paraId="012437BE" w14:textId="77777777" w:rsidR="00E2099A" w:rsidRDefault="00000000">
      <w:pPr>
        <w:pStyle w:val="TableCaption"/>
      </w:pPr>
      <w:bookmarkStart w:id="58" w:name="tab-electrify-commmercial-heating"/>
      <w:r>
        <w:rPr>
          <w:b/>
          <w:bCs/>
        </w:rPr>
        <w:t xml:space="preserve">Table 3.9: </w:t>
      </w:r>
      <w:bookmarkEnd w:id="58"/>
      <w:r>
        <w:t>Electrifying Commercial Heating Minneapolis 2040</w:t>
      </w:r>
    </w:p>
    <w:tbl>
      <w:tblPr>
        <w:tblW w:w="0" w:type="pct"/>
        <w:jc w:val="center"/>
        <w:tblLook w:val="0420" w:firstRow="1" w:lastRow="0" w:firstColumn="0" w:lastColumn="0" w:noHBand="0" w:noVBand="1"/>
      </w:tblPr>
      <w:tblGrid>
        <w:gridCol w:w="4533"/>
        <w:gridCol w:w="1502"/>
      </w:tblGrid>
      <w:tr w:rsidR="00E2099A" w14:paraId="5A636AF6"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57B2819" w14:textId="77777777" w:rsidR="00E2099A" w:rsidRDefault="00000000">
            <w:pPr>
              <w:spacing w:before="100" w:after="100"/>
              <w:ind w:left="100" w:right="100"/>
              <w:jc w:val="center"/>
            </w:pPr>
            <w:r>
              <w:rPr>
                <w:rFonts w:ascii="Helvetica" w:eastAsia="Helvetica" w:hAnsi="Helvetica" w:cs="Helvetica"/>
                <w:color w:val="000000"/>
                <w:sz w:val="18"/>
                <w:szCs w:val="18"/>
              </w:rPr>
              <w:t>Variables</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0BE2A24" w14:textId="77777777" w:rsidR="00E2099A" w:rsidRDefault="00000000">
            <w:pPr>
              <w:spacing w:before="100" w:after="100"/>
              <w:ind w:left="100" w:right="100"/>
              <w:jc w:val="center"/>
            </w:pPr>
            <w:r>
              <w:rPr>
                <w:rFonts w:ascii="Helvetica" w:eastAsia="Helvetica" w:hAnsi="Helvetica" w:cs="Helvetica"/>
                <w:color w:val="000000"/>
                <w:sz w:val="18"/>
                <w:szCs w:val="18"/>
              </w:rPr>
              <w:t>2040</w:t>
            </w:r>
          </w:p>
        </w:tc>
      </w:tr>
      <w:tr w:rsidR="00E2099A" w14:paraId="562F8CC7" w14:textId="77777777">
        <w:trPr>
          <w:cantSplit/>
          <w:jc w:val="center"/>
        </w:trPr>
        <w:tc>
          <w:tcPr>
            <w:tcW w:w="0" w:type="auto"/>
            <w:shd w:val="clear" w:color="auto" w:fill="FFFFFF"/>
            <w:tcMar>
              <w:top w:w="0" w:type="dxa"/>
              <w:left w:w="0" w:type="dxa"/>
              <w:bottom w:w="0" w:type="dxa"/>
              <w:right w:w="0" w:type="dxa"/>
            </w:tcMar>
            <w:vAlign w:val="center"/>
          </w:tcPr>
          <w:p w14:paraId="330B4EF0" w14:textId="77777777" w:rsidR="00E2099A" w:rsidRDefault="00000000">
            <w:pPr>
              <w:spacing w:before="100" w:after="100"/>
              <w:ind w:left="100" w:right="100"/>
            </w:pPr>
            <w:r>
              <w:rPr>
                <w:rFonts w:ascii="Helvetica" w:eastAsia="Helvetica" w:hAnsi="Helvetica" w:cs="Helvetica"/>
                <w:color w:val="000000"/>
                <w:sz w:val="18"/>
                <w:szCs w:val="18"/>
              </w:rPr>
              <w:t>Commercial Electricity per Worker (MWh/worker)</w:t>
            </w:r>
          </w:p>
        </w:tc>
        <w:tc>
          <w:tcPr>
            <w:tcW w:w="0" w:type="auto"/>
            <w:shd w:val="clear" w:color="auto" w:fill="FFFFFF"/>
            <w:tcMar>
              <w:top w:w="0" w:type="dxa"/>
              <w:left w:w="0" w:type="dxa"/>
              <w:bottom w:w="0" w:type="dxa"/>
              <w:right w:w="0" w:type="dxa"/>
            </w:tcMar>
            <w:vAlign w:val="center"/>
          </w:tcPr>
          <w:p w14:paraId="53E0126C" w14:textId="77777777" w:rsidR="00E2099A" w:rsidRDefault="00000000">
            <w:pPr>
              <w:spacing w:before="100" w:after="100"/>
              <w:ind w:left="100" w:right="100"/>
              <w:jc w:val="right"/>
            </w:pPr>
            <w:r>
              <w:rPr>
                <w:rFonts w:ascii="Helvetica" w:eastAsia="Helvetica" w:hAnsi="Helvetica" w:cs="Helvetica"/>
                <w:color w:val="000000"/>
                <w:sz w:val="18"/>
                <w:szCs w:val="18"/>
              </w:rPr>
              <w:t>6.2</w:t>
            </w:r>
          </w:p>
        </w:tc>
      </w:tr>
      <w:tr w:rsidR="00E2099A" w14:paraId="37A0A204" w14:textId="77777777">
        <w:trPr>
          <w:cantSplit/>
          <w:jc w:val="center"/>
        </w:trPr>
        <w:tc>
          <w:tcPr>
            <w:tcW w:w="0" w:type="auto"/>
            <w:shd w:val="clear" w:color="auto" w:fill="FFFFFF"/>
            <w:tcMar>
              <w:top w:w="0" w:type="dxa"/>
              <w:left w:w="0" w:type="dxa"/>
              <w:bottom w:w="0" w:type="dxa"/>
              <w:right w:w="0" w:type="dxa"/>
            </w:tcMar>
            <w:vAlign w:val="center"/>
          </w:tcPr>
          <w:p w14:paraId="79389C6F" w14:textId="77777777" w:rsidR="00E2099A" w:rsidRDefault="00000000">
            <w:pPr>
              <w:spacing w:before="100" w:after="100"/>
              <w:ind w:left="100" w:right="100"/>
            </w:pPr>
            <w:r>
              <w:rPr>
                <w:rFonts w:ascii="Helvetica" w:eastAsia="Helvetica" w:hAnsi="Helvetica" w:cs="Helvetica"/>
                <w:color w:val="000000"/>
                <w:sz w:val="18"/>
                <w:szCs w:val="18"/>
              </w:rPr>
              <w:t>Industrial Electricity per Worker (MWh/worker)</w:t>
            </w:r>
          </w:p>
        </w:tc>
        <w:tc>
          <w:tcPr>
            <w:tcW w:w="0" w:type="auto"/>
            <w:shd w:val="clear" w:color="auto" w:fill="FFFFFF"/>
            <w:tcMar>
              <w:top w:w="0" w:type="dxa"/>
              <w:left w:w="0" w:type="dxa"/>
              <w:bottom w:w="0" w:type="dxa"/>
              <w:right w:w="0" w:type="dxa"/>
            </w:tcMar>
            <w:vAlign w:val="center"/>
          </w:tcPr>
          <w:p w14:paraId="0BD64EFB" w14:textId="77777777" w:rsidR="00E2099A" w:rsidRDefault="00000000">
            <w:pPr>
              <w:spacing w:before="100" w:after="100"/>
              <w:ind w:left="100" w:right="100"/>
              <w:jc w:val="right"/>
            </w:pPr>
            <w:r>
              <w:rPr>
                <w:rFonts w:ascii="Helvetica" w:eastAsia="Helvetica" w:hAnsi="Helvetica" w:cs="Helvetica"/>
                <w:color w:val="000000"/>
                <w:sz w:val="18"/>
                <w:szCs w:val="18"/>
              </w:rPr>
              <w:t>29.7</w:t>
            </w:r>
          </w:p>
        </w:tc>
      </w:tr>
      <w:tr w:rsidR="00E2099A" w14:paraId="6B541854" w14:textId="77777777">
        <w:trPr>
          <w:cantSplit/>
          <w:jc w:val="center"/>
        </w:trPr>
        <w:tc>
          <w:tcPr>
            <w:tcW w:w="0" w:type="auto"/>
            <w:shd w:val="clear" w:color="auto" w:fill="FFFFFF"/>
            <w:tcMar>
              <w:top w:w="0" w:type="dxa"/>
              <w:left w:w="0" w:type="dxa"/>
              <w:bottom w:w="0" w:type="dxa"/>
              <w:right w:w="0" w:type="dxa"/>
            </w:tcMar>
            <w:vAlign w:val="center"/>
          </w:tcPr>
          <w:p w14:paraId="28743B16" w14:textId="77777777" w:rsidR="00E2099A" w:rsidRDefault="00000000">
            <w:pPr>
              <w:spacing w:before="100" w:after="100"/>
              <w:ind w:left="100" w:right="100"/>
            </w:pPr>
            <w:r>
              <w:rPr>
                <w:rFonts w:ascii="Helvetica" w:eastAsia="Helvetica" w:hAnsi="Helvetica" w:cs="Helvetica"/>
                <w:color w:val="000000"/>
                <w:sz w:val="18"/>
                <w:szCs w:val="18"/>
              </w:rPr>
              <w:t>Commercial Electricity (MWh)</w:t>
            </w:r>
          </w:p>
        </w:tc>
        <w:tc>
          <w:tcPr>
            <w:tcW w:w="0" w:type="auto"/>
            <w:shd w:val="clear" w:color="auto" w:fill="FFFFFF"/>
            <w:tcMar>
              <w:top w:w="0" w:type="dxa"/>
              <w:left w:w="0" w:type="dxa"/>
              <w:bottom w:w="0" w:type="dxa"/>
              <w:right w:w="0" w:type="dxa"/>
            </w:tcMar>
            <w:vAlign w:val="center"/>
          </w:tcPr>
          <w:p w14:paraId="0E0B8759" w14:textId="77777777" w:rsidR="00E2099A" w:rsidRDefault="00000000">
            <w:pPr>
              <w:spacing w:before="100" w:after="100"/>
              <w:ind w:left="100" w:right="100"/>
              <w:jc w:val="right"/>
            </w:pPr>
            <w:r>
              <w:rPr>
                <w:rFonts w:ascii="Helvetica" w:eastAsia="Helvetica" w:hAnsi="Helvetica" w:cs="Helvetica"/>
                <w:color w:val="000000"/>
                <w:sz w:val="18"/>
                <w:szCs w:val="18"/>
              </w:rPr>
              <w:t>1,482,513.0</w:t>
            </w:r>
          </w:p>
        </w:tc>
      </w:tr>
      <w:tr w:rsidR="00E2099A" w14:paraId="14B5F50C" w14:textId="77777777">
        <w:trPr>
          <w:cantSplit/>
          <w:jc w:val="center"/>
        </w:trPr>
        <w:tc>
          <w:tcPr>
            <w:tcW w:w="0" w:type="auto"/>
            <w:shd w:val="clear" w:color="auto" w:fill="FFFFFF"/>
            <w:tcMar>
              <w:top w:w="0" w:type="dxa"/>
              <w:left w:w="0" w:type="dxa"/>
              <w:bottom w:w="0" w:type="dxa"/>
              <w:right w:w="0" w:type="dxa"/>
            </w:tcMar>
            <w:vAlign w:val="center"/>
          </w:tcPr>
          <w:p w14:paraId="143634CC" w14:textId="77777777" w:rsidR="00E2099A" w:rsidRDefault="00000000">
            <w:pPr>
              <w:spacing w:before="100" w:after="100"/>
              <w:ind w:left="100" w:right="100"/>
            </w:pPr>
            <w:r>
              <w:rPr>
                <w:rFonts w:ascii="Helvetica" w:eastAsia="Helvetica" w:hAnsi="Helvetica" w:cs="Helvetica"/>
                <w:color w:val="000000"/>
                <w:sz w:val="18"/>
                <w:szCs w:val="18"/>
              </w:rPr>
              <w:t>Industrial Electricity (MWh)</w:t>
            </w:r>
          </w:p>
        </w:tc>
        <w:tc>
          <w:tcPr>
            <w:tcW w:w="0" w:type="auto"/>
            <w:shd w:val="clear" w:color="auto" w:fill="FFFFFF"/>
            <w:tcMar>
              <w:top w:w="0" w:type="dxa"/>
              <w:left w:w="0" w:type="dxa"/>
              <w:bottom w:w="0" w:type="dxa"/>
              <w:right w:w="0" w:type="dxa"/>
            </w:tcMar>
            <w:vAlign w:val="center"/>
          </w:tcPr>
          <w:p w14:paraId="7E942755" w14:textId="77777777" w:rsidR="00E2099A" w:rsidRDefault="00000000">
            <w:pPr>
              <w:spacing w:before="100" w:after="100"/>
              <w:ind w:left="100" w:right="100"/>
              <w:jc w:val="right"/>
            </w:pPr>
            <w:r>
              <w:rPr>
                <w:rFonts w:ascii="Helvetica" w:eastAsia="Helvetica" w:hAnsi="Helvetica" w:cs="Helvetica"/>
                <w:color w:val="000000"/>
                <w:sz w:val="18"/>
                <w:szCs w:val="18"/>
              </w:rPr>
              <w:t>2,113,376.7</w:t>
            </w:r>
          </w:p>
        </w:tc>
      </w:tr>
      <w:tr w:rsidR="00E2099A" w14:paraId="5AEC5F16" w14:textId="77777777">
        <w:trPr>
          <w:cantSplit/>
          <w:jc w:val="center"/>
        </w:trPr>
        <w:tc>
          <w:tcPr>
            <w:tcW w:w="0" w:type="auto"/>
            <w:shd w:val="clear" w:color="auto" w:fill="FFFFFF"/>
            <w:tcMar>
              <w:top w:w="0" w:type="dxa"/>
              <w:left w:w="0" w:type="dxa"/>
              <w:bottom w:w="0" w:type="dxa"/>
              <w:right w:w="0" w:type="dxa"/>
            </w:tcMar>
            <w:vAlign w:val="center"/>
          </w:tcPr>
          <w:p w14:paraId="238688EE" w14:textId="77777777" w:rsidR="00E2099A" w:rsidRDefault="00000000">
            <w:pPr>
              <w:spacing w:before="100" w:after="100"/>
              <w:ind w:left="100" w:right="100"/>
            </w:pPr>
            <w:r>
              <w:rPr>
                <w:rFonts w:ascii="Helvetica" w:eastAsia="Helvetica" w:hAnsi="Helvetica" w:cs="Helvetica"/>
                <w:color w:val="000000"/>
                <w:sz w:val="18"/>
                <w:szCs w:val="18"/>
              </w:rPr>
              <w:t>Commercial Natural Gas (Therms)</w:t>
            </w:r>
          </w:p>
        </w:tc>
        <w:tc>
          <w:tcPr>
            <w:tcW w:w="0" w:type="auto"/>
            <w:shd w:val="clear" w:color="auto" w:fill="FFFFFF"/>
            <w:tcMar>
              <w:top w:w="0" w:type="dxa"/>
              <w:left w:w="0" w:type="dxa"/>
              <w:bottom w:w="0" w:type="dxa"/>
              <w:right w:w="0" w:type="dxa"/>
            </w:tcMar>
            <w:vAlign w:val="center"/>
          </w:tcPr>
          <w:p w14:paraId="7B3FD572" w14:textId="77777777" w:rsidR="00E2099A" w:rsidRDefault="00000000">
            <w:pPr>
              <w:spacing w:before="100" w:after="100"/>
              <w:ind w:left="100" w:right="100"/>
              <w:jc w:val="right"/>
            </w:pPr>
            <w:r>
              <w:rPr>
                <w:rFonts w:ascii="Helvetica" w:eastAsia="Helvetica" w:hAnsi="Helvetica" w:cs="Helvetica"/>
                <w:color w:val="000000"/>
                <w:sz w:val="18"/>
                <w:szCs w:val="18"/>
              </w:rPr>
              <w:t>175,629,492.7</w:t>
            </w:r>
          </w:p>
        </w:tc>
      </w:tr>
      <w:tr w:rsidR="00E2099A" w14:paraId="685D06E8" w14:textId="77777777">
        <w:trPr>
          <w:cantSplit/>
          <w:jc w:val="center"/>
        </w:trPr>
        <w:tc>
          <w:tcPr>
            <w:tcW w:w="0" w:type="auto"/>
            <w:shd w:val="clear" w:color="auto" w:fill="FFFFFF"/>
            <w:tcMar>
              <w:top w:w="0" w:type="dxa"/>
              <w:left w:w="0" w:type="dxa"/>
              <w:bottom w:w="0" w:type="dxa"/>
              <w:right w:w="0" w:type="dxa"/>
            </w:tcMar>
            <w:vAlign w:val="center"/>
          </w:tcPr>
          <w:p w14:paraId="3908C5C1" w14:textId="77777777" w:rsidR="00E2099A" w:rsidRDefault="00000000">
            <w:pPr>
              <w:spacing w:before="100" w:after="100"/>
              <w:ind w:left="100" w:right="100"/>
            </w:pPr>
            <w:r>
              <w:rPr>
                <w:rFonts w:ascii="Helvetica" w:eastAsia="Helvetica" w:hAnsi="Helvetica" w:cs="Helvetica"/>
                <w:color w:val="000000"/>
                <w:sz w:val="18"/>
                <w:szCs w:val="18"/>
              </w:rPr>
              <w:t>Industrial Natural Gas (Therms)</w:t>
            </w:r>
          </w:p>
        </w:tc>
        <w:tc>
          <w:tcPr>
            <w:tcW w:w="0" w:type="auto"/>
            <w:shd w:val="clear" w:color="auto" w:fill="FFFFFF"/>
            <w:tcMar>
              <w:top w:w="0" w:type="dxa"/>
              <w:left w:w="0" w:type="dxa"/>
              <w:bottom w:w="0" w:type="dxa"/>
              <w:right w:w="0" w:type="dxa"/>
            </w:tcMar>
            <w:vAlign w:val="center"/>
          </w:tcPr>
          <w:p w14:paraId="20975322" w14:textId="77777777" w:rsidR="00E2099A" w:rsidRDefault="00000000">
            <w:pPr>
              <w:spacing w:before="100" w:after="100"/>
              <w:ind w:left="100" w:right="100"/>
              <w:jc w:val="right"/>
            </w:pPr>
            <w:r>
              <w:rPr>
                <w:rFonts w:ascii="Helvetica" w:eastAsia="Helvetica" w:hAnsi="Helvetica" w:cs="Helvetica"/>
                <w:color w:val="000000"/>
                <w:sz w:val="18"/>
                <w:szCs w:val="18"/>
              </w:rPr>
              <w:t>43,953,039.3</w:t>
            </w:r>
          </w:p>
        </w:tc>
      </w:tr>
      <w:tr w:rsidR="00E2099A" w14:paraId="06539016"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53DEDE07" w14:textId="77777777" w:rsidR="00E2099A" w:rsidRDefault="00000000">
            <w:pPr>
              <w:spacing w:before="100" w:after="100"/>
              <w:ind w:left="100" w:right="100"/>
            </w:pPr>
            <w:r>
              <w:rPr>
                <w:rFonts w:ascii="Helvetica" w:eastAsia="Helvetica" w:hAnsi="Helvetica" w:cs="Helvetica"/>
                <w:color w:val="000000"/>
                <w:sz w:val="18"/>
                <w:szCs w:val="18"/>
              </w:rPr>
              <w:t>Total Industrial Emissions (tonnes CO&lt;sub&gt;2&lt;/sub&gt;e)</w:t>
            </w:r>
          </w:p>
        </w:tc>
        <w:tc>
          <w:tcPr>
            <w:tcW w:w="0" w:type="auto"/>
            <w:tcBorders>
              <w:bottom w:val="single" w:sz="16" w:space="0" w:color="666666"/>
            </w:tcBorders>
            <w:shd w:val="clear" w:color="auto" w:fill="FFFFFF"/>
            <w:tcMar>
              <w:top w:w="0" w:type="dxa"/>
              <w:left w:w="0" w:type="dxa"/>
              <w:bottom w:w="0" w:type="dxa"/>
              <w:right w:w="0" w:type="dxa"/>
            </w:tcMar>
            <w:vAlign w:val="center"/>
          </w:tcPr>
          <w:p w14:paraId="27F89407" w14:textId="77777777" w:rsidR="00E2099A" w:rsidRDefault="00000000">
            <w:pPr>
              <w:spacing w:before="100" w:after="100"/>
              <w:ind w:left="100" w:right="100"/>
              <w:jc w:val="right"/>
            </w:pPr>
            <w:r>
              <w:rPr>
                <w:rFonts w:ascii="Helvetica" w:eastAsia="Helvetica" w:hAnsi="Helvetica" w:cs="Helvetica"/>
                <w:color w:val="000000"/>
                <w:sz w:val="18"/>
                <w:szCs w:val="18"/>
              </w:rPr>
              <w:t>1,165,983,245.0</w:t>
            </w:r>
          </w:p>
        </w:tc>
      </w:tr>
    </w:tbl>
    <w:p w14:paraId="4ECB50AB" w14:textId="77777777" w:rsidR="00E2099A" w:rsidRDefault="00E2099A">
      <w:pPr>
        <w:pStyle w:val="BodyText"/>
      </w:pPr>
    </w:p>
    <w:p w14:paraId="68E27E32" w14:textId="77777777" w:rsidR="00E2099A" w:rsidRDefault="00000000">
      <w:pPr>
        <w:pStyle w:val="Heading1"/>
      </w:pPr>
      <w:bookmarkStart w:id="59" w:name="X8e893ac8d5afaf5ceade9c5ff2723b2ea2ab9e1"/>
      <w:bookmarkStart w:id="60" w:name="_Toc124529428"/>
      <w:bookmarkEnd w:id="32"/>
      <w:bookmarkEnd w:id="52"/>
      <w:bookmarkEnd w:id="55"/>
      <w:bookmarkEnd w:id="57"/>
      <w:r>
        <w:t>4</w:t>
      </w:r>
      <w:r>
        <w:tab/>
        <w:t>Reducing Emissions in the Transportation Sector</w:t>
      </w:r>
      <w:bookmarkEnd w:id="60"/>
    </w:p>
    <w:p w14:paraId="54102858" w14:textId="77777777" w:rsidR="00E2099A" w:rsidRDefault="00000000">
      <w:pPr>
        <w:pStyle w:val="FirstParagraph"/>
      </w:pPr>
      <w:r>
        <w:rPr>
          <w:noProof/>
        </w:rPr>
        <w:drawing>
          <wp:inline distT="0" distB="0" distL="0" distR="0" wp14:anchorId="2C0F60FC" wp14:editId="65087451">
            <wp:extent cx="6400800" cy="4272874"/>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images//2724.jpg"/>
                    <pic:cNvPicPr>
                      <a:picLocks noChangeAspect="1" noChangeArrowheads="1"/>
                    </pic:cNvPicPr>
                  </pic:nvPicPr>
                  <pic:blipFill>
                    <a:blip r:embed="rId27"/>
                    <a:stretch>
                      <a:fillRect/>
                    </a:stretch>
                  </pic:blipFill>
                  <pic:spPr bwMode="auto">
                    <a:xfrm>
                      <a:off x="0" y="0"/>
                      <a:ext cx="6400800" cy="4272874"/>
                    </a:xfrm>
                    <a:prstGeom prst="rect">
                      <a:avLst/>
                    </a:prstGeom>
                    <a:noFill/>
                    <a:ln w="9525">
                      <a:noFill/>
                      <a:headEnd/>
                      <a:tailEnd/>
                    </a:ln>
                  </pic:spPr>
                </pic:pic>
              </a:graphicData>
            </a:graphic>
          </wp:inline>
        </w:drawing>
      </w:r>
    </w:p>
    <w:p w14:paraId="0AE88C31" w14:textId="77777777" w:rsidR="00E2099A" w:rsidRDefault="00000000">
      <w:pPr>
        <w:pStyle w:val="BodyText"/>
      </w:pPr>
      <w:r>
        <w:t xml:space="preserve">The Metropolitan Council Transportation Policy Plan notes that the rapid expansion of the region’s developed area in an “auto-centric” manner has resulted in longer average trips and the diminished </w:t>
      </w:r>
      <w:r>
        <w:lastRenderedPageBreak/>
        <w:t>attractiveness of non-auto modes as modes of regional travel. The issue of longer and more frequent automobile trips contributes to the challenge of reducing greenhouse gas emissions.</w:t>
      </w:r>
    </w:p>
    <w:p w14:paraId="1656ED93" w14:textId="77777777" w:rsidR="00E2099A" w:rsidRDefault="00000000">
      <w:pPr>
        <w:pStyle w:val="BodyText"/>
      </w:pPr>
      <w:r>
        <w:t>Instead, when land use and transportation systems are designed to work together, they can create more efficient and sustainable communities. For example, compact, walkable communities with a mix of land uses can reduce the need for driving and improve the transportation system’s efficiency.</w:t>
      </w:r>
    </w:p>
    <w:p w14:paraId="1FE4D59B" w14:textId="77777777" w:rsidR="00E2099A" w:rsidRDefault="00000000">
      <w:pPr>
        <w:pStyle w:val="Heading2"/>
      </w:pPr>
      <w:bookmarkStart w:id="61" w:name="framework"/>
      <w:bookmarkStart w:id="62" w:name="_Toc124529429"/>
      <w:r>
        <w:t>4.1</w:t>
      </w:r>
      <w:r>
        <w:tab/>
        <w:t>Framework</w:t>
      </w:r>
      <w:bookmarkEnd w:id="62"/>
    </w:p>
    <w:p w14:paraId="28E34D70" w14:textId="77777777" w:rsidR="00E2099A" w:rsidRDefault="00000000">
      <w:pPr>
        <w:pStyle w:val="FirstParagraph"/>
      </w:pPr>
      <w:r>
        <w:t>Ramaswami, Fang, and Tabory (Ramaswami, Fang, and Tabory 2020) provide a framework for urban planning tools for greenhouse gas (GHG) mitigation as shown in as four key levers of action based on the framework developed in previous work by the UN International Resource Panel (Swilling et al. 2018).</w:t>
      </w:r>
    </w:p>
    <w:p w14:paraId="331E8905" w14:textId="77777777" w:rsidR="00E2099A" w:rsidRDefault="00000000">
      <w:pPr>
        <w:pStyle w:val="BodyText"/>
      </w:pPr>
      <w:r>
        <w:t>It is found that transit and car-sharing become cost-effective beyond a density of 35 dwelling units per acre (Santasieri 2014) and 5-10 dwelling units per acre (Millard-Ball 2019), respectively.</w:t>
      </w:r>
    </w:p>
    <w:p w14:paraId="357B5BA9" w14:textId="77777777" w:rsidR="00E2099A" w:rsidRDefault="00000000">
      <w:pPr>
        <w:pStyle w:val="Heading2"/>
      </w:pPr>
      <w:bookmarkStart w:id="63" w:name="transportation-baseline-and-data"/>
      <w:bookmarkStart w:id="64" w:name="_Toc124529430"/>
      <w:bookmarkEnd w:id="61"/>
      <w:r>
        <w:t>4.2</w:t>
      </w:r>
      <w:r>
        <w:tab/>
        <w:t>Transportation Baseline and Data</w:t>
      </w:r>
      <w:bookmarkEnd w:id="64"/>
    </w:p>
    <w:p w14:paraId="587829E0" w14:textId="77777777" w:rsidR="00E2099A" w:rsidRDefault="00000000">
      <w:pPr>
        <w:pStyle w:val="FirstParagraph"/>
      </w:pPr>
      <w:r>
        <w:t>The Council is in the process of verifying data sources for all inputs and values.</w:t>
      </w:r>
    </w:p>
    <w:p w14:paraId="14EB5B28" w14:textId="77777777" w:rsidR="00E2099A" w:rsidRDefault="00000000">
      <w:pPr>
        <w:pStyle w:val="BodyText"/>
      </w:pPr>
      <w:r>
        <w:t>The inputs for the transportation sector baseline and forecast are:</w:t>
      </w:r>
    </w:p>
    <w:p w14:paraId="2414CCC6" w14:textId="77777777" w:rsidR="00E2099A" w:rsidRDefault="00000000">
      <w:pPr>
        <w:pStyle w:val="Compact"/>
        <w:numPr>
          <w:ilvl w:val="0"/>
          <w:numId w:val="13"/>
        </w:numPr>
      </w:pPr>
      <w:r>
        <w:rPr>
          <w:b/>
          <w:bCs/>
        </w:rPr>
        <w:t>Passenger Miles Traveled</w:t>
      </w:r>
      <w:r>
        <w:t xml:space="preserve"> (PMT) forecasts from Metropolitan Council </w:t>
      </w:r>
      <w:hyperlink r:id="rId28">
        <w:r>
          <w:rPr>
            <w:rStyle w:val="Hyperlink"/>
          </w:rPr>
          <w:t>Regional Transportation Demand Model (RTDM)</w:t>
        </w:r>
      </w:hyperlink>
      <w:r>
        <w:t>.</w:t>
      </w:r>
    </w:p>
    <w:p w14:paraId="4D008718" w14:textId="77777777" w:rsidR="00E2099A" w:rsidRDefault="00000000">
      <w:pPr>
        <w:pStyle w:val="Compact"/>
        <w:numPr>
          <w:ilvl w:val="0"/>
          <w:numId w:val="13"/>
        </w:numPr>
      </w:pPr>
      <w:r>
        <w:rPr>
          <w:b/>
          <w:bCs/>
        </w:rPr>
        <w:t>The Transportation Demand Model</w:t>
      </w:r>
      <w:r>
        <w:t xml:space="preserve"> A transportation demand model is a tool that is used to predict how people and goods will move within a transportation system. It can be used to forecast the demand for different modes of transportation, such as cars, buses, trains, and planes, and to evaluate the impacts of different transportation policies and investments.</w:t>
      </w:r>
    </w:p>
    <w:p w14:paraId="284B8248" w14:textId="77777777" w:rsidR="00E2099A" w:rsidRDefault="00000000">
      <w:pPr>
        <w:pStyle w:val="Compact"/>
        <w:numPr>
          <w:ilvl w:val="0"/>
          <w:numId w:val="13"/>
        </w:numPr>
      </w:pPr>
      <w:r>
        <w:rPr>
          <w:b/>
          <w:bCs/>
        </w:rPr>
        <w:t>Average vehicle occupancy by mode</w:t>
      </w:r>
    </w:p>
    <w:p w14:paraId="73D1C078" w14:textId="77777777" w:rsidR="00E2099A" w:rsidRDefault="00000000">
      <w:pPr>
        <w:pStyle w:val="Compact"/>
        <w:numPr>
          <w:ilvl w:val="0"/>
          <w:numId w:val="13"/>
        </w:numPr>
      </w:pPr>
      <w:r>
        <w:rPr>
          <w:b/>
          <w:bCs/>
        </w:rPr>
        <w:t>MA3T stock turnover and adoption forecasts by “powertrain”</w:t>
      </w:r>
      <w:r>
        <w:t xml:space="preserve">: SI (spark ignition gasoline) vehicles, CI (combustion emissions diesel) vehicles, hybrid-electric vehicles (HEVs), plug-in hybrid-electric vehicles (PHEV), and battery-electric. </w:t>
      </w:r>
      <w:hyperlink r:id="rId29">
        <w:r>
          <w:rPr>
            <w:rStyle w:val="Hyperlink"/>
          </w:rPr>
          <w:t>MA3T</w:t>
        </w:r>
      </w:hyperlink>
      <w:r>
        <w:t xml:space="preserve"> stands for Market Acceptance of Advanced Automotive Technologies (MA3T) and it allows to simulate the diverse purchasing behaviors among individuals in the market place.</w:t>
      </w:r>
    </w:p>
    <w:p w14:paraId="50D1C443" w14:textId="77777777" w:rsidR="00E2099A" w:rsidRDefault="00000000">
      <w:pPr>
        <w:pStyle w:val="Heading3"/>
      </w:pPr>
      <w:bookmarkStart w:id="65" w:name="annual-energy-outlook-aeo"/>
      <w:bookmarkStart w:id="66" w:name="_Toc124529431"/>
      <w:r>
        <w:t>4.2.1</w:t>
      </w:r>
      <w:r>
        <w:tab/>
        <w:t>Annual Energy Outlook (AEO)</w:t>
      </w:r>
      <w:bookmarkEnd w:id="66"/>
    </w:p>
    <w:p w14:paraId="1A63242C" w14:textId="77777777" w:rsidR="00E2099A" w:rsidRDefault="00000000">
      <w:pPr>
        <w:pStyle w:val="FirstParagraph"/>
      </w:pPr>
      <w:r>
        <w:t>In addition to the inclusion of the strategies outlined, alternative future scenarios are adopted from the EIA Annual Energy Outlook.</w:t>
      </w:r>
    </w:p>
    <w:p w14:paraId="686F59B0" w14:textId="77777777" w:rsidR="00E2099A" w:rsidRDefault="00000000">
      <w:pPr>
        <w:pStyle w:val="BodyText"/>
      </w:pPr>
      <w:r>
        <w:t>The inclusion of these scenarios allows the user to easily consider uncertainty in global financial and energy markets. The AEO scenarios are included as variations in fuel economy and VMT by mode. The following AEO scenarios are included in the tool (“Annual Energy Outlook” 2021).</w:t>
      </w:r>
    </w:p>
    <w:p w14:paraId="12D0AD80" w14:textId="77777777" w:rsidR="00E2099A" w:rsidRDefault="00000000">
      <w:pPr>
        <w:pStyle w:val="Compact"/>
        <w:numPr>
          <w:ilvl w:val="0"/>
          <w:numId w:val="14"/>
        </w:numPr>
      </w:pPr>
      <w:r>
        <w:rPr>
          <w:b/>
          <w:bCs/>
        </w:rPr>
        <w:t>High oil price</w:t>
      </w:r>
      <w:r>
        <w:t xml:space="preserve"> the price of Brent crude oil, in 2020 dollars, reaches $173 per barrel by 2050 compared with $95 per barrel in the reference case.</w:t>
      </w:r>
      <w:r>
        <w:br/>
      </w:r>
    </w:p>
    <w:p w14:paraId="6A9CC4F0" w14:textId="77777777" w:rsidR="00E2099A" w:rsidRDefault="00000000">
      <w:pPr>
        <w:pStyle w:val="Compact"/>
        <w:numPr>
          <w:ilvl w:val="0"/>
          <w:numId w:val="14"/>
        </w:numPr>
      </w:pPr>
      <w:r>
        <w:rPr>
          <w:b/>
          <w:bCs/>
        </w:rPr>
        <w:t>Low oil price</w:t>
      </w:r>
      <w:r>
        <w:t xml:space="preserve"> the price of Brent crude oil, in 2020 dollars, drops to $48 per barrel by 2050 compared with $95 per barrel in the reference case.</w:t>
      </w:r>
      <w:r>
        <w:br/>
      </w:r>
    </w:p>
    <w:p w14:paraId="1B3C294B" w14:textId="77777777" w:rsidR="00E2099A" w:rsidRDefault="00000000">
      <w:pPr>
        <w:pStyle w:val="Compact"/>
        <w:numPr>
          <w:ilvl w:val="0"/>
          <w:numId w:val="14"/>
        </w:numPr>
      </w:pPr>
      <w:r>
        <w:rPr>
          <w:b/>
          <w:bCs/>
        </w:rPr>
        <w:t>High economic growth</w:t>
      </w:r>
      <w:r>
        <w:t xml:space="preserve"> U.S. GDP grows by 2.6% per year compared with 2.1% in the reference case.</w:t>
      </w:r>
      <w:r>
        <w:br/>
      </w:r>
    </w:p>
    <w:p w14:paraId="6E08F09E" w14:textId="77777777" w:rsidR="00E2099A" w:rsidRDefault="00000000">
      <w:pPr>
        <w:pStyle w:val="Compact"/>
        <w:numPr>
          <w:ilvl w:val="0"/>
          <w:numId w:val="14"/>
        </w:numPr>
      </w:pPr>
      <w:r>
        <w:rPr>
          <w:b/>
          <w:bCs/>
        </w:rPr>
        <w:t>Low economic growth</w:t>
      </w:r>
      <w:r>
        <w:t xml:space="preserve"> U.S. GDP grows by 1.6% per year compared with 2.1% in the reference case.</w:t>
      </w:r>
    </w:p>
    <w:p w14:paraId="6803DD73" w14:textId="77777777" w:rsidR="00E2099A" w:rsidRDefault="00000000">
      <w:pPr>
        <w:pStyle w:val="FirstParagraph"/>
      </w:pPr>
      <w:r>
        <w:t>The AEO analysis includes two additional scenarios representing high and low renewable cost cases, respectively. We do not consider these cases as we rely on Xcel Energy electricity grid forecasts in the tool and variation in renewable prices would affect these assumptions.</w:t>
      </w:r>
    </w:p>
    <w:p w14:paraId="77536EF3" w14:textId="77777777" w:rsidR="00E2099A" w:rsidRDefault="00000000">
      <w:pPr>
        <w:pStyle w:val="Heading3"/>
      </w:pPr>
      <w:bookmarkStart w:id="67" w:name="passenger"/>
      <w:bookmarkStart w:id="68" w:name="_Toc124529432"/>
      <w:bookmarkEnd w:id="65"/>
      <w:r>
        <w:lastRenderedPageBreak/>
        <w:t>4.2.2</w:t>
      </w:r>
      <w:r>
        <w:tab/>
        <w:t>Passenger</w:t>
      </w:r>
      <w:bookmarkEnd w:id="68"/>
    </w:p>
    <w:p w14:paraId="56D448E0" w14:textId="77777777" w:rsidR="00E2099A" w:rsidRDefault="00000000">
      <w:pPr>
        <w:pStyle w:val="FirstParagraph"/>
      </w:pPr>
      <w:r>
        <w:t>The Twin Cities region relies heavily on private cars for transportation, with options including gasoline, diesel, hybrid electric-gasoline, plug-in hybrid electric-gasoline, and battery electric vehicles.</w:t>
      </w:r>
    </w:p>
    <w:p w14:paraId="28FCA918" w14:textId="77777777" w:rsidR="00E2099A" w:rsidRDefault="00000000">
      <w:pPr>
        <w:pStyle w:val="BodyText"/>
      </w:pPr>
      <w:r>
        <w:t xml:space="preserve">The region’s transportation carbon emissions are calculated based on data on vehicle usage, average vehicle occupancy, and person miles traveled by mode. Public transit options include urban and interurban buses and rails, with the option to switch to electric power in the future. Public transit mode shares are estimated using definitions from the </w:t>
      </w:r>
      <w:hyperlink r:id="rId30">
        <w:r>
          <w:rPr>
            <w:rStyle w:val="Hyperlink"/>
          </w:rPr>
          <w:t>2019 Travel Behavior Inventory (TBI)</w:t>
        </w:r>
      </w:hyperlink>
      <w:r>
        <w:t>, but there are no estimates of transit vehicle turnover to the 2050 forecast year.</w:t>
      </w:r>
    </w:p>
    <w:p w14:paraId="7FEFD0E3" w14:textId="77777777" w:rsidR="00E2099A" w:rsidRDefault="00000000">
      <w:pPr>
        <w:pStyle w:val="BodyText"/>
      </w:pPr>
      <w:r>
        <w:t>The dominant mode of passenger transportation in MSP is the private car (i.e., passenger light-duty vehicle). Powertrain types included in the tool for this mode are gasoline, diesel, hybrid electric-gasoline (HEV), plug-in hybrid electric-gasoline (PHEV), and battery electric (BEV).</w:t>
      </w:r>
    </w:p>
    <w:p w14:paraId="2E2D8622" w14:textId="77777777" w:rsidR="00E2099A" w:rsidRDefault="00000000">
      <w:pPr>
        <w:pStyle w:val="BodyText"/>
      </w:pPr>
      <w:r>
        <w:t>Public transit modes are categorized as urban bus, bus rapid transit (BRT), urban rail (LRT), and interurban rail (Northstar commuter rail). Bus modes have fuel options of biodiesel, hybrid electric-biodiesel, and battery electric. The LRT is already run by electricity and it is assumed that use of this technology will continue. The Northstar commuter rail currently uses biodiesel as an energy feedstock, but the option is available in the tool to switch it to an electric powertrain by 2050.</w:t>
      </w:r>
    </w:p>
    <w:p w14:paraId="237F8EF6" w14:textId="77777777" w:rsidR="00E2099A" w:rsidRDefault="00000000">
      <w:pPr>
        <w:pStyle w:val="BodyText"/>
      </w:pPr>
      <w:r>
        <w:t>In the case of PHEV, there is a need to consider the fraction of VMT driven in electric and gasoline modes. It is assumed that the average travel distance in electric mode for a PHEV is 30 miles (Loveday 2019) and that households only recharge vehicles at night. Using these assumptions, the fraction of time operating in gasoline mode can be estimated based on 2019 TBI data for household vehicle usage for each CTU.</w:t>
      </w:r>
    </w:p>
    <w:p w14:paraId="6F9C2737" w14:textId="77777777" w:rsidR="00E2099A" w:rsidRDefault="00000000">
      <w:pPr>
        <w:pStyle w:val="BodyText"/>
      </w:pPr>
      <w:r>
        <w:t>The regional model provides PMT totals for auto, transit, bike, and walk modes. PMT by mode is allocated to CTU using the standard 100-50-50 method given in the GHG Protocol for Cities (The World Resources Institute 2012). That is, 100% of PMT for trips that start and end in the same CTU is allocated to that CTU. Otherwise, 50% of PMT is allocated to each of the trip start CTU and trip end CTUs. A factor of 340 is used to convert daily PMT into annual PMT based on the recommendation of the Carbon Free Boston study (Porter et al. 2019).</w:t>
      </w:r>
    </w:p>
    <w:p w14:paraId="54995D7E" w14:textId="77777777" w:rsidR="00E2099A" w:rsidRDefault="00E2099A">
      <w:pPr>
        <w:pStyle w:val="BodyText"/>
      </w:pPr>
    </w:p>
    <w:p w14:paraId="1AA49600" w14:textId="77777777" w:rsidR="00E2099A" w:rsidRDefault="00000000">
      <w:pPr>
        <w:pStyle w:val="Heading3"/>
      </w:pPr>
      <w:bookmarkStart w:id="69" w:name="freight"/>
      <w:bookmarkStart w:id="70" w:name="_Toc124529433"/>
      <w:bookmarkEnd w:id="67"/>
      <w:r>
        <w:t>4.2.3</w:t>
      </w:r>
      <w:r>
        <w:tab/>
        <w:t>Freight</w:t>
      </w:r>
      <w:bookmarkEnd w:id="70"/>
    </w:p>
    <w:p w14:paraId="371B2EB4" w14:textId="77777777" w:rsidR="00E2099A" w:rsidRDefault="00000000">
      <w:pPr>
        <w:pStyle w:val="FirstParagraph"/>
      </w:pPr>
      <w:r>
        <w:t>The Twin Cities region is a critical transportation hub for the upper Midwest, serving as a distribution center for Minnesota, Wisconsin, North and South Dakota, and eastern Montana. The region is served by five modes of freight transportation: trucks, railroads, barges, air freight, and pipelines. These modes play a crucial role in supporting the region’s economic competitiveness and quality of life by allowing residents to access the goods and materials they need and enabling businesses to distribute their products.</w:t>
      </w:r>
    </w:p>
    <w:p w14:paraId="28DB8BC7" w14:textId="77777777" w:rsidR="00E2099A" w:rsidRDefault="00000000">
      <w:pPr>
        <w:pStyle w:val="BodyText"/>
      </w:pPr>
      <w:r>
        <w:t>The region’s freight transportation system is facing challenges, including congestion, lack of capacity, and infrastructure deficiencies, which need to be addressed to ensure the system’s continued effectiveness. The Metropolitan Council works closely with the Minnesota Department of Transportation and other partners to ensure that the regional freight system supports a thriving and sustainable economy. Many freight-related improvements are the responsibility of private owners and operators of transportation modes and freight terminal facilities, although public investments in infrastructure also play a role.</w:t>
      </w:r>
    </w:p>
    <w:p w14:paraId="098E29B6" w14:textId="77777777" w:rsidR="00E2099A" w:rsidRDefault="00E2099A">
      <w:pPr>
        <w:pStyle w:val="BodyText"/>
      </w:pPr>
    </w:p>
    <w:p w14:paraId="2DE2EB7B" w14:textId="77777777" w:rsidR="00E2099A" w:rsidRDefault="00000000">
      <w:pPr>
        <w:pStyle w:val="Heading2"/>
      </w:pPr>
      <w:bookmarkStart w:id="71" w:name="transportation-baseline-and-forecast"/>
      <w:bookmarkStart w:id="72" w:name="_Toc124529434"/>
      <w:bookmarkEnd w:id="63"/>
      <w:bookmarkEnd w:id="69"/>
      <w:r>
        <w:t>4.3</w:t>
      </w:r>
      <w:r>
        <w:tab/>
        <w:t>Transportation Baseline and Forecast</w:t>
      </w:r>
      <w:bookmarkEnd w:id="72"/>
    </w:p>
    <w:p w14:paraId="7570A8A5" w14:textId="77777777" w:rsidR="00E2099A" w:rsidRDefault="00000000">
      <w:pPr>
        <w:pStyle w:val="TableCaption"/>
      </w:pPr>
      <w:bookmarkStart w:id="73" w:name="tab-passenger-miles-traveled"/>
      <w:r>
        <w:rPr>
          <w:b/>
          <w:bCs/>
        </w:rPr>
        <w:t xml:space="preserve">Table 4.1: </w:t>
      </w:r>
      <w:bookmarkEnd w:id="73"/>
      <w:r>
        <w:t>Passenger Miles Traveled by Mode Minneapolis 2040 Forecast</w:t>
      </w:r>
    </w:p>
    <w:tbl>
      <w:tblPr>
        <w:tblW w:w="0" w:type="pct"/>
        <w:jc w:val="center"/>
        <w:tblLook w:val="0420" w:firstRow="1" w:lastRow="0" w:firstColumn="0" w:lastColumn="0" w:noHBand="0" w:noVBand="1"/>
      </w:tblPr>
      <w:tblGrid>
        <w:gridCol w:w="3102"/>
        <w:gridCol w:w="1001"/>
        <w:gridCol w:w="601"/>
      </w:tblGrid>
      <w:tr w:rsidR="00E2099A" w14:paraId="6A29E564"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7E02AF68" w14:textId="77777777" w:rsidR="00E2099A" w:rsidRDefault="00000000">
            <w:pPr>
              <w:spacing w:before="100" w:after="100"/>
              <w:ind w:left="100" w:right="100"/>
              <w:jc w:val="center"/>
            </w:pPr>
            <w:r>
              <w:rPr>
                <w:rFonts w:ascii="Helvetica" w:eastAsia="Helvetica" w:hAnsi="Helvetica" w:cs="Helvetica"/>
                <w:color w:val="000000"/>
                <w:sz w:val="18"/>
                <w:szCs w:val="18"/>
              </w:rPr>
              <w:lastRenderedPageBreak/>
              <w:t>Mode</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48103785" w14:textId="77777777" w:rsidR="00E2099A" w:rsidRDefault="00000000">
            <w:pPr>
              <w:spacing w:before="100" w:after="100"/>
              <w:ind w:left="100" w:right="100"/>
              <w:jc w:val="center"/>
            </w:pPr>
            <w:r>
              <w:rPr>
                <w:rFonts w:ascii="Helvetica" w:eastAsia="Helvetica" w:hAnsi="Helvetica" w:cs="Helvetica"/>
                <w:color w:val="000000"/>
                <w:sz w:val="18"/>
                <w:szCs w:val="18"/>
              </w:rPr>
              <w:t>Value</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312EC435" w14:textId="77777777" w:rsidR="00E2099A" w:rsidRDefault="00000000">
            <w:pPr>
              <w:spacing w:before="100" w:after="100"/>
              <w:ind w:left="100" w:right="100"/>
              <w:jc w:val="center"/>
            </w:pPr>
            <w:r>
              <w:rPr>
                <w:rFonts w:ascii="Helvetica" w:eastAsia="Helvetica" w:hAnsi="Helvetica" w:cs="Helvetica"/>
                <w:color w:val="000000"/>
                <w:sz w:val="18"/>
                <w:szCs w:val="18"/>
              </w:rPr>
              <w:t>year</w:t>
            </w:r>
          </w:p>
        </w:tc>
      </w:tr>
      <w:tr w:rsidR="00E2099A" w14:paraId="7FBFA9B9" w14:textId="77777777">
        <w:trPr>
          <w:cantSplit/>
          <w:jc w:val="center"/>
        </w:trPr>
        <w:tc>
          <w:tcPr>
            <w:tcW w:w="0" w:type="auto"/>
            <w:shd w:val="clear" w:color="auto" w:fill="FFFFFF"/>
            <w:tcMar>
              <w:top w:w="0" w:type="dxa"/>
              <w:left w:w="0" w:type="dxa"/>
              <w:bottom w:w="0" w:type="dxa"/>
              <w:right w:w="0" w:type="dxa"/>
            </w:tcMar>
            <w:vAlign w:val="center"/>
          </w:tcPr>
          <w:p w14:paraId="645219BF" w14:textId="77777777" w:rsidR="00E2099A" w:rsidRDefault="00000000">
            <w:pPr>
              <w:spacing w:before="100" w:after="100"/>
              <w:ind w:left="100" w:right="100"/>
            </w:pPr>
            <w:r>
              <w:rPr>
                <w:rFonts w:ascii="Helvetica" w:eastAsia="Helvetica" w:hAnsi="Helvetica" w:cs="Helvetica"/>
                <w:color w:val="000000"/>
                <w:sz w:val="18"/>
                <w:szCs w:val="18"/>
              </w:rPr>
              <w:t>Passenger light duty vehicle</w:t>
            </w:r>
          </w:p>
        </w:tc>
        <w:tc>
          <w:tcPr>
            <w:tcW w:w="0" w:type="auto"/>
            <w:shd w:val="clear" w:color="auto" w:fill="FFFFFF"/>
            <w:tcMar>
              <w:top w:w="0" w:type="dxa"/>
              <w:left w:w="0" w:type="dxa"/>
              <w:bottom w:w="0" w:type="dxa"/>
              <w:right w:w="0" w:type="dxa"/>
            </w:tcMar>
            <w:vAlign w:val="center"/>
          </w:tcPr>
          <w:p w14:paraId="3CB2AE38" w14:textId="77777777" w:rsidR="00E2099A" w:rsidRDefault="00000000">
            <w:pPr>
              <w:spacing w:before="100" w:after="100"/>
              <w:ind w:left="100" w:right="100"/>
              <w:jc w:val="right"/>
            </w:pPr>
            <w:r>
              <w:rPr>
                <w:rFonts w:ascii="Helvetica" w:eastAsia="Helvetica" w:hAnsi="Helvetica" w:cs="Helvetica"/>
                <w:color w:val="000000"/>
                <w:sz w:val="18"/>
                <w:szCs w:val="18"/>
              </w:rPr>
              <w:t>3,879,556</w:t>
            </w:r>
          </w:p>
        </w:tc>
        <w:tc>
          <w:tcPr>
            <w:tcW w:w="0" w:type="auto"/>
            <w:shd w:val="clear" w:color="auto" w:fill="FFFFFF"/>
            <w:tcMar>
              <w:top w:w="0" w:type="dxa"/>
              <w:left w:w="0" w:type="dxa"/>
              <w:bottom w:w="0" w:type="dxa"/>
              <w:right w:w="0" w:type="dxa"/>
            </w:tcMar>
            <w:vAlign w:val="center"/>
          </w:tcPr>
          <w:p w14:paraId="2DD28185" w14:textId="77777777" w:rsidR="00E2099A" w:rsidRDefault="00000000">
            <w:pPr>
              <w:spacing w:before="100" w:after="100"/>
              <w:ind w:left="100" w:right="100"/>
            </w:pPr>
            <w:r>
              <w:rPr>
                <w:rFonts w:ascii="Helvetica" w:eastAsia="Helvetica" w:hAnsi="Helvetica" w:cs="Helvetica"/>
                <w:color w:val="000000"/>
                <w:sz w:val="18"/>
                <w:szCs w:val="18"/>
              </w:rPr>
              <w:t>2018</w:t>
            </w:r>
          </w:p>
        </w:tc>
      </w:tr>
      <w:tr w:rsidR="00E2099A" w14:paraId="02D9D7A1" w14:textId="77777777">
        <w:trPr>
          <w:cantSplit/>
          <w:jc w:val="center"/>
        </w:trPr>
        <w:tc>
          <w:tcPr>
            <w:tcW w:w="0" w:type="auto"/>
            <w:shd w:val="clear" w:color="auto" w:fill="FFFFFF"/>
            <w:tcMar>
              <w:top w:w="0" w:type="dxa"/>
              <w:left w:w="0" w:type="dxa"/>
              <w:bottom w:w="0" w:type="dxa"/>
              <w:right w:w="0" w:type="dxa"/>
            </w:tcMar>
            <w:vAlign w:val="center"/>
          </w:tcPr>
          <w:p w14:paraId="76DF1950" w14:textId="77777777" w:rsidR="00E2099A" w:rsidRDefault="00000000">
            <w:pPr>
              <w:spacing w:before="100" w:after="100"/>
              <w:ind w:left="100" w:right="100"/>
            </w:pPr>
            <w:r>
              <w:rPr>
                <w:rFonts w:ascii="Helvetica" w:eastAsia="Helvetica" w:hAnsi="Helvetica" w:cs="Helvetica"/>
                <w:color w:val="000000"/>
                <w:sz w:val="18"/>
                <w:szCs w:val="18"/>
              </w:rPr>
              <w:t>Passenger light duty vehicle</w:t>
            </w:r>
          </w:p>
        </w:tc>
        <w:tc>
          <w:tcPr>
            <w:tcW w:w="0" w:type="auto"/>
            <w:shd w:val="clear" w:color="auto" w:fill="FFFFFF"/>
            <w:tcMar>
              <w:top w:w="0" w:type="dxa"/>
              <w:left w:w="0" w:type="dxa"/>
              <w:bottom w:w="0" w:type="dxa"/>
              <w:right w:w="0" w:type="dxa"/>
            </w:tcMar>
            <w:vAlign w:val="center"/>
          </w:tcPr>
          <w:p w14:paraId="67DAFCAF" w14:textId="77777777" w:rsidR="00E2099A" w:rsidRDefault="00000000">
            <w:pPr>
              <w:spacing w:before="100" w:after="100"/>
              <w:ind w:left="100" w:right="100"/>
              <w:jc w:val="right"/>
            </w:pPr>
            <w:r>
              <w:rPr>
                <w:rFonts w:ascii="Helvetica" w:eastAsia="Helvetica" w:hAnsi="Helvetica" w:cs="Helvetica"/>
                <w:color w:val="000000"/>
                <w:sz w:val="18"/>
                <w:szCs w:val="18"/>
              </w:rPr>
              <w:t>3,669,647</w:t>
            </w:r>
          </w:p>
        </w:tc>
        <w:tc>
          <w:tcPr>
            <w:tcW w:w="0" w:type="auto"/>
            <w:shd w:val="clear" w:color="auto" w:fill="FFFFFF"/>
            <w:tcMar>
              <w:top w:w="0" w:type="dxa"/>
              <w:left w:w="0" w:type="dxa"/>
              <w:bottom w:w="0" w:type="dxa"/>
              <w:right w:w="0" w:type="dxa"/>
            </w:tcMar>
            <w:vAlign w:val="center"/>
          </w:tcPr>
          <w:p w14:paraId="571CB1B2" w14:textId="77777777" w:rsidR="00E2099A" w:rsidRDefault="00000000">
            <w:pPr>
              <w:spacing w:before="100" w:after="100"/>
              <w:ind w:left="100" w:right="100"/>
            </w:pPr>
            <w:r>
              <w:rPr>
                <w:rFonts w:ascii="Helvetica" w:eastAsia="Helvetica" w:hAnsi="Helvetica" w:cs="Helvetica"/>
                <w:color w:val="000000"/>
                <w:sz w:val="18"/>
                <w:szCs w:val="18"/>
              </w:rPr>
              <w:t>2040</w:t>
            </w:r>
          </w:p>
        </w:tc>
      </w:tr>
      <w:tr w:rsidR="00E2099A" w14:paraId="50E67F7A" w14:textId="77777777">
        <w:trPr>
          <w:cantSplit/>
          <w:jc w:val="center"/>
        </w:trPr>
        <w:tc>
          <w:tcPr>
            <w:tcW w:w="0" w:type="auto"/>
            <w:shd w:val="clear" w:color="auto" w:fill="FFFFFF"/>
            <w:tcMar>
              <w:top w:w="0" w:type="dxa"/>
              <w:left w:w="0" w:type="dxa"/>
              <w:bottom w:w="0" w:type="dxa"/>
              <w:right w:w="0" w:type="dxa"/>
            </w:tcMar>
            <w:vAlign w:val="center"/>
          </w:tcPr>
          <w:p w14:paraId="7A31E66B" w14:textId="77777777" w:rsidR="00E2099A" w:rsidRDefault="00000000">
            <w:pPr>
              <w:spacing w:before="100" w:after="100"/>
              <w:ind w:left="100" w:right="100"/>
            </w:pPr>
            <w:r>
              <w:rPr>
                <w:rFonts w:ascii="Helvetica" w:eastAsia="Helvetica" w:hAnsi="Helvetica" w:cs="Helvetica"/>
                <w:color w:val="000000"/>
                <w:sz w:val="18"/>
                <w:szCs w:val="18"/>
              </w:rPr>
              <w:t>Active transportation (walk and bike)</w:t>
            </w:r>
          </w:p>
        </w:tc>
        <w:tc>
          <w:tcPr>
            <w:tcW w:w="0" w:type="auto"/>
            <w:shd w:val="clear" w:color="auto" w:fill="FFFFFF"/>
            <w:tcMar>
              <w:top w:w="0" w:type="dxa"/>
              <w:left w:w="0" w:type="dxa"/>
              <w:bottom w:w="0" w:type="dxa"/>
              <w:right w:w="0" w:type="dxa"/>
            </w:tcMar>
            <w:vAlign w:val="center"/>
          </w:tcPr>
          <w:p w14:paraId="67619A25" w14:textId="77777777" w:rsidR="00E2099A" w:rsidRDefault="00000000">
            <w:pPr>
              <w:spacing w:before="100" w:after="100"/>
              <w:ind w:left="100" w:right="100"/>
              <w:jc w:val="right"/>
            </w:pPr>
            <w:r>
              <w:rPr>
                <w:rFonts w:ascii="Helvetica" w:eastAsia="Helvetica" w:hAnsi="Helvetica" w:cs="Helvetica"/>
                <w:color w:val="000000"/>
                <w:sz w:val="18"/>
                <w:szCs w:val="18"/>
              </w:rPr>
              <w:t>316,757</w:t>
            </w:r>
          </w:p>
        </w:tc>
        <w:tc>
          <w:tcPr>
            <w:tcW w:w="0" w:type="auto"/>
            <w:shd w:val="clear" w:color="auto" w:fill="FFFFFF"/>
            <w:tcMar>
              <w:top w:w="0" w:type="dxa"/>
              <w:left w:w="0" w:type="dxa"/>
              <w:bottom w:w="0" w:type="dxa"/>
              <w:right w:w="0" w:type="dxa"/>
            </w:tcMar>
            <w:vAlign w:val="center"/>
          </w:tcPr>
          <w:p w14:paraId="2663775A" w14:textId="77777777" w:rsidR="00E2099A" w:rsidRDefault="00000000">
            <w:pPr>
              <w:spacing w:before="100" w:after="100"/>
              <w:ind w:left="100" w:right="100"/>
            </w:pPr>
            <w:r>
              <w:rPr>
                <w:rFonts w:ascii="Helvetica" w:eastAsia="Helvetica" w:hAnsi="Helvetica" w:cs="Helvetica"/>
                <w:color w:val="000000"/>
                <w:sz w:val="18"/>
                <w:szCs w:val="18"/>
              </w:rPr>
              <w:t>2018</w:t>
            </w:r>
          </w:p>
        </w:tc>
      </w:tr>
      <w:tr w:rsidR="00E2099A" w14:paraId="01547E9F" w14:textId="77777777">
        <w:trPr>
          <w:cantSplit/>
          <w:jc w:val="center"/>
        </w:trPr>
        <w:tc>
          <w:tcPr>
            <w:tcW w:w="0" w:type="auto"/>
            <w:shd w:val="clear" w:color="auto" w:fill="FFFFFF"/>
            <w:tcMar>
              <w:top w:w="0" w:type="dxa"/>
              <w:left w:w="0" w:type="dxa"/>
              <w:bottom w:w="0" w:type="dxa"/>
              <w:right w:w="0" w:type="dxa"/>
            </w:tcMar>
            <w:vAlign w:val="center"/>
          </w:tcPr>
          <w:p w14:paraId="35B5459C" w14:textId="77777777" w:rsidR="00E2099A" w:rsidRDefault="00000000">
            <w:pPr>
              <w:spacing w:before="100" w:after="100"/>
              <w:ind w:left="100" w:right="100"/>
            </w:pPr>
            <w:r>
              <w:rPr>
                <w:rFonts w:ascii="Helvetica" w:eastAsia="Helvetica" w:hAnsi="Helvetica" w:cs="Helvetica"/>
                <w:color w:val="000000"/>
                <w:sz w:val="18"/>
                <w:szCs w:val="18"/>
              </w:rPr>
              <w:t>Active transportation (walk and bike)</w:t>
            </w:r>
          </w:p>
        </w:tc>
        <w:tc>
          <w:tcPr>
            <w:tcW w:w="0" w:type="auto"/>
            <w:shd w:val="clear" w:color="auto" w:fill="FFFFFF"/>
            <w:tcMar>
              <w:top w:w="0" w:type="dxa"/>
              <w:left w:w="0" w:type="dxa"/>
              <w:bottom w:w="0" w:type="dxa"/>
              <w:right w:w="0" w:type="dxa"/>
            </w:tcMar>
            <w:vAlign w:val="center"/>
          </w:tcPr>
          <w:p w14:paraId="063C46CB" w14:textId="77777777" w:rsidR="00E2099A" w:rsidRDefault="00000000">
            <w:pPr>
              <w:spacing w:before="100" w:after="100"/>
              <w:ind w:left="100" w:right="100"/>
              <w:jc w:val="right"/>
            </w:pPr>
            <w:r>
              <w:rPr>
                <w:rFonts w:ascii="Helvetica" w:eastAsia="Helvetica" w:hAnsi="Helvetica" w:cs="Helvetica"/>
                <w:color w:val="000000"/>
                <w:sz w:val="18"/>
                <w:szCs w:val="18"/>
              </w:rPr>
              <w:t>347,165</w:t>
            </w:r>
          </w:p>
        </w:tc>
        <w:tc>
          <w:tcPr>
            <w:tcW w:w="0" w:type="auto"/>
            <w:shd w:val="clear" w:color="auto" w:fill="FFFFFF"/>
            <w:tcMar>
              <w:top w:w="0" w:type="dxa"/>
              <w:left w:w="0" w:type="dxa"/>
              <w:bottom w:w="0" w:type="dxa"/>
              <w:right w:w="0" w:type="dxa"/>
            </w:tcMar>
            <w:vAlign w:val="center"/>
          </w:tcPr>
          <w:p w14:paraId="51749A69" w14:textId="77777777" w:rsidR="00E2099A" w:rsidRDefault="00000000">
            <w:pPr>
              <w:spacing w:before="100" w:after="100"/>
              <w:ind w:left="100" w:right="100"/>
            </w:pPr>
            <w:r>
              <w:rPr>
                <w:rFonts w:ascii="Helvetica" w:eastAsia="Helvetica" w:hAnsi="Helvetica" w:cs="Helvetica"/>
                <w:color w:val="000000"/>
                <w:sz w:val="18"/>
                <w:szCs w:val="18"/>
              </w:rPr>
              <w:t>2040</w:t>
            </w:r>
          </w:p>
        </w:tc>
      </w:tr>
      <w:tr w:rsidR="00E2099A" w14:paraId="1BBDCA7F" w14:textId="77777777">
        <w:trPr>
          <w:cantSplit/>
          <w:jc w:val="center"/>
        </w:trPr>
        <w:tc>
          <w:tcPr>
            <w:tcW w:w="0" w:type="auto"/>
            <w:shd w:val="clear" w:color="auto" w:fill="FFFFFF"/>
            <w:tcMar>
              <w:top w:w="0" w:type="dxa"/>
              <w:left w:w="0" w:type="dxa"/>
              <w:bottom w:w="0" w:type="dxa"/>
              <w:right w:w="0" w:type="dxa"/>
            </w:tcMar>
            <w:vAlign w:val="center"/>
          </w:tcPr>
          <w:p w14:paraId="218A5063" w14:textId="77777777" w:rsidR="00E2099A" w:rsidRDefault="00000000">
            <w:pPr>
              <w:spacing w:before="100" w:after="100"/>
              <w:ind w:left="100" w:right="100"/>
            </w:pPr>
            <w:r>
              <w:rPr>
                <w:rFonts w:ascii="Helvetica" w:eastAsia="Helvetica" w:hAnsi="Helvetica" w:cs="Helvetica"/>
                <w:color w:val="000000"/>
                <w:sz w:val="18"/>
                <w:szCs w:val="18"/>
              </w:rPr>
              <w:t>Urban bus (standard, non-BRT bus)</w:t>
            </w:r>
          </w:p>
        </w:tc>
        <w:tc>
          <w:tcPr>
            <w:tcW w:w="0" w:type="auto"/>
            <w:shd w:val="clear" w:color="auto" w:fill="FFFFFF"/>
            <w:tcMar>
              <w:top w:w="0" w:type="dxa"/>
              <w:left w:w="0" w:type="dxa"/>
              <w:bottom w:w="0" w:type="dxa"/>
              <w:right w:w="0" w:type="dxa"/>
            </w:tcMar>
            <w:vAlign w:val="center"/>
          </w:tcPr>
          <w:p w14:paraId="523AA967" w14:textId="77777777" w:rsidR="00E2099A" w:rsidRDefault="00000000">
            <w:pPr>
              <w:spacing w:before="100" w:after="100"/>
              <w:ind w:left="100" w:right="100"/>
              <w:jc w:val="right"/>
            </w:pPr>
            <w:r>
              <w:rPr>
                <w:rFonts w:ascii="Helvetica" w:eastAsia="Helvetica" w:hAnsi="Helvetica" w:cs="Helvetica"/>
                <w:color w:val="000000"/>
                <w:sz w:val="18"/>
                <w:szCs w:val="18"/>
              </w:rPr>
              <w:t>220,289</w:t>
            </w:r>
          </w:p>
        </w:tc>
        <w:tc>
          <w:tcPr>
            <w:tcW w:w="0" w:type="auto"/>
            <w:shd w:val="clear" w:color="auto" w:fill="FFFFFF"/>
            <w:tcMar>
              <w:top w:w="0" w:type="dxa"/>
              <w:left w:w="0" w:type="dxa"/>
              <w:bottom w:w="0" w:type="dxa"/>
              <w:right w:w="0" w:type="dxa"/>
            </w:tcMar>
            <w:vAlign w:val="center"/>
          </w:tcPr>
          <w:p w14:paraId="2F81A5AE" w14:textId="77777777" w:rsidR="00E2099A" w:rsidRDefault="00000000">
            <w:pPr>
              <w:spacing w:before="100" w:after="100"/>
              <w:ind w:left="100" w:right="100"/>
            </w:pPr>
            <w:r>
              <w:rPr>
                <w:rFonts w:ascii="Helvetica" w:eastAsia="Helvetica" w:hAnsi="Helvetica" w:cs="Helvetica"/>
                <w:color w:val="000000"/>
                <w:sz w:val="18"/>
                <w:szCs w:val="18"/>
              </w:rPr>
              <w:t>2018</w:t>
            </w:r>
          </w:p>
        </w:tc>
      </w:tr>
      <w:tr w:rsidR="00E2099A" w14:paraId="68D23F00" w14:textId="77777777">
        <w:trPr>
          <w:cantSplit/>
          <w:jc w:val="center"/>
        </w:trPr>
        <w:tc>
          <w:tcPr>
            <w:tcW w:w="0" w:type="auto"/>
            <w:shd w:val="clear" w:color="auto" w:fill="FFFFFF"/>
            <w:tcMar>
              <w:top w:w="0" w:type="dxa"/>
              <w:left w:w="0" w:type="dxa"/>
              <w:bottom w:w="0" w:type="dxa"/>
              <w:right w:w="0" w:type="dxa"/>
            </w:tcMar>
            <w:vAlign w:val="center"/>
          </w:tcPr>
          <w:p w14:paraId="5B0E2C26" w14:textId="77777777" w:rsidR="00E2099A" w:rsidRDefault="00000000">
            <w:pPr>
              <w:spacing w:before="100" w:after="100"/>
              <w:ind w:left="100" w:right="100"/>
            </w:pPr>
            <w:r>
              <w:rPr>
                <w:rFonts w:ascii="Helvetica" w:eastAsia="Helvetica" w:hAnsi="Helvetica" w:cs="Helvetica"/>
                <w:color w:val="000000"/>
                <w:sz w:val="18"/>
                <w:szCs w:val="18"/>
              </w:rPr>
              <w:t>Urban bus (standard, non-BRT bus)</w:t>
            </w:r>
          </w:p>
        </w:tc>
        <w:tc>
          <w:tcPr>
            <w:tcW w:w="0" w:type="auto"/>
            <w:shd w:val="clear" w:color="auto" w:fill="FFFFFF"/>
            <w:tcMar>
              <w:top w:w="0" w:type="dxa"/>
              <w:left w:w="0" w:type="dxa"/>
              <w:bottom w:w="0" w:type="dxa"/>
              <w:right w:w="0" w:type="dxa"/>
            </w:tcMar>
            <w:vAlign w:val="center"/>
          </w:tcPr>
          <w:p w14:paraId="49C0889E" w14:textId="77777777" w:rsidR="00E2099A" w:rsidRDefault="00000000">
            <w:pPr>
              <w:spacing w:before="100" w:after="100"/>
              <w:ind w:left="100" w:right="100"/>
              <w:jc w:val="right"/>
            </w:pPr>
            <w:r>
              <w:rPr>
                <w:rFonts w:ascii="Helvetica" w:eastAsia="Helvetica" w:hAnsi="Helvetica" w:cs="Helvetica"/>
                <w:color w:val="000000"/>
                <w:sz w:val="18"/>
                <w:szCs w:val="18"/>
              </w:rPr>
              <w:t>241,437</w:t>
            </w:r>
          </w:p>
        </w:tc>
        <w:tc>
          <w:tcPr>
            <w:tcW w:w="0" w:type="auto"/>
            <w:shd w:val="clear" w:color="auto" w:fill="FFFFFF"/>
            <w:tcMar>
              <w:top w:w="0" w:type="dxa"/>
              <w:left w:w="0" w:type="dxa"/>
              <w:bottom w:w="0" w:type="dxa"/>
              <w:right w:w="0" w:type="dxa"/>
            </w:tcMar>
            <w:vAlign w:val="center"/>
          </w:tcPr>
          <w:p w14:paraId="7A45F4EE" w14:textId="77777777" w:rsidR="00E2099A" w:rsidRDefault="00000000">
            <w:pPr>
              <w:spacing w:before="100" w:after="100"/>
              <w:ind w:left="100" w:right="100"/>
            </w:pPr>
            <w:r>
              <w:rPr>
                <w:rFonts w:ascii="Helvetica" w:eastAsia="Helvetica" w:hAnsi="Helvetica" w:cs="Helvetica"/>
                <w:color w:val="000000"/>
                <w:sz w:val="18"/>
                <w:szCs w:val="18"/>
              </w:rPr>
              <w:t>2040</w:t>
            </w:r>
          </w:p>
        </w:tc>
      </w:tr>
      <w:tr w:rsidR="00E2099A" w14:paraId="0935B9C7" w14:textId="77777777">
        <w:trPr>
          <w:cantSplit/>
          <w:jc w:val="center"/>
        </w:trPr>
        <w:tc>
          <w:tcPr>
            <w:tcW w:w="0" w:type="auto"/>
            <w:shd w:val="clear" w:color="auto" w:fill="FFFFFF"/>
            <w:tcMar>
              <w:top w:w="0" w:type="dxa"/>
              <w:left w:w="0" w:type="dxa"/>
              <w:bottom w:w="0" w:type="dxa"/>
              <w:right w:w="0" w:type="dxa"/>
            </w:tcMar>
            <w:vAlign w:val="center"/>
          </w:tcPr>
          <w:p w14:paraId="64C7DC9B" w14:textId="77777777" w:rsidR="00E2099A" w:rsidRDefault="00000000">
            <w:pPr>
              <w:spacing w:before="100" w:after="100"/>
              <w:ind w:left="100" w:right="100"/>
            </w:pPr>
            <w:r>
              <w:rPr>
                <w:rFonts w:ascii="Helvetica" w:eastAsia="Helvetica" w:hAnsi="Helvetica" w:cs="Helvetica"/>
                <w:color w:val="000000"/>
                <w:sz w:val="18"/>
                <w:szCs w:val="18"/>
              </w:rPr>
              <w:t>Bus rapid transit</w:t>
            </w:r>
          </w:p>
        </w:tc>
        <w:tc>
          <w:tcPr>
            <w:tcW w:w="0" w:type="auto"/>
            <w:shd w:val="clear" w:color="auto" w:fill="FFFFFF"/>
            <w:tcMar>
              <w:top w:w="0" w:type="dxa"/>
              <w:left w:w="0" w:type="dxa"/>
              <w:bottom w:w="0" w:type="dxa"/>
              <w:right w:w="0" w:type="dxa"/>
            </w:tcMar>
            <w:vAlign w:val="center"/>
          </w:tcPr>
          <w:p w14:paraId="62671EF1" w14:textId="77777777" w:rsidR="00E2099A" w:rsidRDefault="00000000">
            <w:pPr>
              <w:spacing w:before="100" w:after="100"/>
              <w:ind w:left="100" w:right="100"/>
              <w:jc w:val="right"/>
            </w:pPr>
            <w:r>
              <w:rPr>
                <w:rFonts w:ascii="Helvetica" w:eastAsia="Helvetica" w:hAnsi="Helvetica" w:cs="Helvetica"/>
                <w:color w:val="000000"/>
                <w:sz w:val="18"/>
                <w:szCs w:val="18"/>
              </w:rPr>
              <w:t>5,126</w:t>
            </w:r>
          </w:p>
        </w:tc>
        <w:tc>
          <w:tcPr>
            <w:tcW w:w="0" w:type="auto"/>
            <w:shd w:val="clear" w:color="auto" w:fill="FFFFFF"/>
            <w:tcMar>
              <w:top w:w="0" w:type="dxa"/>
              <w:left w:w="0" w:type="dxa"/>
              <w:bottom w:w="0" w:type="dxa"/>
              <w:right w:w="0" w:type="dxa"/>
            </w:tcMar>
            <w:vAlign w:val="center"/>
          </w:tcPr>
          <w:p w14:paraId="291AEE53" w14:textId="77777777" w:rsidR="00E2099A" w:rsidRDefault="00000000">
            <w:pPr>
              <w:spacing w:before="100" w:after="100"/>
              <w:ind w:left="100" w:right="100"/>
            </w:pPr>
            <w:r>
              <w:rPr>
                <w:rFonts w:ascii="Helvetica" w:eastAsia="Helvetica" w:hAnsi="Helvetica" w:cs="Helvetica"/>
                <w:color w:val="000000"/>
                <w:sz w:val="18"/>
                <w:szCs w:val="18"/>
              </w:rPr>
              <w:t>2018</w:t>
            </w:r>
          </w:p>
        </w:tc>
      </w:tr>
      <w:tr w:rsidR="00E2099A" w14:paraId="6E152B2D" w14:textId="77777777">
        <w:trPr>
          <w:cantSplit/>
          <w:jc w:val="center"/>
        </w:trPr>
        <w:tc>
          <w:tcPr>
            <w:tcW w:w="0" w:type="auto"/>
            <w:shd w:val="clear" w:color="auto" w:fill="FFFFFF"/>
            <w:tcMar>
              <w:top w:w="0" w:type="dxa"/>
              <w:left w:w="0" w:type="dxa"/>
              <w:bottom w:w="0" w:type="dxa"/>
              <w:right w:w="0" w:type="dxa"/>
            </w:tcMar>
            <w:vAlign w:val="center"/>
          </w:tcPr>
          <w:p w14:paraId="6D24AFAD" w14:textId="77777777" w:rsidR="00E2099A" w:rsidRDefault="00000000">
            <w:pPr>
              <w:spacing w:before="100" w:after="100"/>
              <w:ind w:left="100" w:right="100"/>
            </w:pPr>
            <w:r>
              <w:rPr>
                <w:rFonts w:ascii="Helvetica" w:eastAsia="Helvetica" w:hAnsi="Helvetica" w:cs="Helvetica"/>
                <w:color w:val="000000"/>
                <w:sz w:val="18"/>
                <w:szCs w:val="18"/>
              </w:rPr>
              <w:t>Bus rapid transit</w:t>
            </w:r>
          </w:p>
        </w:tc>
        <w:tc>
          <w:tcPr>
            <w:tcW w:w="0" w:type="auto"/>
            <w:shd w:val="clear" w:color="auto" w:fill="FFFFFF"/>
            <w:tcMar>
              <w:top w:w="0" w:type="dxa"/>
              <w:left w:w="0" w:type="dxa"/>
              <w:bottom w:w="0" w:type="dxa"/>
              <w:right w:w="0" w:type="dxa"/>
            </w:tcMar>
            <w:vAlign w:val="center"/>
          </w:tcPr>
          <w:p w14:paraId="33747C61" w14:textId="77777777" w:rsidR="00E2099A" w:rsidRDefault="00000000">
            <w:pPr>
              <w:spacing w:before="100" w:after="100"/>
              <w:ind w:left="100" w:right="100"/>
              <w:jc w:val="right"/>
            </w:pPr>
            <w:r>
              <w:rPr>
                <w:rFonts w:ascii="Helvetica" w:eastAsia="Helvetica" w:hAnsi="Helvetica" w:cs="Helvetica"/>
                <w:color w:val="000000"/>
                <w:sz w:val="18"/>
                <w:szCs w:val="18"/>
              </w:rPr>
              <w:t>5,618</w:t>
            </w:r>
          </w:p>
        </w:tc>
        <w:tc>
          <w:tcPr>
            <w:tcW w:w="0" w:type="auto"/>
            <w:shd w:val="clear" w:color="auto" w:fill="FFFFFF"/>
            <w:tcMar>
              <w:top w:w="0" w:type="dxa"/>
              <w:left w:w="0" w:type="dxa"/>
              <w:bottom w:w="0" w:type="dxa"/>
              <w:right w:w="0" w:type="dxa"/>
            </w:tcMar>
            <w:vAlign w:val="center"/>
          </w:tcPr>
          <w:p w14:paraId="16D46AE2" w14:textId="77777777" w:rsidR="00E2099A" w:rsidRDefault="00000000">
            <w:pPr>
              <w:spacing w:before="100" w:after="100"/>
              <w:ind w:left="100" w:right="100"/>
            </w:pPr>
            <w:r>
              <w:rPr>
                <w:rFonts w:ascii="Helvetica" w:eastAsia="Helvetica" w:hAnsi="Helvetica" w:cs="Helvetica"/>
                <w:color w:val="000000"/>
                <w:sz w:val="18"/>
                <w:szCs w:val="18"/>
              </w:rPr>
              <w:t>2040</w:t>
            </w:r>
          </w:p>
        </w:tc>
      </w:tr>
      <w:tr w:rsidR="00E2099A" w14:paraId="2D1941A7" w14:textId="77777777">
        <w:trPr>
          <w:cantSplit/>
          <w:jc w:val="center"/>
        </w:trPr>
        <w:tc>
          <w:tcPr>
            <w:tcW w:w="0" w:type="auto"/>
            <w:shd w:val="clear" w:color="auto" w:fill="FFFFFF"/>
            <w:tcMar>
              <w:top w:w="0" w:type="dxa"/>
              <w:left w:w="0" w:type="dxa"/>
              <w:bottom w:w="0" w:type="dxa"/>
              <w:right w:w="0" w:type="dxa"/>
            </w:tcMar>
            <w:vAlign w:val="center"/>
          </w:tcPr>
          <w:p w14:paraId="3D265DB3" w14:textId="77777777" w:rsidR="00E2099A" w:rsidRDefault="00000000">
            <w:pPr>
              <w:spacing w:before="100" w:after="100"/>
              <w:ind w:left="100" w:right="100"/>
            </w:pPr>
            <w:r>
              <w:rPr>
                <w:rFonts w:ascii="Helvetica" w:eastAsia="Helvetica" w:hAnsi="Helvetica" w:cs="Helvetica"/>
                <w:color w:val="000000"/>
                <w:sz w:val="18"/>
                <w:szCs w:val="18"/>
              </w:rPr>
              <w:t>Urban rail</w:t>
            </w:r>
          </w:p>
        </w:tc>
        <w:tc>
          <w:tcPr>
            <w:tcW w:w="0" w:type="auto"/>
            <w:shd w:val="clear" w:color="auto" w:fill="FFFFFF"/>
            <w:tcMar>
              <w:top w:w="0" w:type="dxa"/>
              <w:left w:w="0" w:type="dxa"/>
              <w:bottom w:w="0" w:type="dxa"/>
              <w:right w:w="0" w:type="dxa"/>
            </w:tcMar>
            <w:vAlign w:val="center"/>
          </w:tcPr>
          <w:p w14:paraId="03E57BB7" w14:textId="77777777" w:rsidR="00E2099A" w:rsidRDefault="00000000">
            <w:pPr>
              <w:spacing w:before="100" w:after="100"/>
              <w:ind w:left="100" w:right="100"/>
              <w:jc w:val="right"/>
            </w:pPr>
            <w:r>
              <w:rPr>
                <w:rFonts w:ascii="Helvetica" w:eastAsia="Helvetica" w:hAnsi="Helvetica" w:cs="Helvetica"/>
                <w:color w:val="000000"/>
                <w:sz w:val="18"/>
                <w:szCs w:val="18"/>
              </w:rPr>
              <w:t>78,635</w:t>
            </w:r>
          </w:p>
        </w:tc>
        <w:tc>
          <w:tcPr>
            <w:tcW w:w="0" w:type="auto"/>
            <w:shd w:val="clear" w:color="auto" w:fill="FFFFFF"/>
            <w:tcMar>
              <w:top w:w="0" w:type="dxa"/>
              <w:left w:w="0" w:type="dxa"/>
              <w:bottom w:w="0" w:type="dxa"/>
              <w:right w:w="0" w:type="dxa"/>
            </w:tcMar>
            <w:vAlign w:val="center"/>
          </w:tcPr>
          <w:p w14:paraId="15C7CD3C" w14:textId="77777777" w:rsidR="00E2099A" w:rsidRDefault="00000000">
            <w:pPr>
              <w:spacing w:before="100" w:after="100"/>
              <w:ind w:left="100" w:right="100"/>
            </w:pPr>
            <w:r>
              <w:rPr>
                <w:rFonts w:ascii="Helvetica" w:eastAsia="Helvetica" w:hAnsi="Helvetica" w:cs="Helvetica"/>
                <w:color w:val="000000"/>
                <w:sz w:val="18"/>
                <w:szCs w:val="18"/>
              </w:rPr>
              <w:t>2018</w:t>
            </w:r>
          </w:p>
        </w:tc>
      </w:tr>
      <w:tr w:rsidR="00E2099A" w14:paraId="21A876FA" w14:textId="77777777">
        <w:trPr>
          <w:cantSplit/>
          <w:jc w:val="center"/>
        </w:trPr>
        <w:tc>
          <w:tcPr>
            <w:tcW w:w="0" w:type="auto"/>
            <w:shd w:val="clear" w:color="auto" w:fill="FFFFFF"/>
            <w:tcMar>
              <w:top w:w="0" w:type="dxa"/>
              <w:left w:w="0" w:type="dxa"/>
              <w:bottom w:w="0" w:type="dxa"/>
              <w:right w:w="0" w:type="dxa"/>
            </w:tcMar>
            <w:vAlign w:val="center"/>
          </w:tcPr>
          <w:p w14:paraId="3CF868C1" w14:textId="77777777" w:rsidR="00E2099A" w:rsidRDefault="00000000">
            <w:pPr>
              <w:spacing w:before="100" w:after="100"/>
              <w:ind w:left="100" w:right="100"/>
            </w:pPr>
            <w:r>
              <w:rPr>
                <w:rFonts w:ascii="Helvetica" w:eastAsia="Helvetica" w:hAnsi="Helvetica" w:cs="Helvetica"/>
                <w:color w:val="000000"/>
                <w:sz w:val="18"/>
                <w:szCs w:val="18"/>
              </w:rPr>
              <w:t>Urban rail</w:t>
            </w:r>
          </w:p>
        </w:tc>
        <w:tc>
          <w:tcPr>
            <w:tcW w:w="0" w:type="auto"/>
            <w:shd w:val="clear" w:color="auto" w:fill="FFFFFF"/>
            <w:tcMar>
              <w:top w:w="0" w:type="dxa"/>
              <w:left w:w="0" w:type="dxa"/>
              <w:bottom w:w="0" w:type="dxa"/>
              <w:right w:w="0" w:type="dxa"/>
            </w:tcMar>
            <w:vAlign w:val="center"/>
          </w:tcPr>
          <w:p w14:paraId="20D779B9" w14:textId="77777777" w:rsidR="00E2099A" w:rsidRDefault="00000000">
            <w:pPr>
              <w:spacing w:before="100" w:after="100"/>
              <w:ind w:left="100" w:right="100"/>
              <w:jc w:val="right"/>
            </w:pPr>
            <w:r>
              <w:rPr>
                <w:rFonts w:ascii="Helvetica" w:eastAsia="Helvetica" w:hAnsi="Helvetica" w:cs="Helvetica"/>
                <w:color w:val="000000"/>
                <w:sz w:val="18"/>
                <w:szCs w:val="18"/>
              </w:rPr>
              <w:t>86,183</w:t>
            </w:r>
          </w:p>
        </w:tc>
        <w:tc>
          <w:tcPr>
            <w:tcW w:w="0" w:type="auto"/>
            <w:shd w:val="clear" w:color="auto" w:fill="FFFFFF"/>
            <w:tcMar>
              <w:top w:w="0" w:type="dxa"/>
              <w:left w:w="0" w:type="dxa"/>
              <w:bottom w:w="0" w:type="dxa"/>
              <w:right w:w="0" w:type="dxa"/>
            </w:tcMar>
            <w:vAlign w:val="center"/>
          </w:tcPr>
          <w:p w14:paraId="05657E3C" w14:textId="77777777" w:rsidR="00E2099A" w:rsidRDefault="00000000">
            <w:pPr>
              <w:spacing w:before="100" w:after="100"/>
              <w:ind w:left="100" w:right="100"/>
            </w:pPr>
            <w:r>
              <w:rPr>
                <w:rFonts w:ascii="Helvetica" w:eastAsia="Helvetica" w:hAnsi="Helvetica" w:cs="Helvetica"/>
                <w:color w:val="000000"/>
                <w:sz w:val="18"/>
                <w:szCs w:val="18"/>
              </w:rPr>
              <w:t>2040</w:t>
            </w:r>
          </w:p>
        </w:tc>
      </w:tr>
      <w:tr w:rsidR="00E2099A" w14:paraId="64177B5E" w14:textId="77777777">
        <w:trPr>
          <w:cantSplit/>
          <w:jc w:val="center"/>
        </w:trPr>
        <w:tc>
          <w:tcPr>
            <w:tcW w:w="0" w:type="auto"/>
            <w:shd w:val="clear" w:color="auto" w:fill="FFFFFF"/>
            <w:tcMar>
              <w:top w:w="0" w:type="dxa"/>
              <w:left w:w="0" w:type="dxa"/>
              <w:bottom w:w="0" w:type="dxa"/>
              <w:right w:w="0" w:type="dxa"/>
            </w:tcMar>
            <w:vAlign w:val="center"/>
          </w:tcPr>
          <w:p w14:paraId="56E90A9E" w14:textId="77777777" w:rsidR="00E2099A" w:rsidRDefault="00000000">
            <w:pPr>
              <w:spacing w:before="100" w:after="100"/>
              <w:ind w:left="100" w:right="100"/>
            </w:pPr>
            <w:r>
              <w:rPr>
                <w:rFonts w:ascii="Helvetica" w:eastAsia="Helvetica" w:hAnsi="Helvetica" w:cs="Helvetica"/>
                <w:color w:val="000000"/>
                <w:sz w:val="18"/>
                <w:szCs w:val="18"/>
              </w:rPr>
              <w:t>Intercity rail</w:t>
            </w:r>
          </w:p>
        </w:tc>
        <w:tc>
          <w:tcPr>
            <w:tcW w:w="0" w:type="auto"/>
            <w:shd w:val="clear" w:color="auto" w:fill="FFFFFF"/>
            <w:tcMar>
              <w:top w:w="0" w:type="dxa"/>
              <w:left w:w="0" w:type="dxa"/>
              <w:bottom w:w="0" w:type="dxa"/>
              <w:right w:w="0" w:type="dxa"/>
            </w:tcMar>
            <w:vAlign w:val="center"/>
          </w:tcPr>
          <w:p w14:paraId="45493946" w14:textId="77777777" w:rsidR="00E2099A" w:rsidRDefault="00000000">
            <w:pPr>
              <w:spacing w:before="100" w:after="100"/>
              <w:ind w:left="100" w:right="100"/>
              <w:jc w:val="right"/>
            </w:pPr>
            <w:r>
              <w:rPr>
                <w:rFonts w:ascii="Helvetica" w:eastAsia="Helvetica" w:hAnsi="Helvetica" w:cs="Helvetica"/>
                <w:color w:val="000000"/>
                <w:sz w:val="18"/>
                <w:szCs w:val="18"/>
              </w:rPr>
              <w:t>12,707</w:t>
            </w:r>
          </w:p>
        </w:tc>
        <w:tc>
          <w:tcPr>
            <w:tcW w:w="0" w:type="auto"/>
            <w:shd w:val="clear" w:color="auto" w:fill="FFFFFF"/>
            <w:tcMar>
              <w:top w:w="0" w:type="dxa"/>
              <w:left w:w="0" w:type="dxa"/>
              <w:bottom w:w="0" w:type="dxa"/>
              <w:right w:w="0" w:type="dxa"/>
            </w:tcMar>
            <w:vAlign w:val="center"/>
          </w:tcPr>
          <w:p w14:paraId="2526FF29" w14:textId="77777777" w:rsidR="00E2099A" w:rsidRDefault="00000000">
            <w:pPr>
              <w:spacing w:before="100" w:after="100"/>
              <w:ind w:left="100" w:right="100"/>
            </w:pPr>
            <w:r>
              <w:rPr>
                <w:rFonts w:ascii="Helvetica" w:eastAsia="Helvetica" w:hAnsi="Helvetica" w:cs="Helvetica"/>
                <w:color w:val="000000"/>
                <w:sz w:val="18"/>
                <w:szCs w:val="18"/>
              </w:rPr>
              <w:t>2018</w:t>
            </w:r>
          </w:p>
        </w:tc>
      </w:tr>
      <w:tr w:rsidR="00E2099A" w14:paraId="4D862020" w14:textId="77777777">
        <w:trPr>
          <w:cantSplit/>
          <w:jc w:val="center"/>
        </w:trPr>
        <w:tc>
          <w:tcPr>
            <w:tcW w:w="0" w:type="auto"/>
            <w:shd w:val="clear" w:color="auto" w:fill="FFFFFF"/>
            <w:tcMar>
              <w:top w:w="0" w:type="dxa"/>
              <w:left w:w="0" w:type="dxa"/>
              <w:bottom w:w="0" w:type="dxa"/>
              <w:right w:w="0" w:type="dxa"/>
            </w:tcMar>
            <w:vAlign w:val="center"/>
          </w:tcPr>
          <w:p w14:paraId="73E4BD2E" w14:textId="77777777" w:rsidR="00E2099A" w:rsidRDefault="00000000">
            <w:pPr>
              <w:spacing w:before="100" w:after="100"/>
              <w:ind w:left="100" w:right="100"/>
            </w:pPr>
            <w:r>
              <w:rPr>
                <w:rFonts w:ascii="Helvetica" w:eastAsia="Helvetica" w:hAnsi="Helvetica" w:cs="Helvetica"/>
                <w:color w:val="000000"/>
                <w:sz w:val="18"/>
                <w:szCs w:val="18"/>
              </w:rPr>
              <w:t>Intercity rail</w:t>
            </w:r>
          </w:p>
        </w:tc>
        <w:tc>
          <w:tcPr>
            <w:tcW w:w="0" w:type="auto"/>
            <w:shd w:val="clear" w:color="auto" w:fill="FFFFFF"/>
            <w:tcMar>
              <w:top w:w="0" w:type="dxa"/>
              <w:left w:w="0" w:type="dxa"/>
              <w:bottom w:w="0" w:type="dxa"/>
              <w:right w:w="0" w:type="dxa"/>
            </w:tcMar>
            <w:vAlign w:val="center"/>
          </w:tcPr>
          <w:p w14:paraId="293A8D77" w14:textId="77777777" w:rsidR="00E2099A" w:rsidRDefault="00000000">
            <w:pPr>
              <w:spacing w:before="100" w:after="100"/>
              <w:ind w:left="100" w:right="100"/>
              <w:jc w:val="right"/>
            </w:pPr>
            <w:r>
              <w:rPr>
                <w:rFonts w:ascii="Helvetica" w:eastAsia="Helvetica" w:hAnsi="Helvetica" w:cs="Helvetica"/>
                <w:color w:val="000000"/>
                <w:sz w:val="18"/>
                <w:szCs w:val="18"/>
              </w:rPr>
              <w:t>13,927</w:t>
            </w:r>
          </w:p>
        </w:tc>
        <w:tc>
          <w:tcPr>
            <w:tcW w:w="0" w:type="auto"/>
            <w:shd w:val="clear" w:color="auto" w:fill="FFFFFF"/>
            <w:tcMar>
              <w:top w:w="0" w:type="dxa"/>
              <w:left w:w="0" w:type="dxa"/>
              <w:bottom w:w="0" w:type="dxa"/>
              <w:right w:w="0" w:type="dxa"/>
            </w:tcMar>
            <w:vAlign w:val="center"/>
          </w:tcPr>
          <w:p w14:paraId="4651DC88" w14:textId="77777777" w:rsidR="00E2099A" w:rsidRDefault="00000000">
            <w:pPr>
              <w:spacing w:before="100" w:after="100"/>
              <w:ind w:left="100" w:right="100"/>
            </w:pPr>
            <w:r>
              <w:rPr>
                <w:rFonts w:ascii="Helvetica" w:eastAsia="Helvetica" w:hAnsi="Helvetica" w:cs="Helvetica"/>
                <w:color w:val="000000"/>
                <w:sz w:val="18"/>
                <w:szCs w:val="18"/>
              </w:rPr>
              <w:t>2040</w:t>
            </w:r>
          </w:p>
        </w:tc>
      </w:tr>
      <w:tr w:rsidR="00E2099A" w14:paraId="5E54C613" w14:textId="77777777">
        <w:trPr>
          <w:cantSplit/>
          <w:jc w:val="center"/>
        </w:trPr>
        <w:tc>
          <w:tcPr>
            <w:tcW w:w="0" w:type="auto"/>
            <w:shd w:val="clear" w:color="auto" w:fill="FFFFFF"/>
            <w:tcMar>
              <w:top w:w="0" w:type="dxa"/>
              <w:left w:w="0" w:type="dxa"/>
              <w:bottom w:w="0" w:type="dxa"/>
              <w:right w:w="0" w:type="dxa"/>
            </w:tcMar>
            <w:vAlign w:val="center"/>
          </w:tcPr>
          <w:p w14:paraId="2D8B59D9" w14:textId="77777777" w:rsidR="00E2099A" w:rsidRDefault="00000000">
            <w:pPr>
              <w:spacing w:before="100" w:after="100"/>
              <w:ind w:left="100" w:right="100"/>
            </w:pPr>
            <w:r>
              <w:rPr>
                <w:rFonts w:ascii="Helvetica" w:eastAsia="Helvetica" w:hAnsi="Helvetica" w:cs="Helvetica"/>
                <w:color w:val="000000"/>
                <w:sz w:val="18"/>
                <w:szCs w:val="18"/>
              </w:rPr>
              <w:t>Walk</w:t>
            </w:r>
          </w:p>
        </w:tc>
        <w:tc>
          <w:tcPr>
            <w:tcW w:w="0" w:type="auto"/>
            <w:shd w:val="clear" w:color="auto" w:fill="FFFFFF"/>
            <w:tcMar>
              <w:top w:w="0" w:type="dxa"/>
              <w:left w:w="0" w:type="dxa"/>
              <w:bottom w:w="0" w:type="dxa"/>
              <w:right w:w="0" w:type="dxa"/>
            </w:tcMar>
            <w:vAlign w:val="center"/>
          </w:tcPr>
          <w:p w14:paraId="560294BA" w14:textId="77777777" w:rsidR="00E2099A" w:rsidRDefault="00000000">
            <w:pPr>
              <w:spacing w:before="100" w:after="100"/>
              <w:ind w:left="100" w:right="100"/>
              <w:jc w:val="right"/>
            </w:pPr>
            <w:r>
              <w:rPr>
                <w:rFonts w:ascii="Helvetica" w:eastAsia="Helvetica" w:hAnsi="Helvetica" w:cs="Helvetica"/>
                <w:color w:val="000000"/>
                <w:sz w:val="18"/>
                <w:szCs w:val="18"/>
              </w:rPr>
              <w:t>105,340</w:t>
            </w:r>
          </w:p>
        </w:tc>
        <w:tc>
          <w:tcPr>
            <w:tcW w:w="0" w:type="auto"/>
            <w:shd w:val="clear" w:color="auto" w:fill="FFFFFF"/>
            <w:tcMar>
              <w:top w:w="0" w:type="dxa"/>
              <w:left w:w="0" w:type="dxa"/>
              <w:bottom w:w="0" w:type="dxa"/>
              <w:right w:w="0" w:type="dxa"/>
            </w:tcMar>
            <w:vAlign w:val="center"/>
          </w:tcPr>
          <w:p w14:paraId="3C107492" w14:textId="77777777" w:rsidR="00E2099A" w:rsidRDefault="00000000">
            <w:pPr>
              <w:spacing w:before="100" w:after="100"/>
              <w:ind w:left="100" w:right="100"/>
            </w:pPr>
            <w:r>
              <w:rPr>
                <w:rFonts w:ascii="Helvetica" w:eastAsia="Helvetica" w:hAnsi="Helvetica" w:cs="Helvetica"/>
                <w:color w:val="000000"/>
                <w:sz w:val="18"/>
                <w:szCs w:val="18"/>
              </w:rPr>
              <w:t>2018</w:t>
            </w:r>
          </w:p>
        </w:tc>
      </w:tr>
      <w:tr w:rsidR="00E2099A" w14:paraId="1BFA13FF" w14:textId="77777777">
        <w:trPr>
          <w:cantSplit/>
          <w:jc w:val="center"/>
        </w:trPr>
        <w:tc>
          <w:tcPr>
            <w:tcW w:w="0" w:type="auto"/>
            <w:shd w:val="clear" w:color="auto" w:fill="FFFFFF"/>
            <w:tcMar>
              <w:top w:w="0" w:type="dxa"/>
              <w:left w:w="0" w:type="dxa"/>
              <w:bottom w:w="0" w:type="dxa"/>
              <w:right w:w="0" w:type="dxa"/>
            </w:tcMar>
            <w:vAlign w:val="center"/>
          </w:tcPr>
          <w:p w14:paraId="753FBA37" w14:textId="77777777" w:rsidR="00E2099A" w:rsidRDefault="00000000">
            <w:pPr>
              <w:spacing w:before="100" w:after="100"/>
              <w:ind w:left="100" w:right="100"/>
            </w:pPr>
            <w:r>
              <w:rPr>
                <w:rFonts w:ascii="Helvetica" w:eastAsia="Helvetica" w:hAnsi="Helvetica" w:cs="Helvetica"/>
                <w:color w:val="000000"/>
                <w:sz w:val="18"/>
                <w:szCs w:val="18"/>
              </w:rPr>
              <w:t>Walk</w:t>
            </w:r>
          </w:p>
        </w:tc>
        <w:tc>
          <w:tcPr>
            <w:tcW w:w="0" w:type="auto"/>
            <w:shd w:val="clear" w:color="auto" w:fill="FFFFFF"/>
            <w:tcMar>
              <w:top w:w="0" w:type="dxa"/>
              <w:left w:w="0" w:type="dxa"/>
              <w:bottom w:w="0" w:type="dxa"/>
              <w:right w:w="0" w:type="dxa"/>
            </w:tcMar>
            <w:vAlign w:val="center"/>
          </w:tcPr>
          <w:p w14:paraId="28D7BEBA" w14:textId="77777777" w:rsidR="00E2099A" w:rsidRDefault="00000000">
            <w:pPr>
              <w:spacing w:before="100" w:after="100"/>
              <w:ind w:left="100" w:right="100"/>
              <w:jc w:val="right"/>
            </w:pPr>
            <w:r>
              <w:rPr>
                <w:rFonts w:ascii="Helvetica" w:eastAsia="Helvetica" w:hAnsi="Helvetica" w:cs="Helvetica"/>
                <w:color w:val="000000"/>
                <w:sz w:val="18"/>
                <w:szCs w:val="18"/>
              </w:rPr>
              <w:t>133,347</w:t>
            </w:r>
          </w:p>
        </w:tc>
        <w:tc>
          <w:tcPr>
            <w:tcW w:w="0" w:type="auto"/>
            <w:shd w:val="clear" w:color="auto" w:fill="FFFFFF"/>
            <w:tcMar>
              <w:top w:w="0" w:type="dxa"/>
              <w:left w:w="0" w:type="dxa"/>
              <w:bottom w:w="0" w:type="dxa"/>
              <w:right w:w="0" w:type="dxa"/>
            </w:tcMar>
            <w:vAlign w:val="center"/>
          </w:tcPr>
          <w:p w14:paraId="77BCAB07" w14:textId="77777777" w:rsidR="00E2099A" w:rsidRDefault="00000000">
            <w:pPr>
              <w:spacing w:before="100" w:after="100"/>
              <w:ind w:left="100" w:right="100"/>
            </w:pPr>
            <w:r>
              <w:rPr>
                <w:rFonts w:ascii="Helvetica" w:eastAsia="Helvetica" w:hAnsi="Helvetica" w:cs="Helvetica"/>
                <w:color w:val="000000"/>
                <w:sz w:val="18"/>
                <w:szCs w:val="18"/>
              </w:rPr>
              <w:t>2040</w:t>
            </w:r>
          </w:p>
        </w:tc>
      </w:tr>
      <w:tr w:rsidR="00E2099A" w14:paraId="2FF9CF11" w14:textId="77777777">
        <w:trPr>
          <w:cantSplit/>
          <w:jc w:val="center"/>
        </w:trPr>
        <w:tc>
          <w:tcPr>
            <w:tcW w:w="0" w:type="auto"/>
            <w:shd w:val="clear" w:color="auto" w:fill="FFFFFF"/>
            <w:tcMar>
              <w:top w:w="0" w:type="dxa"/>
              <w:left w:w="0" w:type="dxa"/>
              <w:bottom w:w="0" w:type="dxa"/>
              <w:right w:w="0" w:type="dxa"/>
            </w:tcMar>
            <w:vAlign w:val="center"/>
          </w:tcPr>
          <w:p w14:paraId="63DDD934" w14:textId="77777777" w:rsidR="00E2099A" w:rsidRDefault="00000000">
            <w:pPr>
              <w:spacing w:before="100" w:after="100"/>
              <w:ind w:left="100" w:right="100"/>
            </w:pPr>
            <w:r>
              <w:rPr>
                <w:rFonts w:ascii="Helvetica" w:eastAsia="Helvetica" w:hAnsi="Helvetica" w:cs="Helvetica"/>
                <w:color w:val="000000"/>
                <w:sz w:val="18"/>
                <w:szCs w:val="18"/>
              </w:rPr>
              <w:t>Bike</w:t>
            </w:r>
          </w:p>
        </w:tc>
        <w:tc>
          <w:tcPr>
            <w:tcW w:w="0" w:type="auto"/>
            <w:shd w:val="clear" w:color="auto" w:fill="FFFFFF"/>
            <w:tcMar>
              <w:top w:w="0" w:type="dxa"/>
              <w:left w:w="0" w:type="dxa"/>
              <w:bottom w:w="0" w:type="dxa"/>
              <w:right w:w="0" w:type="dxa"/>
            </w:tcMar>
            <w:vAlign w:val="center"/>
          </w:tcPr>
          <w:p w14:paraId="50E2893D" w14:textId="77777777" w:rsidR="00E2099A" w:rsidRDefault="00000000">
            <w:pPr>
              <w:spacing w:before="100" w:after="100"/>
              <w:ind w:left="100" w:right="100"/>
              <w:jc w:val="right"/>
            </w:pPr>
            <w:r>
              <w:rPr>
                <w:rFonts w:ascii="Helvetica" w:eastAsia="Helvetica" w:hAnsi="Helvetica" w:cs="Helvetica"/>
                <w:color w:val="000000"/>
                <w:sz w:val="18"/>
                <w:szCs w:val="18"/>
              </w:rPr>
              <w:t>67,247</w:t>
            </w:r>
          </w:p>
        </w:tc>
        <w:tc>
          <w:tcPr>
            <w:tcW w:w="0" w:type="auto"/>
            <w:shd w:val="clear" w:color="auto" w:fill="FFFFFF"/>
            <w:tcMar>
              <w:top w:w="0" w:type="dxa"/>
              <w:left w:w="0" w:type="dxa"/>
              <w:bottom w:w="0" w:type="dxa"/>
              <w:right w:w="0" w:type="dxa"/>
            </w:tcMar>
            <w:vAlign w:val="center"/>
          </w:tcPr>
          <w:p w14:paraId="1DB7D1D6" w14:textId="77777777" w:rsidR="00E2099A" w:rsidRDefault="00000000">
            <w:pPr>
              <w:spacing w:before="100" w:after="100"/>
              <w:ind w:left="100" w:right="100"/>
            </w:pPr>
            <w:r>
              <w:rPr>
                <w:rFonts w:ascii="Helvetica" w:eastAsia="Helvetica" w:hAnsi="Helvetica" w:cs="Helvetica"/>
                <w:color w:val="000000"/>
                <w:sz w:val="18"/>
                <w:szCs w:val="18"/>
              </w:rPr>
              <w:t>2018</w:t>
            </w:r>
          </w:p>
        </w:tc>
      </w:tr>
      <w:tr w:rsidR="00E2099A" w14:paraId="5CC73B7A" w14:textId="77777777">
        <w:trPr>
          <w:cantSplit/>
          <w:jc w:val="center"/>
        </w:trPr>
        <w:tc>
          <w:tcPr>
            <w:tcW w:w="0" w:type="auto"/>
            <w:shd w:val="clear" w:color="auto" w:fill="FFFFFF"/>
            <w:tcMar>
              <w:top w:w="0" w:type="dxa"/>
              <w:left w:w="0" w:type="dxa"/>
              <w:bottom w:w="0" w:type="dxa"/>
              <w:right w:w="0" w:type="dxa"/>
            </w:tcMar>
            <w:vAlign w:val="center"/>
          </w:tcPr>
          <w:p w14:paraId="1D898E3A" w14:textId="77777777" w:rsidR="00E2099A" w:rsidRDefault="00000000">
            <w:pPr>
              <w:spacing w:before="100" w:after="100"/>
              <w:ind w:left="100" w:right="100"/>
            </w:pPr>
            <w:r>
              <w:rPr>
                <w:rFonts w:ascii="Helvetica" w:eastAsia="Helvetica" w:hAnsi="Helvetica" w:cs="Helvetica"/>
                <w:color w:val="000000"/>
                <w:sz w:val="18"/>
                <w:szCs w:val="18"/>
              </w:rPr>
              <w:t>Bike</w:t>
            </w:r>
          </w:p>
        </w:tc>
        <w:tc>
          <w:tcPr>
            <w:tcW w:w="0" w:type="auto"/>
            <w:shd w:val="clear" w:color="auto" w:fill="FFFFFF"/>
            <w:tcMar>
              <w:top w:w="0" w:type="dxa"/>
              <w:left w:w="0" w:type="dxa"/>
              <w:bottom w:w="0" w:type="dxa"/>
              <w:right w:w="0" w:type="dxa"/>
            </w:tcMar>
            <w:vAlign w:val="center"/>
          </w:tcPr>
          <w:p w14:paraId="412212C0" w14:textId="77777777" w:rsidR="00E2099A" w:rsidRDefault="00000000">
            <w:pPr>
              <w:spacing w:before="100" w:after="100"/>
              <w:ind w:left="100" w:right="100"/>
              <w:jc w:val="right"/>
            </w:pPr>
            <w:r>
              <w:rPr>
                <w:rFonts w:ascii="Helvetica" w:eastAsia="Helvetica" w:hAnsi="Helvetica" w:cs="Helvetica"/>
                <w:color w:val="000000"/>
                <w:sz w:val="18"/>
                <w:szCs w:val="18"/>
              </w:rPr>
              <w:t>71,290</w:t>
            </w:r>
          </w:p>
        </w:tc>
        <w:tc>
          <w:tcPr>
            <w:tcW w:w="0" w:type="auto"/>
            <w:shd w:val="clear" w:color="auto" w:fill="FFFFFF"/>
            <w:tcMar>
              <w:top w:w="0" w:type="dxa"/>
              <w:left w:w="0" w:type="dxa"/>
              <w:bottom w:w="0" w:type="dxa"/>
              <w:right w:w="0" w:type="dxa"/>
            </w:tcMar>
            <w:vAlign w:val="center"/>
          </w:tcPr>
          <w:p w14:paraId="533614C2" w14:textId="77777777" w:rsidR="00E2099A" w:rsidRDefault="00000000">
            <w:pPr>
              <w:spacing w:before="100" w:after="100"/>
              <w:ind w:left="100" w:right="100"/>
            </w:pPr>
            <w:r>
              <w:rPr>
                <w:rFonts w:ascii="Helvetica" w:eastAsia="Helvetica" w:hAnsi="Helvetica" w:cs="Helvetica"/>
                <w:color w:val="000000"/>
                <w:sz w:val="18"/>
                <w:szCs w:val="18"/>
              </w:rPr>
              <w:t>2040</w:t>
            </w:r>
          </w:p>
        </w:tc>
      </w:tr>
      <w:tr w:rsidR="00E2099A" w14:paraId="29A0B1CF" w14:textId="77777777">
        <w:trPr>
          <w:cantSplit/>
          <w:jc w:val="center"/>
        </w:trPr>
        <w:tc>
          <w:tcPr>
            <w:tcW w:w="0" w:type="auto"/>
            <w:shd w:val="clear" w:color="auto" w:fill="FFFFFF"/>
            <w:tcMar>
              <w:top w:w="0" w:type="dxa"/>
              <w:left w:w="0" w:type="dxa"/>
              <w:bottom w:w="0" w:type="dxa"/>
              <w:right w:w="0" w:type="dxa"/>
            </w:tcMar>
            <w:vAlign w:val="center"/>
          </w:tcPr>
          <w:p w14:paraId="6241B1D4" w14:textId="77777777" w:rsidR="00E2099A" w:rsidRDefault="00000000">
            <w:pPr>
              <w:spacing w:before="100" w:after="100"/>
              <w:ind w:left="100" w:right="100"/>
            </w:pPr>
            <w:r>
              <w:rPr>
                <w:rFonts w:ascii="Helvetica" w:eastAsia="Helvetica" w:hAnsi="Helvetica" w:cs="Helvetica"/>
                <w:color w:val="000000"/>
                <w:sz w:val="18"/>
                <w:szCs w:val="18"/>
              </w:rPr>
              <w:t>School bus</w:t>
            </w:r>
          </w:p>
        </w:tc>
        <w:tc>
          <w:tcPr>
            <w:tcW w:w="0" w:type="auto"/>
            <w:shd w:val="clear" w:color="auto" w:fill="FFFFFF"/>
            <w:tcMar>
              <w:top w:w="0" w:type="dxa"/>
              <w:left w:w="0" w:type="dxa"/>
              <w:bottom w:w="0" w:type="dxa"/>
              <w:right w:w="0" w:type="dxa"/>
            </w:tcMar>
            <w:vAlign w:val="center"/>
          </w:tcPr>
          <w:p w14:paraId="0D4FEB2F" w14:textId="77777777" w:rsidR="00E2099A" w:rsidRDefault="00000000">
            <w:pPr>
              <w:spacing w:before="100" w:after="100"/>
              <w:ind w:left="100" w:right="100"/>
              <w:jc w:val="right"/>
            </w:pPr>
            <w:r>
              <w:rPr>
                <w:rFonts w:ascii="Helvetica" w:eastAsia="Helvetica" w:hAnsi="Helvetica" w:cs="Helvetica"/>
                <w:color w:val="000000"/>
                <w:sz w:val="18"/>
                <w:szCs w:val="18"/>
              </w:rPr>
              <w:t>37,683</w:t>
            </w:r>
          </w:p>
        </w:tc>
        <w:tc>
          <w:tcPr>
            <w:tcW w:w="0" w:type="auto"/>
            <w:shd w:val="clear" w:color="auto" w:fill="FFFFFF"/>
            <w:tcMar>
              <w:top w:w="0" w:type="dxa"/>
              <w:left w:w="0" w:type="dxa"/>
              <w:bottom w:w="0" w:type="dxa"/>
              <w:right w:w="0" w:type="dxa"/>
            </w:tcMar>
            <w:vAlign w:val="center"/>
          </w:tcPr>
          <w:p w14:paraId="4DFE2365" w14:textId="77777777" w:rsidR="00E2099A" w:rsidRDefault="00000000">
            <w:pPr>
              <w:spacing w:before="100" w:after="100"/>
              <w:ind w:left="100" w:right="100"/>
            </w:pPr>
            <w:r>
              <w:rPr>
                <w:rFonts w:ascii="Helvetica" w:eastAsia="Helvetica" w:hAnsi="Helvetica" w:cs="Helvetica"/>
                <w:color w:val="000000"/>
                <w:sz w:val="18"/>
                <w:szCs w:val="18"/>
              </w:rPr>
              <w:t>2018</w:t>
            </w:r>
          </w:p>
        </w:tc>
      </w:tr>
      <w:tr w:rsidR="00E2099A" w14:paraId="214F3F3F"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14D21D0E" w14:textId="77777777" w:rsidR="00E2099A" w:rsidRDefault="00000000">
            <w:pPr>
              <w:spacing w:before="100" w:after="100"/>
              <w:ind w:left="100" w:right="100"/>
            </w:pPr>
            <w:r>
              <w:rPr>
                <w:rFonts w:ascii="Helvetica" w:eastAsia="Helvetica" w:hAnsi="Helvetica" w:cs="Helvetica"/>
                <w:color w:val="000000"/>
                <w:sz w:val="18"/>
                <w:szCs w:val="18"/>
              </w:rPr>
              <w:t>School bus</w:t>
            </w:r>
          </w:p>
        </w:tc>
        <w:tc>
          <w:tcPr>
            <w:tcW w:w="0" w:type="auto"/>
            <w:tcBorders>
              <w:bottom w:val="single" w:sz="16" w:space="0" w:color="666666"/>
            </w:tcBorders>
            <w:shd w:val="clear" w:color="auto" w:fill="FFFFFF"/>
            <w:tcMar>
              <w:top w:w="0" w:type="dxa"/>
              <w:left w:w="0" w:type="dxa"/>
              <w:bottom w:w="0" w:type="dxa"/>
              <w:right w:w="0" w:type="dxa"/>
            </w:tcMar>
            <w:vAlign w:val="center"/>
          </w:tcPr>
          <w:p w14:paraId="5BB1672B" w14:textId="77777777" w:rsidR="00E2099A" w:rsidRDefault="00000000">
            <w:pPr>
              <w:spacing w:before="100" w:after="100"/>
              <w:ind w:left="100" w:right="100"/>
              <w:jc w:val="right"/>
            </w:pPr>
            <w:r>
              <w:rPr>
                <w:rFonts w:ascii="Helvetica" w:eastAsia="Helvetica" w:hAnsi="Helvetica" w:cs="Helvetica"/>
                <w:color w:val="000000"/>
                <w:sz w:val="18"/>
                <w:szCs w:val="18"/>
              </w:rPr>
              <w:t>53,755</w:t>
            </w:r>
          </w:p>
        </w:tc>
        <w:tc>
          <w:tcPr>
            <w:tcW w:w="0" w:type="auto"/>
            <w:tcBorders>
              <w:bottom w:val="single" w:sz="16" w:space="0" w:color="666666"/>
            </w:tcBorders>
            <w:shd w:val="clear" w:color="auto" w:fill="FFFFFF"/>
            <w:tcMar>
              <w:top w:w="0" w:type="dxa"/>
              <w:left w:w="0" w:type="dxa"/>
              <w:bottom w:w="0" w:type="dxa"/>
              <w:right w:w="0" w:type="dxa"/>
            </w:tcMar>
            <w:vAlign w:val="center"/>
          </w:tcPr>
          <w:p w14:paraId="3FCFC898" w14:textId="77777777" w:rsidR="00E2099A" w:rsidRDefault="00000000">
            <w:pPr>
              <w:spacing w:before="100" w:after="100"/>
              <w:ind w:left="100" w:right="100"/>
            </w:pPr>
            <w:r>
              <w:rPr>
                <w:rFonts w:ascii="Helvetica" w:eastAsia="Helvetica" w:hAnsi="Helvetica" w:cs="Helvetica"/>
                <w:color w:val="000000"/>
                <w:sz w:val="18"/>
                <w:szCs w:val="18"/>
              </w:rPr>
              <w:t>2040</w:t>
            </w:r>
          </w:p>
        </w:tc>
      </w:tr>
    </w:tbl>
    <w:p w14:paraId="783A070F" w14:textId="77777777" w:rsidR="00E2099A" w:rsidRDefault="00000000">
      <w:pPr>
        <w:pStyle w:val="TableCaption"/>
      </w:pPr>
      <w:bookmarkStart w:id="74" w:name="tab-freight-miles-traveled-forecast"/>
      <w:r>
        <w:rPr>
          <w:b/>
          <w:bCs/>
        </w:rPr>
        <w:t xml:space="preserve">Table 4.2: </w:t>
      </w:r>
      <w:bookmarkEnd w:id="74"/>
      <w:r>
        <w:t>Freight Miles Traveled by Mode - Minneapolis</w:t>
      </w:r>
    </w:p>
    <w:tbl>
      <w:tblPr>
        <w:tblW w:w="0" w:type="pct"/>
        <w:jc w:val="center"/>
        <w:tblLook w:val="0420" w:firstRow="1" w:lastRow="0" w:firstColumn="0" w:lastColumn="0" w:noHBand="0" w:noVBand="1"/>
      </w:tblPr>
      <w:tblGrid>
        <w:gridCol w:w="4102"/>
        <w:gridCol w:w="1001"/>
        <w:gridCol w:w="1001"/>
      </w:tblGrid>
      <w:tr w:rsidR="00E2099A" w14:paraId="34D432EE" w14:textId="77777777">
        <w:trPr>
          <w:cantSplit/>
          <w:tblHeader/>
          <w:jc w:val="center"/>
        </w:trPr>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52DCCF9" w14:textId="77777777" w:rsidR="00E2099A" w:rsidRDefault="00000000">
            <w:pPr>
              <w:spacing w:before="100" w:after="100"/>
              <w:ind w:left="100" w:right="100"/>
              <w:jc w:val="center"/>
            </w:pPr>
            <w:r>
              <w:rPr>
                <w:rFonts w:ascii="Helvetica" w:eastAsia="Helvetica" w:hAnsi="Helvetica" w:cs="Helvetica"/>
                <w:color w:val="000000"/>
                <w:sz w:val="18"/>
                <w:szCs w:val="18"/>
              </w:rPr>
              <w:t>Mode</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291D567B" w14:textId="77777777" w:rsidR="00E2099A" w:rsidRDefault="00000000">
            <w:pPr>
              <w:spacing w:before="100" w:after="100"/>
              <w:ind w:left="100" w:right="100"/>
              <w:jc w:val="center"/>
            </w:pPr>
            <w:r>
              <w:rPr>
                <w:rFonts w:ascii="Helvetica" w:eastAsia="Helvetica" w:hAnsi="Helvetica" w:cs="Helvetica"/>
                <w:color w:val="000000"/>
                <w:sz w:val="18"/>
                <w:szCs w:val="18"/>
              </w:rPr>
              <w:t>2018</w:t>
            </w:r>
          </w:p>
        </w:tc>
        <w:tc>
          <w:tcPr>
            <w:tcW w:w="0" w:type="auto"/>
            <w:tcBorders>
              <w:top w:val="single" w:sz="16" w:space="0" w:color="666666"/>
              <w:bottom w:val="single" w:sz="16" w:space="0" w:color="666666"/>
            </w:tcBorders>
            <w:shd w:val="clear" w:color="auto" w:fill="FFFFFF"/>
            <w:tcMar>
              <w:top w:w="0" w:type="dxa"/>
              <w:left w:w="0" w:type="dxa"/>
              <w:bottom w:w="0" w:type="dxa"/>
              <w:right w:w="0" w:type="dxa"/>
            </w:tcMar>
            <w:vAlign w:val="center"/>
          </w:tcPr>
          <w:p w14:paraId="658B8758" w14:textId="77777777" w:rsidR="00E2099A" w:rsidRDefault="00000000">
            <w:pPr>
              <w:spacing w:before="100" w:after="100"/>
              <w:ind w:left="100" w:right="100"/>
              <w:jc w:val="center"/>
            </w:pPr>
            <w:r>
              <w:rPr>
                <w:rFonts w:ascii="Helvetica" w:eastAsia="Helvetica" w:hAnsi="Helvetica" w:cs="Helvetica"/>
                <w:color w:val="000000"/>
                <w:sz w:val="18"/>
                <w:szCs w:val="18"/>
              </w:rPr>
              <w:t>2040</w:t>
            </w:r>
          </w:p>
        </w:tc>
      </w:tr>
      <w:tr w:rsidR="00E2099A" w14:paraId="67CAC707" w14:textId="77777777">
        <w:trPr>
          <w:cantSplit/>
          <w:jc w:val="center"/>
        </w:trPr>
        <w:tc>
          <w:tcPr>
            <w:tcW w:w="0" w:type="auto"/>
            <w:shd w:val="clear" w:color="auto" w:fill="FFFFFF"/>
            <w:tcMar>
              <w:top w:w="0" w:type="dxa"/>
              <w:left w:w="0" w:type="dxa"/>
              <w:bottom w:w="0" w:type="dxa"/>
              <w:right w:w="0" w:type="dxa"/>
            </w:tcMar>
            <w:vAlign w:val="center"/>
          </w:tcPr>
          <w:p w14:paraId="4BB2A6E2" w14:textId="77777777" w:rsidR="00E2099A" w:rsidRDefault="00000000">
            <w:pPr>
              <w:spacing w:before="100" w:after="100"/>
              <w:ind w:left="100" w:right="100"/>
            </w:pPr>
            <w:r>
              <w:rPr>
                <w:rFonts w:ascii="Helvetica" w:eastAsia="Helvetica" w:hAnsi="Helvetica" w:cs="Helvetica"/>
                <w:color w:val="000000"/>
                <w:sz w:val="18"/>
                <w:szCs w:val="18"/>
              </w:rPr>
              <w:t>Combined unit truck</w:t>
            </w:r>
          </w:p>
        </w:tc>
        <w:tc>
          <w:tcPr>
            <w:tcW w:w="0" w:type="auto"/>
            <w:shd w:val="clear" w:color="auto" w:fill="FFFFFF"/>
            <w:tcMar>
              <w:top w:w="0" w:type="dxa"/>
              <w:left w:w="0" w:type="dxa"/>
              <w:bottom w:w="0" w:type="dxa"/>
              <w:right w:w="0" w:type="dxa"/>
            </w:tcMar>
            <w:vAlign w:val="center"/>
          </w:tcPr>
          <w:p w14:paraId="1FB8FE73" w14:textId="77777777" w:rsidR="00E2099A" w:rsidRDefault="00000000">
            <w:pPr>
              <w:spacing w:before="100" w:after="100"/>
              <w:ind w:left="100" w:right="100"/>
              <w:jc w:val="right"/>
            </w:pPr>
            <w:r>
              <w:rPr>
                <w:rFonts w:ascii="Helvetica" w:eastAsia="Helvetica" w:hAnsi="Helvetica" w:cs="Helvetica"/>
                <w:color w:val="000000"/>
                <w:sz w:val="18"/>
                <w:szCs w:val="18"/>
              </w:rPr>
              <w:t>684,123</w:t>
            </w:r>
          </w:p>
        </w:tc>
        <w:tc>
          <w:tcPr>
            <w:tcW w:w="0" w:type="auto"/>
            <w:shd w:val="clear" w:color="auto" w:fill="FFFFFF"/>
            <w:tcMar>
              <w:top w:w="0" w:type="dxa"/>
              <w:left w:w="0" w:type="dxa"/>
              <w:bottom w:w="0" w:type="dxa"/>
              <w:right w:w="0" w:type="dxa"/>
            </w:tcMar>
            <w:vAlign w:val="center"/>
          </w:tcPr>
          <w:p w14:paraId="17064D28" w14:textId="77777777" w:rsidR="00E2099A" w:rsidRDefault="00000000">
            <w:pPr>
              <w:spacing w:before="100" w:after="100"/>
              <w:ind w:left="100" w:right="100"/>
              <w:jc w:val="right"/>
            </w:pPr>
            <w:r>
              <w:rPr>
                <w:rFonts w:ascii="Helvetica" w:eastAsia="Helvetica" w:hAnsi="Helvetica" w:cs="Helvetica"/>
                <w:color w:val="000000"/>
                <w:sz w:val="18"/>
                <w:szCs w:val="18"/>
              </w:rPr>
              <w:t>937,773</w:t>
            </w:r>
          </w:p>
        </w:tc>
      </w:tr>
      <w:tr w:rsidR="00E2099A" w14:paraId="27D25D56" w14:textId="77777777">
        <w:trPr>
          <w:cantSplit/>
          <w:jc w:val="center"/>
        </w:trPr>
        <w:tc>
          <w:tcPr>
            <w:tcW w:w="0" w:type="auto"/>
            <w:shd w:val="clear" w:color="auto" w:fill="FFFFFF"/>
            <w:tcMar>
              <w:top w:w="0" w:type="dxa"/>
              <w:left w:w="0" w:type="dxa"/>
              <w:bottom w:w="0" w:type="dxa"/>
              <w:right w:w="0" w:type="dxa"/>
            </w:tcMar>
            <w:vAlign w:val="center"/>
          </w:tcPr>
          <w:p w14:paraId="69424D07" w14:textId="77777777" w:rsidR="00E2099A" w:rsidRDefault="00000000">
            <w:pPr>
              <w:spacing w:before="100" w:after="100"/>
              <w:ind w:left="100" w:right="100"/>
            </w:pPr>
            <w:r>
              <w:rPr>
                <w:rFonts w:ascii="Helvetica" w:eastAsia="Helvetica" w:hAnsi="Helvetica" w:cs="Helvetica"/>
                <w:color w:val="000000"/>
                <w:sz w:val="18"/>
                <w:szCs w:val="18"/>
              </w:rPr>
              <w:t>Single unit truck</w:t>
            </w:r>
          </w:p>
        </w:tc>
        <w:tc>
          <w:tcPr>
            <w:tcW w:w="0" w:type="auto"/>
            <w:shd w:val="clear" w:color="auto" w:fill="FFFFFF"/>
            <w:tcMar>
              <w:top w:w="0" w:type="dxa"/>
              <w:left w:w="0" w:type="dxa"/>
              <w:bottom w:w="0" w:type="dxa"/>
              <w:right w:w="0" w:type="dxa"/>
            </w:tcMar>
            <w:vAlign w:val="center"/>
          </w:tcPr>
          <w:p w14:paraId="2F91FE8E" w14:textId="77777777" w:rsidR="00E2099A" w:rsidRDefault="00000000">
            <w:pPr>
              <w:spacing w:before="100" w:after="100"/>
              <w:ind w:left="100" w:right="100"/>
              <w:jc w:val="right"/>
            </w:pPr>
            <w:r>
              <w:rPr>
                <w:rFonts w:ascii="Helvetica" w:eastAsia="Helvetica" w:hAnsi="Helvetica" w:cs="Helvetica"/>
                <w:color w:val="000000"/>
                <w:sz w:val="18"/>
                <w:szCs w:val="18"/>
              </w:rPr>
              <w:t>228,815</w:t>
            </w:r>
          </w:p>
        </w:tc>
        <w:tc>
          <w:tcPr>
            <w:tcW w:w="0" w:type="auto"/>
            <w:shd w:val="clear" w:color="auto" w:fill="FFFFFF"/>
            <w:tcMar>
              <w:top w:w="0" w:type="dxa"/>
              <w:left w:w="0" w:type="dxa"/>
              <w:bottom w:w="0" w:type="dxa"/>
              <w:right w:w="0" w:type="dxa"/>
            </w:tcMar>
            <w:vAlign w:val="center"/>
          </w:tcPr>
          <w:p w14:paraId="0EDF4E7A" w14:textId="77777777" w:rsidR="00E2099A" w:rsidRDefault="00000000">
            <w:pPr>
              <w:spacing w:before="100" w:after="100"/>
              <w:ind w:left="100" w:right="100"/>
              <w:jc w:val="right"/>
            </w:pPr>
            <w:r>
              <w:rPr>
                <w:rFonts w:ascii="Helvetica" w:eastAsia="Helvetica" w:hAnsi="Helvetica" w:cs="Helvetica"/>
                <w:color w:val="000000"/>
                <w:sz w:val="18"/>
                <w:szCs w:val="18"/>
              </w:rPr>
              <w:t>313,653</w:t>
            </w:r>
          </w:p>
        </w:tc>
      </w:tr>
      <w:tr w:rsidR="00E2099A" w14:paraId="7E33B911" w14:textId="77777777">
        <w:trPr>
          <w:cantSplit/>
          <w:jc w:val="center"/>
        </w:trPr>
        <w:tc>
          <w:tcPr>
            <w:tcW w:w="0" w:type="auto"/>
            <w:shd w:val="clear" w:color="auto" w:fill="FFFFFF"/>
            <w:tcMar>
              <w:top w:w="0" w:type="dxa"/>
              <w:left w:w="0" w:type="dxa"/>
              <w:bottom w:w="0" w:type="dxa"/>
              <w:right w:w="0" w:type="dxa"/>
            </w:tcMar>
            <w:vAlign w:val="center"/>
          </w:tcPr>
          <w:p w14:paraId="4C537CDD" w14:textId="77777777" w:rsidR="00E2099A" w:rsidRDefault="00000000">
            <w:pPr>
              <w:spacing w:before="100" w:after="100"/>
              <w:ind w:left="100" w:right="100"/>
            </w:pPr>
            <w:r>
              <w:rPr>
                <w:rFonts w:ascii="Helvetica" w:eastAsia="Helvetica" w:hAnsi="Helvetica" w:cs="Helvetica"/>
                <w:color w:val="000000"/>
                <w:sz w:val="18"/>
                <w:szCs w:val="18"/>
              </w:rPr>
              <w:t>Freight rail</w:t>
            </w:r>
          </w:p>
        </w:tc>
        <w:tc>
          <w:tcPr>
            <w:tcW w:w="0" w:type="auto"/>
            <w:shd w:val="clear" w:color="auto" w:fill="FFFFFF"/>
            <w:tcMar>
              <w:top w:w="0" w:type="dxa"/>
              <w:left w:w="0" w:type="dxa"/>
              <w:bottom w:w="0" w:type="dxa"/>
              <w:right w:w="0" w:type="dxa"/>
            </w:tcMar>
            <w:vAlign w:val="center"/>
          </w:tcPr>
          <w:p w14:paraId="39EA1535" w14:textId="77777777" w:rsidR="00E2099A" w:rsidRDefault="00000000">
            <w:pPr>
              <w:spacing w:before="100" w:after="100"/>
              <w:ind w:left="100" w:right="100"/>
              <w:jc w:val="right"/>
            </w:pPr>
            <w:r>
              <w:rPr>
                <w:rFonts w:ascii="Helvetica" w:eastAsia="Helvetica" w:hAnsi="Helvetica" w:cs="Helvetica"/>
                <w:color w:val="000000"/>
                <w:sz w:val="18"/>
                <w:szCs w:val="18"/>
              </w:rPr>
              <w:t>1,876,342</w:t>
            </w:r>
          </w:p>
        </w:tc>
        <w:tc>
          <w:tcPr>
            <w:tcW w:w="0" w:type="auto"/>
            <w:shd w:val="clear" w:color="auto" w:fill="FFFFFF"/>
            <w:tcMar>
              <w:top w:w="0" w:type="dxa"/>
              <w:left w:w="0" w:type="dxa"/>
              <w:bottom w:w="0" w:type="dxa"/>
              <w:right w:w="0" w:type="dxa"/>
            </w:tcMar>
            <w:vAlign w:val="center"/>
          </w:tcPr>
          <w:p w14:paraId="643C73CF" w14:textId="77777777" w:rsidR="00E2099A" w:rsidRDefault="00000000">
            <w:pPr>
              <w:spacing w:before="100" w:after="100"/>
              <w:ind w:left="100" w:right="100"/>
              <w:jc w:val="right"/>
            </w:pPr>
            <w:r>
              <w:rPr>
                <w:rFonts w:ascii="Helvetica" w:eastAsia="Helvetica" w:hAnsi="Helvetica" w:cs="Helvetica"/>
                <w:color w:val="000000"/>
                <w:sz w:val="18"/>
                <w:szCs w:val="18"/>
              </w:rPr>
              <w:t>1,996,576</w:t>
            </w:r>
          </w:p>
        </w:tc>
      </w:tr>
      <w:tr w:rsidR="00E2099A" w14:paraId="3A229296" w14:textId="77777777">
        <w:trPr>
          <w:cantSplit/>
          <w:jc w:val="center"/>
        </w:trPr>
        <w:tc>
          <w:tcPr>
            <w:tcW w:w="0" w:type="auto"/>
            <w:shd w:val="clear" w:color="auto" w:fill="FFFFFF"/>
            <w:tcMar>
              <w:top w:w="0" w:type="dxa"/>
              <w:left w:w="0" w:type="dxa"/>
              <w:bottom w:w="0" w:type="dxa"/>
              <w:right w:w="0" w:type="dxa"/>
            </w:tcMar>
            <w:vAlign w:val="center"/>
          </w:tcPr>
          <w:p w14:paraId="214FBE75" w14:textId="77777777" w:rsidR="00E2099A" w:rsidRDefault="00000000">
            <w:pPr>
              <w:spacing w:before="100" w:after="100"/>
              <w:ind w:left="100" w:right="100"/>
            </w:pPr>
            <w:r>
              <w:rPr>
                <w:rFonts w:ascii="Helvetica" w:eastAsia="Helvetica" w:hAnsi="Helvetica" w:cs="Helvetica"/>
                <w:color w:val="000000"/>
                <w:sz w:val="18"/>
                <w:szCs w:val="18"/>
              </w:rPr>
              <w:t>Multi-modal freight (combination of truck and rail)</w:t>
            </w:r>
          </w:p>
        </w:tc>
        <w:tc>
          <w:tcPr>
            <w:tcW w:w="0" w:type="auto"/>
            <w:shd w:val="clear" w:color="auto" w:fill="FFFFFF"/>
            <w:tcMar>
              <w:top w:w="0" w:type="dxa"/>
              <w:left w:w="0" w:type="dxa"/>
              <w:bottom w:w="0" w:type="dxa"/>
              <w:right w:w="0" w:type="dxa"/>
            </w:tcMar>
            <w:vAlign w:val="center"/>
          </w:tcPr>
          <w:p w14:paraId="0B4A5CF5" w14:textId="77777777" w:rsidR="00E2099A" w:rsidRDefault="00000000">
            <w:pPr>
              <w:spacing w:before="100" w:after="100"/>
              <w:ind w:left="100" w:right="100"/>
              <w:jc w:val="right"/>
            </w:pPr>
            <w:r>
              <w:rPr>
                <w:rFonts w:ascii="Helvetica" w:eastAsia="Helvetica" w:hAnsi="Helvetica" w:cs="Helvetica"/>
                <w:color w:val="000000"/>
                <w:sz w:val="18"/>
                <w:szCs w:val="18"/>
              </w:rPr>
              <w:t>441,926</w:t>
            </w:r>
          </w:p>
        </w:tc>
        <w:tc>
          <w:tcPr>
            <w:tcW w:w="0" w:type="auto"/>
            <w:shd w:val="clear" w:color="auto" w:fill="FFFFFF"/>
            <w:tcMar>
              <w:top w:w="0" w:type="dxa"/>
              <w:left w:w="0" w:type="dxa"/>
              <w:bottom w:w="0" w:type="dxa"/>
              <w:right w:w="0" w:type="dxa"/>
            </w:tcMar>
            <w:vAlign w:val="center"/>
          </w:tcPr>
          <w:p w14:paraId="3EDCDD4C" w14:textId="77777777" w:rsidR="00E2099A" w:rsidRDefault="00000000">
            <w:pPr>
              <w:spacing w:before="100" w:after="100"/>
              <w:ind w:left="100" w:right="100"/>
              <w:jc w:val="right"/>
            </w:pPr>
            <w:r>
              <w:rPr>
                <w:rFonts w:ascii="Helvetica" w:eastAsia="Helvetica" w:hAnsi="Helvetica" w:cs="Helvetica"/>
                <w:color w:val="000000"/>
                <w:sz w:val="18"/>
                <w:szCs w:val="18"/>
              </w:rPr>
              <w:t>655,486</w:t>
            </w:r>
          </w:p>
        </w:tc>
      </w:tr>
      <w:tr w:rsidR="00E2099A" w14:paraId="7C44A15C" w14:textId="77777777">
        <w:trPr>
          <w:cantSplit/>
          <w:jc w:val="center"/>
        </w:trPr>
        <w:tc>
          <w:tcPr>
            <w:tcW w:w="0" w:type="auto"/>
            <w:shd w:val="clear" w:color="auto" w:fill="FFFFFF"/>
            <w:tcMar>
              <w:top w:w="0" w:type="dxa"/>
              <w:left w:w="0" w:type="dxa"/>
              <w:bottom w:w="0" w:type="dxa"/>
              <w:right w:w="0" w:type="dxa"/>
            </w:tcMar>
            <w:vAlign w:val="center"/>
          </w:tcPr>
          <w:p w14:paraId="5B5E667F" w14:textId="77777777" w:rsidR="00E2099A" w:rsidRDefault="00000000">
            <w:pPr>
              <w:spacing w:before="100" w:after="100"/>
              <w:ind w:left="100" w:right="100"/>
            </w:pPr>
            <w:r>
              <w:rPr>
                <w:rFonts w:ascii="Helvetica" w:eastAsia="Helvetica" w:hAnsi="Helvetica" w:cs="Helvetica"/>
                <w:color w:val="000000"/>
                <w:sz w:val="18"/>
                <w:szCs w:val="18"/>
              </w:rPr>
              <w:t>Air freight</w:t>
            </w:r>
          </w:p>
        </w:tc>
        <w:tc>
          <w:tcPr>
            <w:tcW w:w="0" w:type="auto"/>
            <w:shd w:val="clear" w:color="auto" w:fill="FFFFFF"/>
            <w:tcMar>
              <w:top w:w="0" w:type="dxa"/>
              <w:left w:w="0" w:type="dxa"/>
              <w:bottom w:w="0" w:type="dxa"/>
              <w:right w:w="0" w:type="dxa"/>
            </w:tcMar>
            <w:vAlign w:val="center"/>
          </w:tcPr>
          <w:p w14:paraId="4F8F0674" w14:textId="77777777" w:rsidR="00E2099A" w:rsidRDefault="00000000">
            <w:pPr>
              <w:spacing w:before="100" w:after="100"/>
              <w:ind w:left="100" w:right="100"/>
              <w:jc w:val="right"/>
            </w:pPr>
            <w:r>
              <w:rPr>
                <w:rFonts w:ascii="Helvetica" w:eastAsia="Helvetica" w:hAnsi="Helvetica" w:cs="Helvetica"/>
                <w:color w:val="000000"/>
                <w:sz w:val="18"/>
                <w:szCs w:val="18"/>
              </w:rPr>
              <w:t>7,868</w:t>
            </w:r>
          </w:p>
        </w:tc>
        <w:tc>
          <w:tcPr>
            <w:tcW w:w="0" w:type="auto"/>
            <w:shd w:val="clear" w:color="auto" w:fill="FFFFFF"/>
            <w:tcMar>
              <w:top w:w="0" w:type="dxa"/>
              <w:left w:w="0" w:type="dxa"/>
              <w:bottom w:w="0" w:type="dxa"/>
              <w:right w:w="0" w:type="dxa"/>
            </w:tcMar>
            <w:vAlign w:val="center"/>
          </w:tcPr>
          <w:p w14:paraId="3CF774B2" w14:textId="77777777" w:rsidR="00E2099A" w:rsidRDefault="00000000">
            <w:pPr>
              <w:spacing w:before="100" w:after="100"/>
              <w:ind w:left="100" w:right="100"/>
              <w:jc w:val="right"/>
            </w:pPr>
            <w:r>
              <w:rPr>
                <w:rFonts w:ascii="Helvetica" w:eastAsia="Helvetica" w:hAnsi="Helvetica" w:cs="Helvetica"/>
                <w:color w:val="000000"/>
                <w:sz w:val="18"/>
                <w:szCs w:val="18"/>
              </w:rPr>
              <w:t>20,451</w:t>
            </w:r>
          </w:p>
        </w:tc>
      </w:tr>
      <w:tr w:rsidR="00E2099A" w14:paraId="34F9A5DE" w14:textId="77777777">
        <w:trPr>
          <w:cantSplit/>
          <w:jc w:val="center"/>
        </w:trPr>
        <w:tc>
          <w:tcPr>
            <w:tcW w:w="0" w:type="auto"/>
            <w:tcBorders>
              <w:bottom w:val="single" w:sz="16" w:space="0" w:color="666666"/>
            </w:tcBorders>
            <w:shd w:val="clear" w:color="auto" w:fill="FFFFFF"/>
            <w:tcMar>
              <w:top w:w="0" w:type="dxa"/>
              <w:left w:w="0" w:type="dxa"/>
              <w:bottom w:w="0" w:type="dxa"/>
              <w:right w:w="0" w:type="dxa"/>
            </w:tcMar>
            <w:vAlign w:val="center"/>
          </w:tcPr>
          <w:p w14:paraId="6FEF384F" w14:textId="77777777" w:rsidR="00E2099A" w:rsidRDefault="00000000">
            <w:pPr>
              <w:spacing w:before="100" w:after="100"/>
              <w:ind w:left="100" w:right="100"/>
            </w:pPr>
            <w:r>
              <w:rPr>
                <w:rFonts w:ascii="Helvetica" w:eastAsia="Helvetica" w:hAnsi="Helvetica" w:cs="Helvetica"/>
                <w:color w:val="000000"/>
                <w:sz w:val="18"/>
                <w:szCs w:val="18"/>
              </w:rPr>
              <w:t>Water freight</w:t>
            </w:r>
          </w:p>
        </w:tc>
        <w:tc>
          <w:tcPr>
            <w:tcW w:w="0" w:type="auto"/>
            <w:tcBorders>
              <w:bottom w:val="single" w:sz="16" w:space="0" w:color="666666"/>
            </w:tcBorders>
            <w:shd w:val="clear" w:color="auto" w:fill="FFFFFF"/>
            <w:tcMar>
              <w:top w:w="0" w:type="dxa"/>
              <w:left w:w="0" w:type="dxa"/>
              <w:bottom w:w="0" w:type="dxa"/>
              <w:right w:w="0" w:type="dxa"/>
            </w:tcMar>
            <w:vAlign w:val="center"/>
          </w:tcPr>
          <w:p w14:paraId="4750327F" w14:textId="77777777" w:rsidR="00E2099A" w:rsidRDefault="00000000">
            <w:pPr>
              <w:spacing w:before="100" w:after="100"/>
              <w:ind w:left="100" w:right="100"/>
              <w:jc w:val="right"/>
            </w:pPr>
            <w:r>
              <w:rPr>
                <w:rFonts w:ascii="Helvetica" w:eastAsia="Helvetica" w:hAnsi="Helvetica" w:cs="Helvetica"/>
                <w:color w:val="000000"/>
                <w:sz w:val="18"/>
                <w:szCs w:val="18"/>
              </w:rPr>
              <w:t>0</w:t>
            </w:r>
          </w:p>
        </w:tc>
        <w:tc>
          <w:tcPr>
            <w:tcW w:w="0" w:type="auto"/>
            <w:tcBorders>
              <w:bottom w:val="single" w:sz="16" w:space="0" w:color="666666"/>
            </w:tcBorders>
            <w:shd w:val="clear" w:color="auto" w:fill="FFFFFF"/>
            <w:tcMar>
              <w:top w:w="0" w:type="dxa"/>
              <w:left w:w="0" w:type="dxa"/>
              <w:bottom w:w="0" w:type="dxa"/>
              <w:right w:w="0" w:type="dxa"/>
            </w:tcMar>
            <w:vAlign w:val="center"/>
          </w:tcPr>
          <w:p w14:paraId="6AAE1F74" w14:textId="77777777" w:rsidR="00E2099A" w:rsidRDefault="00000000">
            <w:pPr>
              <w:spacing w:before="100" w:after="100"/>
              <w:ind w:left="100" w:right="100"/>
              <w:jc w:val="right"/>
            </w:pPr>
            <w:r>
              <w:rPr>
                <w:rFonts w:ascii="Helvetica" w:eastAsia="Helvetica" w:hAnsi="Helvetica" w:cs="Helvetica"/>
                <w:color w:val="000000"/>
                <w:sz w:val="18"/>
                <w:szCs w:val="18"/>
              </w:rPr>
              <w:t>0</w:t>
            </w:r>
          </w:p>
        </w:tc>
      </w:tr>
    </w:tbl>
    <w:p w14:paraId="685D11BC" w14:textId="77777777" w:rsidR="00E2099A" w:rsidRDefault="00000000">
      <w:pPr>
        <w:pStyle w:val="BodyText"/>
      </w:pPr>
      <w:r>
        <w:rPr>
          <w:b/>
          <w:bCs/>
        </w:rPr>
        <w:t>Embodied Emissions</w:t>
      </w:r>
    </w:p>
    <w:p w14:paraId="557E3C34" w14:textId="77777777" w:rsidR="00E2099A" w:rsidRDefault="00000000">
      <w:pPr>
        <w:pStyle w:val="BodyText"/>
      </w:pPr>
      <w:r>
        <w:t xml:space="preserve">Embodied emissions are a significant but often overlooked aspect of reducing carbon emissions in transportation from manufacturing and maintaining vehicles and infrastructure. Different vehicles and modes of transportation have different levels of embodied emissions. The GHG Tool in this study estimates embodied emissions for various types of passenger vehicles, public transit, and school buses based on an analysis by Chester and Horvath ((Chester and Horvath 2009)) and other sources. The tool considers the emissions resulting from manufacturing, maintenance, tire production, and other </w:t>
      </w:r>
      <w:r>
        <w:lastRenderedPageBreak/>
        <w:t>factors over the vehicle’s lifetime. It does not currently estimate embodied emissions for freight vehicles as data on their stocks and sales is not available for the study area.</w:t>
      </w:r>
    </w:p>
    <w:p w14:paraId="66D867BC" w14:textId="77777777" w:rsidR="00E2099A" w:rsidRDefault="00000000">
      <w:pPr>
        <w:pStyle w:val="Heading2"/>
      </w:pPr>
      <w:bookmarkStart w:id="75" w:name="interventionsstrategies"/>
      <w:bookmarkStart w:id="76" w:name="_Toc124529435"/>
      <w:bookmarkEnd w:id="71"/>
      <w:r>
        <w:t>4.4</w:t>
      </w:r>
      <w:r>
        <w:tab/>
        <w:t>Interventions/Strategies</w:t>
      </w:r>
      <w:bookmarkEnd w:id="76"/>
    </w:p>
    <w:p w14:paraId="17109721" w14:textId="77777777" w:rsidR="00E2099A" w:rsidRDefault="00000000">
      <w:pPr>
        <w:pStyle w:val="FirstParagraph"/>
      </w:pPr>
      <w:r>
        <w:t>The transportation module uses passenger miles traveled as a proxy for emissions. Miles traveled are calculated for each travel mode and then converted into emissions.</w:t>
      </w:r>
    </w:p>
    <w:p w14:paraId="72827BD1" w14:textId="77777777" w:rsidR="00E2099A" w:rsidRDefault="00000000">
      <w:pPr>
        <w:pStyle w:val="Heading3"/>
      </w:pPr>
      <w:bookmarkStart w:id="77" w:name="land-use"/>
      <w:bookmarkStart w:id="78" w:name="_Toc124529436"/>
      <w:r>
        <w:t>4.4.1</w:t>
      </w:r>
      <w:r>
        <w:tab/>
        <w:t>Land Use</w:t>
      </w:r>
      <w:bookmarkEnd w:id="78"/>
    </w:p>
    <w:p w14:paraId="12D4EEEC" w14:textId="77777777" w:rsidR="00E2099A" w:rsidRDefault="00000000">
      <w:pPr>
        <w:pStyle w:val="FirstParagraph"/>
      </w:pPr>
      <w:r>
        <w:t>Transportation and land use policies are reliant on each other. Segregated and low-density land use patterns lead to a reliance on automobiles, increased vehicle miles traveled, and decreased efficacy of shared travel. However, altering land use policy is complex and only sometimes leads to changes in land use, as construction takes time to catch up with zoning. The scenario planning model uses the “five D’s” (population and employment density, diversity of land uses, street design, distance to transit, and destination accessibility) as the land use factors that affect transportation.</w:t>
      </w:r>
    </w:p>
    <w:p w14:paraId="0DDEA017" w14:textId="77777777" w:rsidR="00E2099A" w:rsidRDefault="00000000">
      <w:pPr>
        <w:pStyle w:val="BodyText"/>
      </w:pPr>
      <w:r>
        <w:t>The Metropolitan Council Transportation Policy Plan discusses the need for communities to consider the connections between land use and transportation as the region changes in the coming years. The plan mentions that it is not feasible to expand the highway system in a sustainable manner and that there is increased private investment in already developed parts of the region along transit lines. The Transportation Policy Plan also mentions that higher-density development and redevelopment occur in already-developed areas. That new growth is happening in suburban edge and emerging suburban edge communities, which stresses the regional highway system. The plan suggests that planners incorporate multimodal travel options, such as transit, walking, and biking, into land use and design to address issues like congestion, climate change, equity, and livability.</w:t>
      </w:r>
    </w:p>
    <w:p w14:paraId="30B0495B" w14:textId="77777777" w:rsidR="00E2099A" w:rsidRDefault="00000000">
      <w:pPr>
        <w:pStyle w:val="BodyText"/>
      </w:pPr>
      <w:r>
        <w:t>Increasing density decreases travel distances and encourages transit, cycling, and walking. We estimate a 0.4% decrease in auto VMT for a 10% increase in population density by 2040, a 7% increase in walking/cycling VMT for a 10% increase in population density by 2040, and a 7% increase in transit VMT for a 10% increase in population density by 2040.</w:t>
      </w:r>
    </w:p>
    <w:p w14:paraId="75FAE7F8" w14:textId="77777777" w:rsidR="00E2099A" w:rsidRDefault="00000000">
      <w:pPr>
        <w:pStyle w:val="CaptionedFigure"/>
      </w:pPr>
      <w:r>
        <w:rPr>
          <w:noProof/>
        </w:rPr>
        <w:drawing>
          <wp:inline distT="0" distB="0" distL="0" distR="0" wp14:anchorId="1063404A" wp14:editId="4AA609D5">
            <wp:extent cx="6400800" cy="2400300"/>
            <wp:effectExtent l="0" t="0" r="0" b="0"/>
            <wp:docPr id="107" name="Picture" descr="Figure 4.1: Comparing the direct and embodied greenhouse gas emissions between years 2018 and 2040 for different percentages of population density (aka land use) change."/>
            <wp:cNvGraphicFramePr/>
            <a:graphic xmlns:a="http://schemas.openxmlformats.org/drawingml/2006/main">
              <a:graphicData uri="http://schemas.openxmlformats.org/drawingml/2006/picture">
                <pic:pic xmlns:pic="http://schemas.openxmlformats.org/drawingml/2006/picture">
                  <pic:nvPicPr>
                    <pic:cNvPr id="108" name="Picture" descr="/private/var/folders/b6/n168s8b14psghnl3gh43fyj1ctm4s3/T/RtmpPRVKni/preview-1334129cce645.dir/report_files/figure-docx/fig-landuse-1.png"/>
                    <pic:cNvPicPr>
                      <a:picLocks noChangeAspect="1" noChangeArrowheads="1"/>
                    </pic:cNvPicPr>
                  </pic:nvPicPr>
                  <pic:blipFill>
                    <a:blip r:embed="rId31"/>
                    <a:stretch>
                      <a:fillRect/>
                    </a:stretch>
                  </pic:blipFill>
                  <pic:spPr bwMode="auto">
                    <a:xfrm>
                      <a:off x="0" y="0"/>
                      <a:ext cx="6400800" cy="2400300"/>
                    </a:xfrm>
                    <a:prstGeom prst="rect">
                      <a:avLst/>
                    </a:prstGeom>
                    <a:noFill/>
                    <a:ln w="9525">
                      <a:noFill/>
                      <a:headEnd/>
                      <a:tailEnd/>
                    </a:ln>
                  </pic:spPr>
                </pic:pic>
              </a:graphicData>
            </a:graphic>
          </wp:inline>
        </w:drawing>
      </w:r>
    </w:p>
    <w:p w14:paraId="35A212F9" w14:textId="77777777" w:rsidR="00E2099A" w:rsidRDefault="00000000">
      <w:pPr>
        <w:pStyle w:val="ImageCaption"/>
      </w:pPr>
      <w:r>
        <w:t>Figure 4.1: Comparing the direct and embodied greenhouse gas emissions between years 2018 and 2040 for different percentages of population density (aka land use) change.</w:t>
      </w:r>
    </w:p>
    <w:p w14:paraId="25BEBA4B" w14:textId="77777777" w:rsidR="00E2099A" w:rsidRDefault="00000000">
      <w:pPr>
        <w:pStyle w:val="Heading3"/>
      </w:pPr>
      <w:bookmarkStart w:id="79" w:name="vehicle-electrification-1"/>
      <w:bookmarkStart w:id="80" w:name="_Toc124529437"/>
      <w:bookmarkEnd w:id="77"/>
      <w:r>
        <w:t>4.4.2</w:t>
      </w:r>
      <w:r>
        <w:tab/>
        <w:t>Vehicle Electrification</w:t>
      </w:r>
      <w:bookmarkEnd w:id="80"/>
    </w:p>
    <w:p w14:paraId="20FD8EF0" w14:textId="77777777" w:rsidR="00E2099A" w:rsidRDefault="00000000">
      <w:pPr>
        <w:pStyle w:val="FirstParagraph"/>
      </w:pPr>
      <w:r>
        <w:t>The Greenhouse Gas Scenario Planning Tool aims to assess the potential impact of electric vehicles on greenhouse gas emissions in the Twin Cities metropolitan region.</w:t>
      </w:r>
    </w:p>
    <w:p w14:paraId="3A614FCD" w14:textId="77777777" w:rsidR="00E2099A" w:rsidRDefault="00000000">
      <w:pPr>
        <w:pStyle w:val="BodyText"/>
      </w:pPr>
      <w:r>
        <w:t>The Tool uses data from the Market Acceptance of Advanced Automotive Technologies model to forecast electric vehicle market penetration in the region, and considers the GHG intensity of the region’s electricity grid in calculating the GHG impact of electric vehicles.</w:t>
      </w:r>
    </w:p>
    <w:p w14:paraId="423F314E" w14:textId="77777777" w:rsidR="00E2099A" w:rsidRDefault="00000000">
      <w:pPr>
        <w:pStyle w:val="BodyText"/>
      </w:pPr>
      <w:r>
        <w:lastRenderedPageBreak/>
        <w:t>The Tool also accounts for the fact that plug-in hybrid electric vehicles may operate in both electric and gasoline modes, and estimates the fraction of time that these vehicles operate in each mode based on the average distance that they can travel on electric power and data on household vehicle usage. The tool aims to provide insight into the potential for electric vehicles to reduce GHG emissions in the region and inform policy decisions related to electric vehicle adoption.</w:t>
      </w:r>
    </w:p>
    <w:p w14:paraId="0D536245" w14:textId="77777777" w:rsidR="00E2099A" w:rsidRDefault="00000000">
      <w:pPr>
        <w:pStyle w:val="CaptionedFigure"/>
      </w:pPr>
      <w:r>
        <w:rPr>
          <w:noProof/>
        </w:rPr>
        <w:drawing>
          <wp:inline distT="0" distB="0" distL="0" distR="0" wp14:anchorId="5ED41DFF" wp14:editId="0A8FB5E1">
            <wp:extent cx="6400800" cy="2400300"/>
            <wp:effectExtent l="0" t="0" r="0" b="0"/>
            <wp:docPr id="111" name="Picture" descr="Figure 4.2: Comparing the direct and embodied greenhouse gas emissions between years 2018 and 2040 for different percentages of vehicles sales which are battery electric."/>
            <wp:cNvGraphicFramePr/>
            <a:graphic xmlns:a="http://schemas.openxmlformats.org/drawingml/2006/main">
              <a:graphicData uri="http://schemas.openxmlformats.org/drawingml/2006/picture">
                <pic:pic xmlns:pic="http://schemas.openxmlformats.org/drawingml/2006/picture">
                  <pic:nvPicPr>
                    <pic:cNvPr id="112" name="Picture" descr="/private/var/folders/b6/n168s8b14psghnl3gh43fyj1ctm4s3/T/RtmpPRVKni/preview-1334129cce645.dir/report_files/figure-docx/fig-bev-1.png"/>
                    <pic:cNvPicPr>
                      <a:picLocks noChangeAspect="1" noChangeArrowheads="1"/>
                    </pic:cNvPicPr>
                  </pic:nvPicPr>
                  <pic:blipFill>
                    <a:blip r:embed="rId32"/>
                    <a:stretch>
                      <a:fillRect/>
                    </a:stretch>
                  </pic:blipFill>
                  <pic:spPr bwMode="auto">
                    <a:xfrm>
                      <a:off x="0" y="0"/>
                      <a:ext cx="6400800" cy="2400300"/>
                    </a:xfrm>
                    <a:prstGeom prst="rect">
                      <a:avLst/>
                    </a:prstGeom>
                    <a:noFill/>
                    <a:ln w="9525">
                      <a:noFill/>
                      <a:headEnd/>
                      <a:tailEnd/>
                    </a:ln>
                  </pic:spPr>
                </pic:pic>
              </a:graphicData>
            </a:graphic>
          </wp:inline>
        </w:drawing>
      </w:r>
    </w:p>
    <w:p w14:paraId="52ED97E1" w14:textId="77777777" w:rsidR="00E2099A" w:rsidRDefault="00000000">
      <w:pPr>
        <w:pStyle w:val="ImageCaption"/>
      </w:pPr>
      <w:r>
        <w:t>Figure 4.2: Comparing the direct and embodied greenhouse gas emissions between years 2018 and 2040 for different percentages of vehicles sales which are battery electric.</w:t>
      </w:r>
    </w:p>
    <w:p w14:paraId="7FE87005" w14:textId="77777777" w:rsidR="00E2099A" w:rsidRDefault="00000000">
      <w:pPr>
        <w:pStyle w:val="Heading3"/>
      </w:pPr>
      <w:bookmarkStart w:id="81" w:name="public-transit"/>
      <w:bookmarkStart w:id="82" w:name="_Toc124529438"/>
      <w:bookmarkEnd w:id="79"/>
      <w:r>
        <w:t>4.4.3</w:t>
      </w:r>
      <w:r>
        <w:tab/>
        <w:t>Public Transit</w:t>
      </w:r>
      <w:bookmarkEnd w:id="82"/>
    </w:p>
    <w:p w14:paraId="131E757E" w14:textId="77777777" w:rsidR="00E2099A" w:rsidRDefault="00000000">
      <w:pPr>
        <w:pStyle w:val="FirstParagraph"/>
      </w:pPr>
      <w:r>
        <w:t xml:space="preserve">According to the </w:t>
      </w:r>
      <w:hyperlink r:id="rId33">
        <w:r>
          <w:rPr>
            <w:rStyle w:val="Hyperlink"/>
          </w:rPr>
          <w:t>Minneapolis Transportation Action Plan (TAP)</w:t>
        </w:r>
      </w:hyperlink>
      <w:r>
        <w:t>, transit is essential for the city’s multimodal transportation system. Transit contributes to economic competitiveness by attracting businesses, private investment, and top talent. Over 30,000 (16.5%) households in the city do not have access to or choose not to own a personal car, with the highest concentration of car-free individuals living in neighborhoods around downtown Minneapolis. The TAP aims to improve the coverage, speed, and reliability of transit service through a partnership with the Metropolitan Council and by defining clear priorities, goals, and actions for the city. The goal is to increase the number of transit trips from 13% in 2019 to 25% by 2030. Transit must be convenient, reliable, and frequent and effectively reduce trips made by single-occupancy vehicles to achieve these goals.</w:t>
      </w:r>
    </w:p>
    <w:p w14:paraId="128E180D" w14:textId="77777777" w:rsidR="00E2099A" w:rsidRDefault="00000000">
      <w:pPr>
        <w:pStyle w:val="CaptionedFigure"/>
      </w:pPr>
      <w:r>
        <w:rPr>
          <w:noProof/>
        </w:rPr>
        <w:drawing>
          <wp:inline distT="0" distB="0" distL="0" distR="0" wp14:anchorId="46411DFA" wp14:editId="4B27E439">
            <wp:extent cx="6400800" cy="2400300"/>
            <wp:effectExtent l="0" t="0" r="0" b="0"/>
            <wp:docPr id="115" name="Picture" descr="Figure 4.3: Comparing the direct and embodied greenhouse gas emissions between years 2018 and 2040 for different percentages of transit service."/>
            <wp:cNvGraphicFramePr/>
            <a:graphic xmlns:a="http://schemas.openxmlformats.org/drawingml/2006/main">
              <a:graphicData uri="http://schemas.openxmlformats.org/drawingml/2006/picture">
                <pic:pic xmlns:pic="http://schemas.openxmlformats.org/drawingml/2006/picture">
                  <pic:nvPicPr>
                    <pic:cNvPr id="116" name="Picture" descr="/private/var/folders/b6/n168s8b14psghnl3gh43fyj1ctm4s3/T/RtmpPRVKni/preview-1334129cce645.dir/report_files/figure-docx/fig-transitservice-1.png"/>
                    <pic:cNvPicPr>
                      <a:picLocks noChangeAspect="1" noChangeArrowheads="1"/>
                    </pic:cNvPicPr>
                  </pic:nvPicPr>
                  <pic:blipFill>
                    <a:blip r:embed="rId34"/>
                    <a:stretch>
                      <a:fillRect/>
                    </a:stretch>
                  </pic:blipFill>
                  <pic:spPr bwMode="auto">
                    <a:xfrm>
                      <a:off x="0" y="0"/>
                      <a:ext cx="6400800" cy="2400300"/>
                    </a:xfrm>
                    <a:prstGeom prst="rect">
                      <a:avLst/>
                    </a:prstGeom>
                    <a:noFill/>
                    <a:ln w="9525">
                      <a:noFill/>
                      <a:headEnd/>
                      <a:tailEnd/>
                    </a:ln>
                  </pic:spPr>
                </pic:pic>
              </a:graphicData>
            </a:graphic>
          </wp:inline>
        </w:drawing>
      </w:r>
    </w:p>
    <w:p w14:paraId="703D63D1" w14:textId="77777777" w:rsidR="00E2099A" w:rsidRDefault="00000000">
      <w:pPr>
        <w:pStyle w:val="ImageCaption"/>
      </w:pPr>
      <w:r>
        <w:t>Figure 4.3: Comparing the direct and embodied greenhouse gas emissions between years 2018 and 2040 for different percentages of transit service.</w:t>
      </w:r>
    </w:p>
    <w:p w14:paraId="7E2B327F" w14:textId="77777777" w:rsidR="00E2099A" w:rsidRDefault="00000000">
      <w:pPr>
        <w:pStyle w:val="Heading3"/>
      </w:pPr>
      <w:bookmarkStart w:id="83" w:name="telework"/>
      <w:bookmarkStart w:id="84" w:name="_Toc124529439"/>
      <w:bookmarkEnd w:id="81"/>
      <w:r>
        <w:lastRenderedPageBreak/>
        <w:t>4.4.4</w:t>
      </w:r>
      <w:r>
        <w:tab/>
        <w:t>Telework</w:t>
      </w:r>
      <w:bookmarkEnd w:id="84"/>
    </w:p>
    <w:p w14:paraId="5A3D2FCA" w14:textId="77777777" w:rsidR="00E2099A" w:rsidRDefault="00000000">
      <w:pPr>
        <w:pStyle w:val="FirstParagraph"/>
      </w:pPr>
      <w:r>
        <w:t>Telework is working from home, reducing or eliminating the need to commute. In 2020, an estimated 35% of jobs in the United States could be performed from home, varying by metropolitan area. In Minneapolis and St. Paul, approximately 38-52% of jobs can be completed through telework.1 In a first approximation, telework eliminates commute vehicle miles traveled, which can reduce greenhouse gas emissions. However, the net effect on vehicle miles traveled, and household greenhouse gas production must also be considered. Recent studies that include energy associated with working from home find an effective reduction of about 2.5-3% in household CO2 emissions per telework day.</w:t>
      </w:r>
    </w:p>
    <w:p w14:paraId="785F49BF" w14:textId="77777777" w:rsidR="00E2099A" w:rsidRDefault="00000000">
      <w:pPr>
        <w:pStyle w:val="BodyText"/>
      </w:pPr>
      <w:r>
        <w:rPr>
          <w:i/>
          <w:iCs/>
        </w:rPr>
        <w:t>Figure 4.4 could be a static or interactive figure. Some questions about the parameters/results 1) Unclear why teleworking doesn’t impact emissions? Look inside the data-raw folder at the “CityReportTransData.R” script to see where/how I got these numbers if any troubleshooting needs to happen.</w:t>
      </w:r>
    </w:p>
    <w:p w14:paraId="7A9D1DC4" w14:textId="77777777" w:rsidR="00E2099A" w:rsidRDefault="00000000">
      <w:pPr>
        <w:pStyle w:val="CaptionedFigure"/>
      </w:pPr>
      <w:r>
        <w:rPr>
          <w:noProof/>
        </w:rPr>
        <w:drawing>
          <wp:inline distT="0" distB="0" distL="0" distR="0" wp14:anchorId="546B47D5" wp14:editId="32AF8A26">
            <wp:extent cx="6400800" cy="2400300"/>
            <wp:effectExtent l="0" t="0" r="0" b="0"/>
            <wp:docPr id="119" name="Picture" descr="Figure 4.4: Comparing the direct and embodied greenhouse gas emissions between years 2018 and 2040 for different percentages of telworking."/>
            <wp:cNvGraphicFramePr/>
            <a:graphic xmlns:a="http://schemas.openxmlformats.org/drawingml/2006/main">
              <a:graphicData uri="http://schemas.openxmlformats.org/drawingml/2006/picture">
                <pic:pic xmlns:pic="http://schemas.openxmlformats.org/drawingml/2006/picture">
                  <pic:nvPicPr>
                    <pic:cNvPr id="120" name="Picture" descr="/private/var/folders/b6/n168s8b14psghnl3gh43fyj1ctm4s3/T/RtmpPRVKni/preview-1334129cce645.dir/report_files/figure-docx/fig-telework-1.png"/>
                    <pic:cNvPicPr>
                      <a:picLocks noChangeAspect="1" noChangeArrowheads="1"/>
                    </pic:cNvPicPr>
                  </pic:nvPicPr>
                  <pic:blipFill>
                    <a:blip r:embed="rId35"/>
                    <a:stretch>
                      <a:fillRect/>
                    </a:stretch>
                  </pic:blipFill>
                  <pic:spPr bwMode="auto">
                    <a:xfrm>
                      <a:off x="0" y="0"/>
                      <a:ext cx="6400800" cy="2400300"/>
                    </a:xfrm>
                    <a:prstGeom prst="rect">
                      <a:avLst/>
                    </a:prstGeom>
                    <a:noFill/>
                    <a:ln w="9525">
                      <a:noFill/>
                      <a:headEnd/>
                      <a:tailEnd/>
                    </a:ln>
                  </pic:spPr>
                </pic:pic>
              </a:graphicData>
            </a:graphic>
          </wp:inline>
        </w:drawing>
      </w:r>
    </w:p>
    <w:p w14:paraId="788BF24B" w14:textId="77777777" w:rsidR="00E2099A" w:rsidRDefault="00000000">
      <w:pPr>
        <w:pStyle w:val="ImageCaption"/>
      </w:pPr>
      <w:r>
        <w:t>Figure 4.4: Comparing the direct and embodied greenhouse gas emissions between years 2018 and 2040 for different percentages of telworking.</w:t>
      </w:r>
    </w:p>
    <w:p w14:paraId="2BDB1E75" w14:textId="77777777" w:rsidR="00E2099A" w:rsidRDefault="00000000">
      <w:pPr>
        <w:pStyle w:val="Heading3"/>
      </w:pPr>
      <w:bookmarkStart w:id="85" w:name="road-pricing"/>
      <w:bookmarkStart w:id="86" w:name="_Toc124529440"/>
      <w:bookmarkEnd w:id="83"/>
      <w:r>
        <w:t>4.4.5</w:t>
      </w:r>
      <w:r>
        <w:tab/>
        <w:t>Road Pricing</w:t>
      </w:r>
      <w:bookmarkEnd w:id="86"/>
    </w:p>
    <w:p w14:paraId="102C480C" w14:textId="77777777" w:rsidR="00E2099A" w:rsidRDefault="00000000">
      <w:pPr>
        <w:pStyle w:val="FirstParagraph"/>
      </w:pPr>
      <w:r>
        <w:t>In the future, road pricing will likely be an essential component of transportation policy. Road pricing is key for automated vehicles and dynamic ride-sharing policies because it helps address the increased vehicle miles traveled projected to occur with adopting these technologies. Furthermore, road pricing provides an alternative revenue stream to the gas tax as vehicle efficiency increases and electric vehicle adoption grows.</w:t>
      </w:r>
    </w:p>
    <w:p w14:paraId="0DD4AA29" w14:textId="77777777" w:rsidR="00E2099A" w:rsidRDefault="00000000">
      <w:pPr>
        <w:pStyle w:val="BodyText"/>
      </w:pPr>
      <w:r>
        <w:t>The scenario planning model includes three alternatives for road pricing. The first is a vehicle miles traveled (VMT) fee that charges for each mile of travel. The second is a pay-as-you-drive insurance plan. Finally, the model includes a representation of congestion pricing. Ideally, congestion price should vary between the time of day and road link based on the current congestion level, but this is infeasible to model. Instead, an elevated VMT fee is applied to a portion of travel, approximating the percent of congested VMT. Credit-based congestion pricing is recommended as a revenue-neutral strategy to address equity in road pricing. It provides credits to travelers who shift their travel model or departure time.</w:t>
      </w:r>
    </w:p>
    <w:p w14:paraId="3290AA68" w14:textId="77777777" w:rsidR="00E2099A" w:rsidRDefault="00000000">
      <w:pPr>
        <w:pStyle w:val="BodyText"/>
      </w:pPr>
      <w:r>
        <w:rPr>
          <w:i/>
          <w:iCs/>
        </w:rPr>
        <w:t>Figure 4.5 could be a static or interactive figure. However, nothing seems to matter…</w:t>
      </w:r>
    </w:p>
    <w:p w14:paraId="72E62481" w14:textId="77777777" w:rsidR="00E2099A" w:rsidRDefault="00000000">
      <w:pPr>
        <w:pStyle w:val="CaptionedFigure"/>
      </w:pPr>
      <w:r>
        <w:rPr>
          <w:noProof/>
        </w:rPr>
        <w:lastRenderedPageBreak/>
        <w:drawing>
          <wp:inline distT="0" distB="0" distL="0" distR="0" wp14:anchorId="1353B07E" wp14:editId="0CA69FB4">
            <wp:extent cx="6400800" cy="2400300"/>
            <wp:effectExtent l="0" t="0" r="0" b="0"/>
            <wp:docPr id="123" name="Picture" descr="Figure 4.5: Comparing the direct and embodied greenhouse gas emissions between years 2018 and 2040 for different levels of road pricing."/>
            <wp:cNvGraphicFramePr/>
            <a:graphic xmlns:a="http://schemas.openxmlformats.org/drawingml/2006/main">
              <a:graphicData uri="http://schemas.openxmlformats.org/drawingml/2006/picture">
                <pic:pic xmlns:pic="http://schemas.openxmlformats.org/drawingml/2006/picture">
                  <pic:nvPicPr>
                    <pic:cNvPr id="124" name="Picture" descr="/private/var/folders/b6/n168s8b14psghnl3gh43fyj1ctm4s3/T/RtmpPRVKni/preview-1334129cce645.dir/report_files/figure-docx/fig-roadprice-1.png"/>
                    <pic:cNvPicPr>
                      <a:picLocks noChangeAspect="1" noChangeArrowheads="1"/>
                    </pic:cNvPicPr>
                  </pic:nvPicPr>
                  <pic:blipFill>
                    <a:blip r:embed="rId36"/>
                    <a:stretch>
                      <a:fillRect/>
                    </a:stretch>
                  </pic:blipFill>
                  <pic:spPr bwMode="auto">
                    <a:xfrm>
                      <a:off x="0" y="0"/>
                      <a:ext cx="6400800" cy="2400300"/>
                    </a:xfrm>
                    <a:prstGeom prst="rect">
                      <a:avLst/>
                    </a:prstGeom>
                    <a:noFill/>
                    <a:ln w="9525">
                      <a:noFill/>
                      <a:headEnd/>
                      <a:tailEnd/>
                    </a:ln>
                  </pic:spPr>
                </pic:pic>
              </a:graphicData>
            </a:graphic>
          </wp:inline>
        </w:drawing>
      </w:r>
    </w:p>
    <w:p w14:paraId="02136912" w14:textId="77777777" w:rsidR="00E2099A" w:rsidRDefault="00000000">
      <w:pPr>
        <w:pStyle w:val="ImageCaption"/>
      </w:pPr>
      <w:r>
        <w:t>Figure 4.5: Comparing the direct and embodied greenhouse gas emissions between years 2018 and 2040 for different levels of road pricing.</w:t>
      </w:r>
    </w:p>
    <w:p w14:paraId="3DB282EC" w14:textId="77777777" w:rsidR="00E2099A" w:rsidRDefault="00000000">
      <w:pPr>
        <w:pStyle w:val="Heading3"/>
      </w:pPr>
      <w:bookmarkStart w:id="87" w:name="parking-policy"/>
      <w:bookmarkStart w:id="88" w:name="_Toc124529441"/>
      <w:bookmarkEnd w:id="85"/>
      <w:r>
        <w:t>4.4.6</w:t>
      </w:r>
      <w:r>
        <w:tab/>
        <w:t>Parking Policy</w:t>
      </w:r>
      <w:bookmarkEnd w:id="88"/>
    </w:p>
    <w:p w14:paraId="04557819" w14:textId="77777777" w:rsidR="00E2099A" w:rsidRDefault="00000000">
      <w:pPr>
        <w:pStyle w:val="FirstParagraph"/>
      </w:pPr>
      <w:r>
        <w:t>Parking is an important component of the transportation system. A lack of parking can result in additional VMT from vehicles searching for a parking spot (up to 30% of vehicles in downtown traffic (Shoup 2006)). Surface lots and parkades take up valuable space that could be put to more useful purposes.</w:t>
      </w:r>
    </w:p>
    <w:p w14:paraId="5DED11D3" w14:textId="77777777" w:rsidR="00E2099A" w:rsidRDefault="00000000">
      <w:pPr>
        <w:pStyle w:val="BodyText"/>
      </w:pPr>
      <w:r>
        <w:t>The most common strategies for controlling parking demand are increasing its price and restricting the time that parking is available. These strategies have been reviewed in detail and price elasticities are available for the price of parking on VMT (see Table 4.4).</w:t>
      </w:r>
    </w:p>
    <w:p w14:paraId="6AD1B513" w14:textId="77777777" w:rsidR="00E2099A" w:rsidRDefault="00000000">
      <w:pPr>
        <w:pStyle w:val="BodyText"/>
      </w:pPr>
      <w:r>
        <w:t>The long-run elasticity of VMT to parking cost is estimated to be in the range of -0.18 to -0.45, with a mean of 0.07 based on a meta-analysis of values reported in the literature (Lehner and Peer 2019).</w:t>
      </w:r>
    </w:p>
    <w:p w14:paraId="0A1C898D" w14:textId="77777777" w:rsidR="00E2099A" w:rsidRDefault="00000000">
      <w:pPr>
        <w:pStyle w:val="BodyText"/>
      </w:pPr>
      <m:oMathPara>
        <m:oMathParaPr>
          <m:jc m:val="center"/>
        </m:oMathParaPr>
        <m:oMath>
          <m:r>
            <w:rPr>
              <w:rFonts w:ascii="Cambria Math" w:hAnsi="Cambria Math"/>
            </w:rPr>
            <m:t>ad</m:t>
          </m:r>
          <m:sSub>
            <m:sSubPr>
              <m:ctrlPr>
                <w:rPr>
                  <w:rFonts w:ascii="Cambria Math" w:hAnsi="Cambria Math"/>
                </w:rPr>
              </m:ctrlPr>
            </m:sSubPr>
            <m:e>
              <m:r>
                <w:rPr>
                  <w:rFonts w:ascii="Cambria Math" w:hAnsi="Cambria Math"/>
                </w:rPr>
                <m:t>j</m:t>
              </m:r>
            </m:e>
            <m:sub>
              <m:r>
                <w:rPr>
                  <w:rFonts w:ascii="Cambria Math" w:hAnsi="Cambria Math"/>
                </w:rPr>
                <m:t>park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y</m:t>
                  </m:r>
                </m:sub>
              </m:sSub>
            </m:num>
            <m:den>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y</m:t>
                  </m:r>
                  <m:r>
                    <m:rPr>
                      <m:sty m:val="p"/>
                    </m:rPr>
                    <w:rPr>
                      <w:rFonts w:ascii="Cambria Math" w:hAnsi="Cambria Math"/>
                    </w:rPr>
                    <m:t>=</m:t>
                  </m:r>
                  <m:r>
                    <w:rPr>
                      <w:rFonts w:ascii="Cambria Math" w:hAnsi="Cambria Math"/>
                    </w:rPr>
                    <m:t>2018</m:t>
                  </m:r>
                </m:sub>
              </m:sSub>
            </m:den>
          </m:f>
          <m:r>
            <m:rPr>
              <m:sty m:val="p"/>
            </m:rPr>
            <w:rPr>
              <w:rFonts w:ascii="Cambria Math" w:hAnsi="Cambria Math"/>
            </w:rPr>
            <m:t>×</m:t>
          </m:r>
          <m:r>
            <w:rPr>
              <w:rFonts w:ascii="Cambria Math" w:hAnsi="Cambria Math"/>
            </w:rPr>
            <m:t>elas</m:t>
          </m:r>
          <m:sSub>
            <m:sSubPr>
              <m:ctrlPr>
                <w:rPr>
                  <w:rFonts w:ascii="Cambria Math" w:hAnsi="Cambria Math"/>
                </w:rPr>
              </m:ctrlPr>
            </m:sSubPr>
            <m:e>
              <m:r>
                <w:rPr>
                  <w:rFonts w:ascii="Cambria Math" w:hAnsi="Cambria Math"/>
                </w:rPr>
                <m:t>t</m:t>
              </m:r>
            </m:e>
            <m:sub>
              <m:r>
                <w:rPr>
                  <w:rFonts w:ascii="Cambria Math" w:hAnsi="Cambria Math"/>
                </w:rPr>
                <m:t>par</m:t>
              </m:r>
              <m:sSub>
                <m:sSubPr>
                  <m:ctrlPr>
                    <w:rPr>
                      <w:rFonts w:ascii="Cambria Math" w:hAnsi="Cambria Math"/>
                    </w:rPr>
                  </m:ctrlPr>
                </m:sSubPr>
                <m:e>
                  <m:r>
                    <w:rPr>
                      <w:rFonts w:ascii="Cambria Math" w:hAnsi="Cambria Math"/>
                    </w:rPr>
                    <m:t>k</m:t>
                  </m:r>
                </m:e>
                <m:sub>
                  <m:r>
                    <w:rPr>
                      <w:rFonts w:ascii="Cambria Math" w:hAnsi="Cambria Math"/>
                    </w:rPr>
                    <m:t>m</m:t>
                  </m:r>
                </m:sub>
              </m:sSub>
            </m:sub>
          </m:sSub>
          <m:d>
            <m:dPr>
              <m:ctrlPr>
                <w:rPr>
                  <w:rFonts w:ascii="Cambria Math" w:hAnsi="Cambria Math"/>
                </w:rPr>
              </m:ctrlPr>
            </m:dPr>
            <m:e>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parkin</m:t>
              </m:r>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ric</m:t>
              </m:r>
              <m:sSub>
                <m:sSubPr>
                  <m:ctrlPr>
                    <w:rPr>
                      <w:rFonts w:ascii="Cambria Math" w:hAnsi="Cambria Math"/>
                    </w:rPr>
                  </m:ctrlPr>
                </m:sSubPr>
                <m:e>
                  <m:r>
                    <w:rPr>
                      <w:rFonts w:ascii="Cambria Math" w:hAnsi="Cambria Math"/>
                    </w:rPr>
                    <m:t>e</m:t>
                  </m:r>
                </m:e>
                <m:sub>
                  <m:r>
                    <w:rPr>
                      <w:rFonts w:ascii="Cambria Math" w:hAnsi="Cambria Math"/>
                    </w:rPr>
                    <m:t>a</m:t>
                  </m:r>
                </m:sub>
              </m:sSub>
              <m:r>
                <w:rPr>
                  <w:rFonts w:ascii="Cambria Math" w:hAnsi="Cambria Math"/>
                </w:rPr>
                <m:t>dj</m:t>
              </m:r>
            </m:e>
          </m:d>
        </m:oMath>
      </m:oMathPara>
    </w:p>
    <w:p w14:paraId="03D58C37" w14:textId="77777777" w:rsidR="00E2099A" w:rsidRDefault="00000000">
      <w:pPr>
        <w:pStyle w:val="FirstParagraph"/>
      </w:pPr>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y</m:t>
            </m:r>
          </m:sub>
        </m:sSub>
      </m:oMath>
      <w:r>
        <w:t xml:space="preserve"> is the price of parking on dollars per hour in year </w:t>
      </w:r>
      <m:oMath>
        <m:r>
          <w:rPr>
            <w:rFonts w:ascii="Cambria Math" w:hAnsi="Cambria Math"/>
          </w:rPr>
          <m:t>y</m:t>
        </m:r>
      </m:oMath>
      <w:r>
        <w:br/>
      </w:r>
      <m:oMath>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y</m:t>
            </m:r>
            <m:r>
              <m:rPr>
                <m:sty m:val="p"/>
              </m:rPr>
              <w:rPr>
                <w:rFonts w:ascii="Cambria Math" w:hAnsi="Cambria Math"/>
              </w:rPr>
              <m:t>=</m:t>
            </m:r>
            <m:r>
              <w:rPr>
                <w:rFonts w:ascii="Cambria Math" w:hAnsi="Cambria Math"/>
              </w:rPr>
              <m:t>2018</m:t>
            </m:r>
          </m:sub>
        </m:sSub>
      </m:oMath>
      <w:r>
        <w:t xml:space="preserve"> is the price of parking in dollars per hour in 2018</w:t>
      </w:r>
      <w:r>
        <w:br/>
      </w:r>
      <m:oMath>
        <m:r>
          <w:rPr>
            <w:rFonts w:ascii="Cambria Math" w:hAnsi="Cambria Math"/>
          </w:rPr>
          <m:t>elas</m:t>
        </m:r>
        <m:sSub>
          <m:sSubPr>
            <m:ctrlPr>
              <w:rPr>
                <w:rFonts w:ascii="Cambria Math" w:hAnsi="Cambria Math"/>
              </w:rPr>
            </m:ctrlPr>
          </m:sSubPr>
          <m:e>
            <m:r>
              <w:rPr>
                <w:rFonts w:ascii="Cambria Math" w:hAnsi="Cambria Math"/>
              </w:rPr>
              <m:t>t</m:t>
            </m:r>
          </m:e>
          <m:sub>
            <m:r>
              <w:rPr>
                <w:rFonts w:ascii="Cambria Math" w:hAnsi="Cambria Math"/>
              </w:rPr>
              <m:t>park</m:t>
            </m:r>
          </m:sub>
        </m:sSub>
      </m:oMath>
      <w:r>
        <w:t xml:space="preserve"> is the elasticity or effect size of parking price increase on travel mode </w:t>
      </w:r>
      <m:oMath>
        <m:r>
          <w:rPr>
            <w:rFonts w:ascii="Cambria Math" w:hAnsi="Cambria Math"/>
          </w:rPr>
          <m:t>m</m:t>
        </m:r>
      </m:oMath>
      <w:r>
        <w:t>.</w:t>
      </w:r>
    </w:p>
    <w:p w14:paraId="3270D0FB" w14:textId="77777777" w:rsidR="00E2099A" w:rsidRDefault="00000000">
      <w:pPr>
        <w:pStyle w:val="BodyText"/>
      </w:pPr>
      <w:r>
        <w:t>Values derived from TRACE (1999) and referenced in Litman (2021) and Lehner and Peer (2019).</w:t>
      </w:r>
    </w:p>
    <w:p w14:paraId="2D0DED19" w14:textId="77777777" w:rsidR="00E2099A" w:rsidRDefault="00000000">
      <w:pPr>
        <w:pStyle w:val="BodyText"/>
      </w:pPr>
      <w:r>
        <w:rPr>
          <w:i/>
          <w:iCs/>
        </w:rPr>
        <w:t>Figure 4.6 could be a static or interactive figure. However, nothing seems to matter…</w:t>
      </w:r>
    </w:p>
    <w:p w14:paraId="0A4DAF9A" w14:textId="77777777" w:rsidR="00E2099A" w:rsidRDefault="00000000">
      <w:pPr>
        <w:pStyle w:val="CaptionedFigure"/>
      </w:pPr>
      <w:r>
        <w:rPr>
          <w:noProof/>
        </w:rPr>
        <w:lastRenderedPageBreak/>
        <w:drawing>
          <wp:inline distT="0" distB="0" distL="0" distR="0" wp14:anchorId="6F496C44" wp14:editId="6ECB6F87">
            <wp:extent cx="6400800" cy="2400300"/>
            <wp:effectExtent l="0" t="0" r="0" b="0"/>
            <wp:docPr id="127" name="Picture" descr="Figure 4.6: Comparing the direct and embodied greenhouse gas emissions between years 2018 and 2040 for levels of parking pricing."/>
            <wp:cNvGraphicFramePr/>
            <a:graphic xmlns:a="http://schemas.openxmlformats.org/drawingml/2006/main">
              <a:graphicData uri="http://schemas.openxmlformats.org/drawingml/2006/picture">
                <pic:pic xmlns:pic="http://schemas.openxmlformats.org/drawingml/2006/picture">
                  <pic:nvPicPr>
                    <pic:cNvPr id="128" name="Picture" descr="/private/var/folders/b6/n168s8b14psghnl3gh43fyj1ctm4s3/T/RtmpPRVKni/preview-1334129cce645.dir/report_files/figure-docx/fig-parkingprice-1.png"/>
                    <pic:cNvPicPr>
                      <a:picLocks noChangeAspect="1" noChangeArrowheads="1"/>
                    </pic:cNvPicPr>
                  </pic:nvPicPr>
                  <pic:blipFill>
                    <a:blip r:embed="rId37"/>
                    <a:stretch>
                      <a:fillRect/>
                    </a:stretch>
                  </pic:blipFill>
                  <pic:spPr bwMode="auto">
                    <a:xfrm>
                      <a:off x="0" y="0"/>
                      <a:ext cx="6400800" cy="2400300"/>
                    </a:xfrm>
                    <a:prstGeom prst="rect">
                      <a:avLst/>
                    </a:prstGeom>
                    <a:noFill/>
                    <a:ln w="9525">
                      <a:noFill/>
                      <a:headEnd/>
                      <a:tailEnd/>
                    </a:ln>
                  </pic:spPr>
                </pic:pic>
              </a:graphicData>
            </a:graphic>
          </wp:inline>
        </w:drawing>
      </w:r>
    </w:p>
    <w:p w14:paraId="6156606A" w14:textId="77777777" w:rsidR="00E2099A" w:rsidRDefault="00000000">
      <w:pPr>
        <w:pStyle w:val="ImageCaption"/>
      </w:pPr>
      <w:r>
        <w:t>Figure 4.6: Comparing the direct and embodied greenhouse gas emissions between years 2018 and 2040 for levels of parking pricing.</w:t>
      </w:r>
    </w:p>
    <w:p w14:paraId="49BDA88F" w14:textId="77777777" w:rsidR="00E2099A" w:rsidRDefault="00000000">
      <w:pPr>
        <w:pStyle w:val="BodyText"/>
      </w:pPr>
      <w:r>
        <w:rPr>
          <w:noProof/>
        </w:rPr>
        <w:drawing>
          <wp:inline distT="0" distB="0" distL="0" distR="0" wp14:anchorId="0D826D94" wp14:editId="5FB29105">
            <wp:extent cx="6400800" cy="4272874"/>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images//4482.jpg"/>
                    <pic:cNvPicPr>
                      <a:picLocks noChangeAspect="1" noChangeArrowheads="1"/>
                    </pic:cNvPicPr>
                  </pic:nvPicPr>
                  <pic:blipFill>
                    <a:blip r:embed="rId38"/>
                    <a:stretch>
                      <a:fillRect/>
                    </a:stretch>
                  </pic:blipFill>
                  <pic:spPr bwMode="auto">
                    <a:xfrm>
                      <a:off x="0" y="0"/>
                      <a:ext cx="6400800" cy="4272874"/>
                    </a:xfrm>
                    <a:prstGeom prst="rect">
                      <a:avLst/>
                    </a:prstGeom>
                    <a:noFill/>
                    <a:ln w="9525">
                      <a:noFill/>
                      <a:headEnd/>
                      <a:tailEnd/>
                    </a:ln>
                  </pic:spPr>
                </pic:pic>
              </a:graphicData>
            </a:graphic>
          </wp:inline>
        </w:drawing>
      </w:r>
    </w:p>
    <w:p w14:paraId="0BF85EED" w14:textId="77777777" w:rsidR="00E2099A" w:rsidRDefault="00000000">
      <w:pPr>
        <w:pStyle w:val="Heading1"/>
      </w:pPr>
      <w:bookmarkStart w:id="89" w:name="X6288d8f3af1da9a2daace77249bf95506247b93"/>
      <w:bookmarkStart w:id="90" w:name="_Toc124529442"/>
      <w:bookmarkEnd w:id="59"/>
      <w:bookmarkEnd w:id="75"/>
      <w:bookmarkEnd w:id="87"/>
      <w:r>
        <w:t>5</w:t>
      </w:r>
      <w:r>
        <w:tab/>
        <w:t>Reducing Emission from Land Use and Forestry</w:t>
      </w:r>
      <w:bookmarkEnd w:id="90"/>
    </w:p>
    <w:p w14:paraId="525E6FEE" w14:textId="77777777" w:rsidR="00E2099A" w:rsidRDefault="00000000">
      <w:pPr>
        <w:pStyle w:val="FirstParagraph"/>
      </w:pPr>
      <w:r>
        <w:t>Land use change can release carbon stock stored in land — for example, when urban impervious surfaces like asphalt roads and neighborhoods expand onto lands previously covered by forests or agriculture. This results in net carbon emissions from land. At the same time, significant urban reforestation can result in carbon storage in land, through soil and woody biomass, which can result in net carbon sink (negative emissions).</w:t>
      </w:r>
    </w:p>
    <w:p w14:paraId="0BF8E265" w14:textId="77777777" w:rsidR="00E2099A" w:rsidRDefault="00000000">
      <w:pPr>
        <w:pStyle w:val="Heading2"/>
      </w:pPr>
      <w:bookmarkStart w:id="91" w:name="land-use-and-forestry-baseline"/>
      <w:bookmarkStart w:id="92" w:name="_Toc124529443"/>
      <w:r>
        <w:lastRenderedPageBreak/>
        <w:t>5.1</w:t>
      </w:r>
      <w:r>
        <w:tab/>
        <w:t>Land Use and Forestry Baseline</w:t>
      </w:r>
      <w:bookmarkEnd w:id="92"/>
    </w:p>
    <w:p w14:paraId="6611E381" w14:textId="77777777" w:rsidR="00E2099A" w:rsidRDefault="00000000">
      <w:pPr>
        <w:pStyle w:val="Heading3"/>
      </w:pPr>
      <w:bookmarkStart w:id="93" w:name="land-cover-baseline"/>
      <w:bookmarkStart w:id="94" w:name="_Toc124529444"/>
      <w:r>
        <w:t>5.1.1</w:t>
      </w:r>
      <w:r>
        <w:tab/>
        <w:t>Land Cover Baseline</w:t>
      </w:r>
      <w:bookmarkEnd w:id="94"/>
    </w:p>
    <w:p w14:paraId="5751A926" w14:textId="77777777" w:rsidR="00E2099A" w:rsidRDefault="00000000">
      <w:pPr>
        <w:pStyle w:val="FirstParagraph"/>
      </w:pPr>
      <w:r>
        <w:t xml:space="preserve">A high-resolution land cover map was generated for the Met Council region for the year 2016 using a support vector machine image classification on </w:t>
      </w:r>
      <w:r>
        <w:rPr>
          <w:i/>
          <w:iCs/>
        </w:rPr>
        <w:t>Planet RapidEye 5m imagery</w:t>
      </w:r>
      <w:r>
        <w:t>. This classification was merged with the 2019 edition of the 2016 National Land Cover Database to generate a 12-class land cover map (See (Milnar and Ramaswami 2020) for more details on image classification methodology).</w:t>
      </w:r>
    </w:p>
    <w:p w14:paraId="72D2F61C" w14:textId="77777777" w:rsidR="00E2099A" w:rsidRDefault="00000000">
      <w:pPr>
        <w:pStyle w:val="SourceCode"/>
      </w:pPr>
      <w:r>
        <w:t>#&gt; # A tibble: 12 × 2</w:t>
      </w:r>
      <w:r>
        <w:br/>
        <w:t>#&gt;    land_cover_type hecatares</w:t>
      </w:r>
      <w:r>
        <w:br/>
        <w:t>#&gt;    &lt;chr&gt;               &lt;dbl&gt;</w:t>
      </w:r>
      <w:r>
        <w:br/>
        <w:t xml:space="preserve">#&gt;  1 agriculture        125.  </w:t>
      </w:r>
      <w:r>
        <w:br/>
        <w:t xml:space="preserve">#&gt;  2 barren             305.  </w:t>
      </w:r>
      <w:r>
        <w:br/>
        <w:t xml:space="preserve">#&gt;  3 forest             550.  </w:t>
      </w:r>
      <w:r>
        <w:br/>
        <w:t xml:space="preserve">#&gt;  4 grass             2048.  </w:t>
      </w:r>
      <w:r>
        <w:br/>
        <w:t xml:space="preserve">#&gt;  5 grassland          341.  </w:t>
      </w:r>
      <w:r>
        <w:br/>
        <w:t xml:space="preserve">#&gt;  6 impervious       15714.  </w:t>
      </w:r>
      <w:r>
        <w:br/>
        <w:t xml:space="preserve">#&gt;  7 parking_lot       1821.  </w:t>
      </w:r>
      <w:r>
        <w:br/>
        <w:t>#&gt;  8 shrub                2.32</w:t>
      </w:r>
      <w:r>
        <w:br/>
        <w:t xml:space="preserve">#&gt;  9 trees             6957.  </w:t>
      </w:r>
      <w:r>
        <w:br/>
        <w:t xml:space="preserve">#&gt; 10 water                0   </w:t>
      </w:r>
      <w:r>
        <w:br/>
        <w:t xml:space="preserve">#&gt; 11 wetland             54.0 </w:t>
      </w:r>
      <w:r>
        <w:br/>
        <w:t>#&gt; 12 woody_wetland       39.0</w:t>
      </w:r>
    </w:p>
    <w:p w14:paraId="2238922D" w14:textId="77777777" w:rsidR="00E2099A" w:rsidRDefault="00000000">
      <w:pPr>
        <w:pStyle w:val="Heading3"/>
      </w:pPr>
      <w:bookmarkStart w:id="95" w:name="land-use-baseline"/>
      <w:bookmarkStart w:id="96" w:name="_Toc124529445"/>
      <w:bookmarkEnd w:id="93"/>
      <w:r>
        <w:t>5.1.2</w:t>
      </w:r>
      <w:r>
        <w:tab/>
        <w:t>Land Use Baseline</w:t>
      </w:r>
      <w:bookmarkEnd w:id="96"/>
    </w:p>
    <w:p w14:paraId="6F4C8184" w14:textId="77777777" w:rsidR="00E2099A" w:rsidRDefault="00000000">
      <w:pPr>
        <w:pStyle w:val="Heading2"/>
      </w:pPr>
      <w:bookmarkStart w:id="97" w:name="land-use-and-forestry-forecast"/>
      <w:bookmarkStart w:id="98" w:name="_Toc124529446"/>
      <w:bookmarkEnd w:id="91"/>
      <w:bookmarkEnd w:id="95"/>
      <w:r>
        <w:t>5.2</w:t>
      </w:r>
      <w:r>
        <w:tab/>
        <w:t>Land Use and Forestry Forecast</w:t>
      </w:r>
      <w:bookmarkEnd w:id="98"/>
    </w:p>
    <w:p w14:paraId="6511957E" w14:textId="77777777" w:rsidR="00E2099A" w:rsidRDefault="00000000">
      <w:pPr>
        <w:pStyle w:val="Heading2"/>
      </w:pPr>
      <w:bookmarkStart w:id="99" w:name="land-use-and-forestry-strategies"/>
      <w:bookmarkStart w:id="100" w:name="_Toc124529447"/>
      <w:bookmarkEnd w:id="97"/>
      <w:r>
        <w:t>5.3</w:t>
      </w:r>
      <w:r>
        <w:tab/>
        <w:t>Land Use and Forestry Strategies</w:t>
      </w:r>
      <w:bookmarkEnd w:id="100"/>
    </w:p>
    <w:p w14:paraId="6EA0FC61" w14:textId="77777777" w:rsidR="00E2099A" w:rsidRDefault="00000000">
      <w:pPr>
        <w:pStyle w:val="Heading3"/>
      </w:pPr>
      <w:bookmarkStart w:id="101" w:name="conservation-tillage"/>
      <w:bookmarkStart w:id="102" w:name="_Toc124529448"/>
      <w:r>
        <w:t>5.3.1</w:t>
      </w:r>
      <w:r>
        <w:tab/>
        <w:t>Conservation Tillage</w:t>
      </w:r>
      <w:bookmarkEnd w:id="102"/>
    </w:p>
    <w:p w14:paraId="30FF0DE0" w14:textId="77777777" w:rsidR="00E2099A" w:rsidRDefault="00000000">
      <w:pPr>
        <w:pStyle w:val="FirstParagraph"/>
      </w:pPr>
      <w:r>
        <w:t>Conventional agricultural practices involve annual plowing to loosen soil in preparation for planting. This leaves soil particles exposed to wind and erosion, and over time leads to loss of soil nutrients and organic matter1. It is estimated that cultivated soils have lost 50-70% of their soil carbon stock2. Conservation tillage (such as no-till or reduced-till agriculture) is intended to minimize topsoil disturbance and minimize nutrient and organic matter loss in soil. Uncertainty in GHG impact of conservation tillage is high.</w:t>
      </w:r>
    </w:p>
    <w:p w14:paraId="43C40EEF" w14:textId="77777777" w:rsidR="00E2099A" w:rsidRDefault="00000000">
      <w:pPr>
        <w:pStyle w:val="BodyText"/>
      </w:pPr>
      <w:r>
        <w:t>This practice affects greenhouse gas emissions in two primary ways:</w:t>
      </w:r>
    </w:p>
    <w:p w14:paraId="537DC861" w14:textId="77777777" w:rsidR="00E2099A" w:rsidRDefault="00000000">
      <w:pPr>
        <w:numPr>
          <w:ilvl w:val="0"/>
          <w:numId w:val="15"/>
        </w:numPr>
      </w:pPr>
      <w:r>
        <w:t>Minimized soil disturbance allows for soil to retain a higher amount of organic carbon (to a new equilibrium)</w:t>
      </w:r>
    </w:p>
    <w:p w14:paraId="1B7D1E1D" w14:textId="77777777" w:rsidR="00E2099A" w:rsidRDefault="00000000">
      <w:pPr>
        <w:numPr>
          <w:ilvl w:val="0"/>
          <w:numId w:val="15"/>
        </w:numPr>
      </w:pPr>
      <w:r>
        <w:t>Reduced plowing leads to lower fossil fuel consumption from farm equipment3</w:t>
      </w:r>
    </w:p>
    <w:p w14:paraId="29F8EF17" w14:textId="77777777" w:rsidR="00E2099A" w:rsidRDefault="00000000">
      <w:pPr>
        <w:pStyle w:val="FirstParagraph"/>
      </w:pPr>
      <w:r>
        <w:t>Conservation tillage initiatives in Minnesota have been established by a variety of stakeholders, including state and federal governments, private sector companies, environmental advocacy groups, and academia. As a result, almost half of all MN counties growing corn and soy have at least 25% of planted acres using reduced tillage practices, while about a quarter of MN counties growing corn and soy have at least 25% of planted acres using no-till practices (Crop Residue Management Survey).</w:t>
      </w:r>
    </w:p>
    <w:p w14:paraId="4DF913CE" w14:textId="77777777" w:rsidR="00E2099A" w:rsidRDefault="00000000">
      <w:pPr>
        <w:pStyle w:val="BodyText"/>
      </w:pPr>
      <m:oMathPara>
        <m:oMathParaPr>
          <m:jc m:val="center"/>
        </m:oMathParaPr>
        <m:oMath>
          <m:r>
            <m:rPr>
              <m:nor/>
            </m:rPr>
            <m:t>Conservation Tillage Avoided Emissions</m:t>
          </m:r>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A</m:t>
          </m:r>
        </m:oMath>
      </m:oMathPara>
    </w:p>
    <w:p w14:paraId="6779A67E" w14:textId="77777777" w:rsidR="00E2099A" w:rsidRDefault="00000000">
      <w:pPr>
        <w:numPr>
          <w:ilvl w:val="0"/>
          <w:numId w:val="16"/>
        </w:numPr>
      </w:pPr>
      <m:oMath>
        <m:r>
          <w:rPr>
            <w:rFonts w:ascii="Cambria Math" w:hAnsi="Cambria Math"/>
          </w:rPr>
          <m:t>C</m:t>
        </m:r>
      </m:oMath>
      <w:r>
        <w:t xml:space="preserve"> = Increased Biogenic Carbon Stock (Mg CO2/ha). Baseline soil organic carbon (SOC) stock is 41 Mg C/ha. It has been estimated that SOC content can increase from 1% up to 1.54% under conservation tillage2, thus carbon content can be increased from an average of 41 Mg C/ha to 63 Mg C/ha. This increase was assumed to increase over a period of 20 years. Whether the sequestration is maintained is highly uncertain5.</w:t>
      </w:r>
    </w:p>
    <w:p w14:paraId="40F515C0" w14:textId="77777777" w:rsidR="00E2099A" w:rsidRDefault="00000000">
      <w:pPr>
        <w:numPr>
          <w:ilvl w:val="0"/>
          <w:numId w:val="16"/>
        </w:numPr>
      </w:pPr>
      <m:oMath>
        <m:r>
          <w:rPr>
            <w:rFonts w:ascii="Cambria Math" w:hAnsi="Cambria Math"/>
          </w:rPr>
          <w:lastRenderedPageBreak/>
          <m:t>T</m:t>
        </m:r>
      </m:oMath>
      <w:r>
        <w:t xml:space="preserve"> = Avoided emissions from tractor fossil fuel use (Mg CO2/ha). The Natural Resources Conservation Service estimates no-till agriculture can reduce tractor fuel consumption by 3.2 gallons/acre6. Emissions from reduced fuel use were computed using a wells-to-wheels emissions factor7</w:t>
      </w:r>
    </w:p>
    <w:p w14:paraId="155048C2" w14:textId="77777777" w:rsidR="00E2099A" w:rsidRDefault="00000000">
      <w:pPr>
        <w:numPr>
          <w:ilvl w:val="0"/>
          <w:numId w:val="16"/>
        </w:numPr>
      </w:pPr>
      <m:oMath>
        <m:r>
          <w:rPr>
            <w:rFonts w:ascii="Cambria Math" w:hAnsi="Cambria Math"/>
          </w:rPr>
          <m:t>A</m:t>
        </m:r>
      </m:oMath>
      <w:r>
        <w:t xml:space="preserve"> = Area in Conservation Tillage (ha): The baseline area of no-till agriculture as reported in the 2017 USDA Census of Agriculture and this amount is changed for each scenario.</w:t>
      </w:r>
    </w:p>
    <w:p w14:paraId="4404046E" w14:textId="77777777" w:rsidR="00E2099A" w:rsidRDefault="00000000">
      <w:pPr>
        <w:pStyle w:val="Heading3"/>
      </w:pPr>
      <w:bookmarkStart w:id="103" w:name="urban-tree-planting"/>
      <w:bookmarkStart w:id="104" w:name="_Toc124529449"/>
      <w:bookmarkEnd w:id="101"/>
      <w:r>
        <w:t>5.3.2</w:t>
      </w:r>
      <w:r>
        <w:tab/>
        <w:t>Urban Tree Planting</w:t>
      </w:r>
      <w:bookmarkEnd w:id="104"/>
    </w:p>
    <w:p w14:paraId="692AD483" w14:textId="77777777" w:rsidR="00E2099A" w:rsidRDefault="00000000">
      <w:pPr>
        <w:pStyle w:val="FirstParagraph"/>
      </w:pPr>
      <w:r>
        <w:t>Trees in urban areas have a high density of carbon stored in their canopy and are often the largest reserve of biogenic carbon in an urban ecosystem. Increasing the tree canopy in cities is a way to offset some carbon emissions and can also provide other benefits such as reducing energy costs for cooling and improving subjective wellbeing.</w:t>
      </w:r>
    </w:p>
    <w:p w14:paraId="2B279CA7" w14:textId="77777777" w:rsidR="00E2099A" w:rsidRDefault="00000000">
      <w:pPr>
        <w:pStyle w:val="BodyText"/>
      </w:pPr>
      <w:r>
        <w:t>A mature urban forest can hold as much as 115 Mg carbon per hectare.1 In addition, each year a tree grows, it can also sequester carbon annually (1.27 Mg carbon per hectare per year).1 Both processes are included in the scenario planning model, through which urban reforestation can contribute to a relatively large carbon sink, provided there is sufficient area for reforestation. This will likely be more in suburban communities than in central cities. Furthermore, urban trees grow fast but may also die young.2 Therefore, achieving the potential carbon mitigation from urban reforestation requires careful tree management and accounting for the lifecycle of urban forestry.3</w:t>
      </w:r>
    </w:p>
    <w:p w14:paraId="29B17E33" w14:textId="77777777" w:rsidR="00E2099A" w:rsidRDefault="00000000">
      <w:pPr>
        <w:pStyle w:val="BodyText"/>
      </w:pPr>
      <w:r>
        <w:t>Many commitments to large-scale tree planting have been made both in the United States and internationally, such as the Trillion Trees Initiative, which aims to restore global forests to slow climate change6 Various projects have also been developed to plant large numbers of trees in cities, such as the Los Angeles Million Trees Plan, which found that up to 2.5 million trees could potentially be planted in the city of Los Angeles7. Recently the City of Tucson announced a plan to plant one million trees by 20308.</w:t>
      </w:r>
    </w:p>
    <w:p w14:paraId="1943219A" w14:textId="77777777" w:rsidR="00E2099A" w:rsidRDefault="00000000">
      <w:pPr>
        <w:pStyle w:val="BodyText"/>
      </w:pPr>
      <w:r>
        <w:t>In addition to climate change mitigation through carbon storage in woody biomass, urban trees offer a wide array of benefits, such as reducing buildings’ energy use; reducing urban heat, thereby contributing to climate resilience; and increasing subjective well-being.4 However, there are few empirical models to quantify the building energy use effect; existing data from St. Paul5 suggests the effect may be small compared to the carbon sink effect. Furthermore, several studies have shown socio-economic inequality in tree canopy coverage, making equity a critical consideration in spatial planning of urban reforestation.6</w:t>
      </w:r>
    </w:p>
    <w:p w14:paraId="3F6CD7D4" w14:textId="77777777" w:rsidR="00E2099A" w:rsidRDefault="00000000">
      <w:pPr>
        <w:pStyle w:val="BodyText"/>
      </w:pPr>
      <w:r>
        <w:rPr>
          <w:b/>
          <w:bCs/>
        </w:rPr>
        <w:t>Growing Shade</w:t>
      </w:r>
    </w:p>
    <w:p w14:paraId="4DA0B369" w14:textId="77777777" w:rsidR="00E2099A" w:rsidRDefault="00000000">
      <w:pPr>
        <w:pStyle w:val="BodyText"/>
      </w:pPr>
      <w:r>
        <w:t>The Metropolitan Council, in partnership with the Nature Conservancy and the Tree Trust, has developed an online application called Growing Shade to help communities track and prioritize tree planting in areas with thin tree canopies. The app uses data from multiple sources, such as demographic information about neighborhoods, locations of businesses, schools, and parks, to create a detailed picture of a city at the neighborhood level. Nonprofits, cities, and communities can use the data to identify the best locations to plant trees, which can help to address issues such as high asthma rates, extreme temperatures, and the legacy of racial injustices.</w:t>
      </w:r>
    </w:p>
    <w:p w14:paraId="290FA35B" w14:textId="77777777" w:rsidR="00E2099A" w:rsidRDefault="00000000">
      <w:pPr>
        <w:pStyle w:val="BodyText"/>
      </w:pPr>
      <m:oMathPara>
        <m:oMathParaPr>
          <m:jc m:val="center"/>
        </m:oMathParaPr>
        <m:oMath>
          <m:r>
            <m:rPr>
              <m:nor/>
            </m:rPr>
            <m:t>Sequestered Carbon (in Mg CO_2 e)</m:t>
          </m:r>
          <m:r>
            <m:rPr>
              <m:sty m:val="p"/>
            </m:rPr>
            <w:rPr>
              <w:rFonts w:ascii="Cambria Math" w:hAnsi="Cambria Math"/>
            </w:rPr>
            <m:t>=</m:t>
          </m:r>
          <m:r>
            <w:rPr>
              <w:rFonts w:ascii="Cambria Math" w:hAnsi="Cambria Math"/>
            </w:rPr>
            <m:t>CD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3</m:t>
          </m:r>
        </m:oMath>
      </m:oMathPara>
    </w:p>
    <w:p w14:paraId="57FA963A" w14:textId="77777777" w:rsidR="00E2099A" w:rsidRDefault="00000000">
      <w:pPr>
        <w:numPr>
          <w:ilvl w:val="0"/>
          <w:numId w:val="17"/>
        </w:numPr>
      </w:pPr>
      <m:oMath>
        <m:r>
          <w:rPr>
            <w:rFonts w:ascii="Cambria Math" w:hAnsi="Cambria Math"/>
          </w:rPr>
          <m:t>CD</m:t>
        </m:r>
      </m:oMath>
      <w:r>
        <w:t xml:space="preserve"> = Carbon stock density of urban trees in Mg/ha, a factor of aboveground biomass, (44.1 Mg C/ha, Nowak et al 20134), and belowground biomass to one meter (71 Mg C/ha, Pouyat et al. 20065) for a total stock density of 115.1 Mg C /ha.</w:t>
      </w:r>
    </w:p>
    <w:p w14:paraId="43620371" w14:textId="77777777" w:rsidR="00E2099A" w:rsidRDefault="00000000">
      <w:pPr>
        <w:numPr>
          <w:ilvl w:val="0"/>
          <w:numId w:val="17"/>
        </w:numPr>
      </w:pPr>
      <m:oMath>
        <m:r>
          <w:rPr>
            <w:rFonts w:ascii="Cambria Math" w:hAnsi="Cambria Math"/>
          </w:rPr>
          <m:t>A</m:t>
        </m:r>
      </m:oMath>
      <w:r>
        <w:t xml:space="preserve"> = Increased area of tree canopy under tree planting scenarios, in hectares.</w:t>
      </w:r>
    </w:p>
    <w:p w14:paraId="222ACDC2" w14:textId="77777777" w:rsidR="00E2099A" w:rsidRDefault="00000000">
      <w:pPr>
        <w:numPr>
          <w:ilvl w:val="0"/>
          <w:numId w:val="17"/>
        </w:numPr>
      </w:pPr>
      <m:oMath>
        <m:r>
          <w:rPr>
            <w:rFonts w:ascii="Cambria Math" w:hAnsi="Cambria Math"/>
          </w:rPr>
          <m:t>11</m:t>
        </m:r>
        <m:r>
          <m:rPr>
            <m:sty m:val="p"/>
          </m:rPr>
          <w:rPr>
            <w:rFonts w:ascii="Cambria Math" w:hAnsi="Cambria Math"/>
          </w:rPr>
          <m:t>/</m:t>
        </m:r>
        <m:r>
          <w:rPr>
            <w:rFonts w:ascii="Cambria Math" w:hAnsi="Cambria Math"/>
          </w:rPr>
          <m:t>3</m:t>
        </m:r>
      </m:oMath>
      <w:r>
        <w:t xml:space="preserve"> = factor to convert Mg C to Mg CO2</w:t>
      </w:r>
    </w:p>
    <w:p w14:paraId="5F245ECC" w14:textId="77777777" w:rsidR="00E2099A" w:rsidRDefault="00000000">
      <w:pPr>
        <w:pStyle w:val="Heading3"/>
      </w:pPr>
      <w:bookmarkStart w:id="105" w:name="reduced-parking-area"/>
      <w:bookmarkStart w:id="106" w:name="_Toc124529450"/>
      <w:bookmarkEnd w:id="103"/>
      <w:r>
        <w:lastRenderedPageBreak/>
        <w:t>5.3.3</w:t>
      </w:r>
      <w:r>
        <w:tab/>
        <w:t>Reduced Parking Area</w:t>
      </w:r>
      <w:bookmarkEnd w:id="106"/>
    </w:p>
    <w:p w14:paraId="1155915A" w14:textId="77777777" w:rsidR="00E2099A" w:rsidRDefault="00000000">
      <w:pPr>
        <w:pStyle w:val="Heading1"/>
      </w:pPr>
      <w:bookmarkStart w:id="107" w:name="conclusion"/>
      <w:bookmarkStart w:id="108" w:name="_Toc124529451"/>
      <w:bookmarkEnd w:id="89"/>
      <w:bookmarkEnd w:id="99"/>
      <w:bookmarkEnd w:id="105"/>
      <w:r>
        <w:t>6</w:t>
      </w:r>
      <w:r>
        <w:tab/>
        <w:t>Conclusion</w:t>
      </w:r>
      <w:bookmarkEnd w:id="108"/>
    </w:p>
    <w:p w14:paraId="1AB5E9FD" w14:textId="77777777" w:rsidR="00E2099A" w:rsidRDefault="00000000">
      <w:pPr>
        <w:pStyle w:val="Heading2"/>
      </w:pPr>
      <w:bookmarkStart w:id="109" w:name="glossary"/>
      <w:bookmarkStart w:id="110" w:name="_Toc124529452"/>
      <w:r>
        <w:t>6.1</w:t>
      </w:r>
      <w:r>
        <w:tab/>
        <w:t>Glossary</w:t>
      </w:r>
      <w:bookmarkEnd w:id="110"/>
    </w:p>
    <w:p w14:paraId="4FDE3C8A" w14:textId="77777777" w:rsidR="00E2099A" w:rsidRDefault="00000000">
      <w:pPr>
        <w:pStyle w:val="Heading1"/>
      </w:pPr>
      <w:bookmarkStart w:id="111" w:name="appendix"/>
      <w:bookmarkStart w:id="112" w:name="_Toc124529453"/>
      <w:bookmarkEnd w:id="107"/>
      <w:bookmarkEnd w:id="109"/>
      <w:r>
        <w:t>Appendix</w:t>
      </w:r>
      <w:bookmarkEnd w:id="112"/>
    </w:p>
    <w:p w14:paraId="1BC56BBA" w14:textId="77777777" w:rsidR="00E2099A" w:rsidRDefault="00000000">
      <w:pPr>
        <w:pStyle w:val="Heading1"/>
      </w:pPr>
      <w:bookmarkStart w:id="113" w:name="transportation"/>
      <w:bookmarkStart w:id="114" w:name="_Toc124529454"/>
      <w:bookmarkEnd w:id="111"/>
      <w:r>
        <w:t>7</w:t>
      </w:r>
      <w:r>
        <w:tab/>
        <w:t>Transportation</w:t>
      </w:r>
      <w:bookmarkEnd w:id="114"/>
    </w:p>
    <w:p w14:paraId="7FC28021" w14:textId="77777777" w:rsidR="00E2099A" w:rsidRDefault="00000000">
      <w:pPr>
        <w:pStyle w:val="Heading2"/>
      </w:pPr>
      <w:bookmarkStart w:id="115" w:name="data-sources"/>
      <w:bookmarkStart w:id="116" w:name="_Toc124529455"/>
      <w:r>
        <w:t>7.1</w:t>
      </w:r>
      <w:r>
        <w:tab/>
        <w:t>Data sources</w:t>
      </w:r>
      <w:bookmarkEnd w:id="116"/>
    </w:p>
    <w:p w14:paraId="63BA6FB7" w14:textId="77777777" w:rsidR="00E2099A" w:rsidRDefault="00000000">
      <w:pPr>
        <w:pStyle w:val="FirstParagraph"/>
      </w:pPr>
      <w:r>
        <w:t>The transportation module is built on a series of business-as-usual forecasts for inputs including passenger miles traveled, vehicle miles traveled, existing vehicle stocks, new vehicle sales, average vehicle occupancy, fuel economy, and population.</w:t>
      </w:r>
    </w:p>
    <w:p w14:paraId="025CB7E5" w14:textId="77777777" w:rsidR="00E2099A" w:rsidRDefault="00000000">
      <w:pPr>
        <w:pStyle w:val="BodyText"/>
      </w:pPr>
      <w:r>
        <w:t>These measures are used to forecast vehicle miles traveled and vehicle emissions. The scenario planning tool then applies selected intervention elasticities and proportional effects to estimate potential emission reductions.</w:t>
      </w:r>
    </w:p>
    <w:tbl>
      <w:tblPr>
        <w:tblW w:w="5000" w:type="pct"/>
        <w:jc w:val="center"/>
        <w:tblCellMar>
          <w:left w:w="60" w:type="dxa"/>
          <w:right w:w="60" w:type="dxa"/>
        </w:tblCellMar>
        <w:tblLook w:val="0000" w:firstRow="0" w:lastRow="0" w:firstColumn="0" w:lastColumn="0" w:noHBand="0" w:noVBand="0"/>
      </w:tblPr>
      <w:tblGrid>
        <w:gridCol w:w="5448"/>
        <w:gridCol w:w="4632"/>
      </w:tblGrid>
      <w:tr w:rsidR="00E2099A" w14:paraId="31FA33EF" w14:textId="77777777">
        <w:trPr>
          <w:cantSplit/>
          <w:tblHeader/>
          <w:jc w:val="center"/>
        </w:trPr>
        <w:tc>
          <w:tcPr>
            <w:tcW w:w="0" w:type="auto"/>
            <w:tcBorders>
              <w:top w:val="single" w:sz="16" w:space="0" w:color="D3D3D3"/>
              <w:left w:val="single" w:sz="0" w:space="0" w:color="D3D3D3"/>
              <w:bottom w:val="single" w:sz="16" w:space="0" w:color="D3D3D3"/>
            </w:tcBorders>
          </w:tcPr>
          <w:p w14:paraId="3A077BB2" w14:textId="77777777" w:rsidR="00E2099A" w:rsidRDefault="00000000">
            <w:pPr>
              <w:keepNext/>
              <w:spacing w:after="60"/>
            </w:pPr>
            <w:r>
              <w:rPr>
                <w:rFonts w:ascii="Calibri" w:hAnsi="Calibri"/>
                <w:sz w:val="20"/>
              </w:rPr>
              <w:lastRenderedPageBreak/>
              <w:t>Measure</w:t>
            </w:r>
          </w:p>
        </w:tc>
        <w:tc>
          <w:tcPr>
            <w:tcW w:w="0" w:type="auto"/>
            <w:tcBorders>
              <w:top w:val="single" w:sz="16" w:space="0" w:color="D3D3D3"/>
              <w:bottom w:val="single" w:sz="16" w:space="0" w:color="D3D3D3"/>
              <w:right w:val="single" w:sz="0" w:space="0" w:color="D3D3D3"/>
            </w:tcBorders>
          </w:tcPr>
          <w:p w14:paraId="4C213BA6" w14:textId="77777777" w:rsidR="00E2099A" w:rsidRDefault="00000000">
            <w:pPr>
              <w:keepNext/>
              <w:spacing w:after="60"/>
            </w:pPr>
            <w:r>
              <w:rPr>
                <w:rFonts w:ascii="Calibri" w:hAnsi="Calibri"/>
                <w:sz w:val="20"/>
              </w:rPr>
              <w:t>Source</w:t>
            </w:r>
          </w:p>
        </w:tc>
      </w:tr>
      <w:tr w:rsidR="00E2099A" w14:paraId="36D5BC2E"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66A72F7D" w14:textId="77777777" w:rsidR="00E2099A" w:rsidRDefault="00000000">
            <w:pPr>
              <w:keepNext/>
              <w:spacing w:after="60"/>
            </w:pPr>
            <w:r>
              <w:rPr>
                <w:rFonts w:ascii="Calibri" w:hAnsi="Calibri"/>
                <w:sz w:val="20"/>
              </w:rPr>
              <w:t>Passenger light duty vehicle</w:t>
            </w:r>
          </w:p>
        </w:tc>
      </w:tr>
      <w:tr w:rsidR="00E2099A" w14:paraId="6DD6DAC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A10E85" w14:textId="77777777" w:rsidR="00E2099A" w:rsidRDefault="00000000">
            <w:pPr>
              <w:keepNext/>
              <w:spacing w:after="60"/>
            </w:pPr>
            <w:r>
              <w:rPr>
                <w:rFonts w:ascii="Calibri" w:hAnsi="Calibri"/>
                <w:sz w:val="20"/>
              </w:rPr>
              <w:t>Total stock of vehicles</w:t>
            </w:r>
          </w:p>
        </w:tc>
        <w:tc>
          <w:tcPr>
            <w:tcW w:w="0" w:type="auto"/>
            <w:tcBorders>
              <w:top w:val="single" w:sz="0" w:space="0" w:color="D3D3D3"/>
              <w:left w:val="single" w:sz="0" w:space="0" w:color="D3D3D3"/>
              <w:bottom w:val="single" w:sz="0" w:space="0" w:color="D3D3D3"/>
              <w:right w:val="single" w:sz="0" w:space="0" w:color="D3D3D3"/>
            </w:tcBorders>
          </w:tcPr>
          <w:p w14:paraId="7DB6EE09" w14:textId="77777777" w:rsidR="00E2099A" w:rsidRDefault="00000000">
            <w:pPr>
              <w:keepNext/>
              <w:spacing w:after="60"/>
            </w:pPr>
            <w:r>
              <w:rPr>
                <w:rFonts w:ascii="Calibri" w:hAnsi="Calibri"/>
                <w:sz w:val="20"/>
              </w:rPr>
              <w:t>MA3T; 2019 Travel Behavior Inventory</w:t>
            </w:r>
          </w:p>
        </w:tc>
      </w:tr>
      <w:tr w:rsidR="00E2099A" w14:paraId="48C3D33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943340" w14:textId="77777777" w:rsidR="00E2099A" w:rsidRDefault="00000000">
            <w:pPr>
              <w:keepNext/>
              <w:spacing w:after="60"/>
            </w:pPr>
            <w:r>
              <w:rPr>
                <w:rFonts w:ascii="Calibri" w:hAnsi="Calibri"/>
                <w:sz w:val="20"/>
              </w:rPr>
              <w:t>Spark ignition (gasoline) stock</w:t>
            </w:r>
          </w:p>
        </w:tc>
        <w:tc>
          <w:tcPr>
            <w:tcW w:w="0" w:type="auto"/>
            <w:tcBorders>
              <w:top w:val="single" w:sz="0" w:space="0" w:color="D3D3D3"/>
              <w:left w:val="single" w:sz="0" w:space="0" w:color="D3D3D3"/>
              <w:bottom w:val="single" w:sz="0" w:space="0" w:color="D3D3D3"/>
              <w:right w:val="single" w:sz="0" w:space="0" w:color="D3D3D3"/>
            </w:tcBorders>
          </w:tcPr>
          <w:p w14:paraId="5E7EFD2F" w14:textId="77777777" w:rsidR="00E2099A" w:rsidRDefault="00000000">
            <w:pPr>
              <w:keepNext/>
              <w:spacing w:after="60"/>
            </w:pPr>
            <w:r>
              <w:rPr>
                <w:rFonts w:ascii="Calibri" w:hAnsi="Calibri"/>
                <w:sz w:val="20"/>
              </w:rPr>
              <w:t>MA3T; 2019 Travel Behavior Inventory</w:t>
            </w:r>
          </w:p>
        </w:tc>
      </w:tr>
      <w:tr w:rsidR="00E2099A" w14:paraId="54E74F9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8B7280" w14:textId="77777777" w:rsidR="00E2099A" w:rsidRDefault="00000000">
            <w:pPr>
              <w:keepNext/>
              <w:spacing w:after="60"/>
            </w:pPr>
            <w:r>
              <w:rPr>
                <w:rFonts w:ascii="Calibri" w:hAnsi="Calibri"/>
                <w:sz w:val="20"/>
              </w:rPr>
              <w:t>Compression ignition (diesel) stock</w:t>
            </w:r>
          </w:p>
        </w:tc>
        <w:tc>
          <w:tcPr>
            <w:tcW w:w="0" w:type="auto"/>
            <w:tcBorders>
              <w:top w:val="single" w:sz="0" w:space="0" w:color="D3D3D3"/>
              <w:left w:val="single" w:sz="0" w:space="0" w:color="D3D3D3"/>
              <w:bottom w:val="single" w:sz="0" w:space="0" w:color="D3D3D3"/>
              <w:right w:val="single" w:sz="0" w:space="0" w:color="D3D3D3"/>
            </w:tcBorders>
          </w:tcPr>
          <w:p w14:paraId="4FB459D6" w14:textId="77777777" w:rsidR="00E2099A" w:rsidRDefault="00000000">
            <w:pPr>
              <w:keepNext/>
              <w:spacing w:after="60"/>
            </w:pPr>
            <w:r>
              <w:rPr>
                <w:rFonts w:ascii="Calibri" w:hAnsi="Calibri"/>
                <w:sz w:val="20"/>
              </w:rPr>
              <w:t>MA3T; 2019 Travel Behavior Inventory</w:t>
            </w:r>
          </w:p>
        </w:tc>
      </w:tr>
      <w:tr w:rsidR="00E2099A" w14:paraId="73938F1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E44BEF" w14:textId="77777777" w:rsidR="00E2099A" w:rsidRDefault="00000000">
            <w:pPr>
              <w:keepNext/>
              <w:spacing w:after="60"/>
            </w:pPr>
            <w:r>
              <w:rPr>
                <w:rFonts w:ascii="Calibri" w:hAnsi="Calibri"/>
                <w:sz w:val="20"/>
              </w:rPr>
              <w:t>Hybrid electric vehicle stock</w:t>
            </w:r>
          </w:p>
        </w:tc>
        <w:tc>
          <w:tcPr>
            <w:tcW w:w="0" w:type="auto"/>
            <w:tcBorders>
              <w:top w:val="single" w:sz="0" w:space="0" w:color="D3D3D3"/>
              <w:left w:val="single" w:sz="0" w:space="0" w:color="D3D3D3"/>
              <w:bottom w:val="single" w:sz="0" w:space="0" w:color="D3D3D3"/>
              <w:right w:val="single" w:sz="0" w:space="0" w:color="D3D3D3"/>
            </w:tcBorders>
          </w:tcPr>
          <w:p w14:paraId="7941FCFE" w14:textId="77777777" w:rsidR="00E2099A" w:rsidRDefault="00000000">
            <w:pPr>
              <w:keepNext/>
              <w:spacing w:after="60"/>
            </w:pPr>
            <w:r>
              <w:rPr>
                <w:rFonts w:ascii="Calibri" w:hAnsi="Calibri"/>
                <w:sz w:val="20"/>
              </w:rPr>
              <w:t>MA3T; 2019 Travel Behavior Inventory</w:t>
            </w:r>
          </w:p>
        </w:tc>
      </w:tr>
      <w:tr w:rsidR="00E2099A" w14:paraId="4C8365A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E43D23" w14:textId="77777777" w:rsidR="00E2099A" w:rsidRDefault="00000000">
            <w:pPr>
              <w:keepNext/>
              <w:spacing w:after="60"/>
            </w:pPr>
            <w:r>
              <w:rPr>
                <w:rFonts w:ascii="Calibri" w:hAnsi="Calibri"/>
                <w:sz w:val="20"/>
              </w:rPr>
              <w:t>Plug-in hybrid electric vehicle stock</w:t>
            </w:r>
          </w:p>
        </w:tc>
        <w:tc>
          <w:tcPr>
            <w:tcW w:w="0" w:type="auto"/>
            <w:tcBorders>
              <w:top w:val="single" w:sz="0" w:space="0" w:color="D3D3D3"/>
              <w:left w:val="single" w:sz="0" w:space="0" w:color="D3D3D3"/>
              <w:bottom w:val="single" w:sz="0" w:space="0" w:color="D3D3D3"/>
              <w:right w:val="single" w:sz="0" w:space="0" w:color="D3D3D3"/>
            </w:tcBorders>
          </w:tcPr>
          <w:p w14:paraId="150A7050" w14:textId="77777777" w:rsidR="00E2099A" w:rsidRDefault="00000000">
            <w:pPr>
              <w:keepNext/>
              <w:spacing w:after="60"/>
            </w:pPr>
            <w:r>
              <w:rPr>
                <w:rFonts w:ascii="Calibri" w:hAnsi="Calibri"/>
                <w:sz w:val="20"/>
              </w:rPr>
              <w:t>MA3T; 2019 Travel Behavior Inventory</w:t>
            </w:r>
          </w:p>
        </w:tc>
      </w:tr>
      <w:tr w:rsidR="00E2099A" w14:paraId="622D3C1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DED702" w14:textId="77777777" w:rsidR="00E2099A" w:rsidRDefault="00000000">
            <w:pPr>
              <w:keepNext/>
              <w:spacing w:after="60"/>
            </w:pPr>
            <w:r>
              <w:rPr>
                <w:rFonts w:ascii="Calibri" w:hAnsi="Calibri"/>
                <w:sz w:val="20"/>
              </w:rPr>
              <w:t>Battery electric vehicle stock</w:t>
            </w:r>
          </w:p>
        </w:tc>
        <w:tc>
          <w:tcPr>
            <w:tcW w:w="0" w:type="auto"/>
            <w:tcBorders>
              <w:top w:val="single" w:sz="0" w:space="0" w:color="D3D3D3"/>
              <w:left w:val="single" w:sz="0" w:space="0" w:color="D3D3D3"/>
              <w:bottom w:val="single" w:sz="0" w:space="0" w:color="D3D3D3"/>
              <w:right w:val="single" w:sz="0" w:space="0" w:color="D3D3D3"/>
            </w:tcBorders>
          </w:tcPr>
          <w:p w14:paraId="6AEB5BCA" w14:textId="77777777" w:rsidR="00E2099A" w:rsidRDefault="00000000">
            <w:pPr>
              <w:keepNext/>
              <w:spacing w:after="60"/>
            </w:pPr>
            <w:r>
              <w:rPr>
                <w:rFonts w:ascii="Calibri" w:hAnsi="Calibri"/>
                <w:sz w:val="20"/>
              </w:rPr>
              <w:t>MA3T; 2019 Travel Behavior Inventory</w:t>
            </w:r>
          </w:p>
        </w:tc>
      </w:tr>
      <w:tr w:rsidR="00E2099A" w14:paraId="344CA06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66DA73" w14:textId="77777777" w:rsidR="00E2099A" w:rsidRDefault="00000000">
            <w:pPr>
              <w:keepNext/>
              <w:spacing w:after="60"/>
            </w:pPr>
            <w:r>
              <w:rPr>
                <w:rFonts w:ascii="Calibri" w:hAnsi="Calibri"/>
                <w:sz w:val="20"/>
              </w:rPr>
              <w:t>Proportion of plug-in hybrid electric vehicle miles traveled operated in electric mode</w:t>
            </w:r>
          </w:p>
        </w:tc>
        <w:tc>
          <w:tcPr>
            <w:tcW w:w="0" w:type="auto"/>
            <w:tcBorders>
              <w:top w:val="single" w:sz="0" w:space="0" w:color="D3D3D3"/>
              <w:left w:val="single" w:sz="0" w:space="0" w:color="D3D3D3"/>
              <w:bottom w:val="single" w:sz="0" w:space="0" w:color="D3D3D3"/>
              <w:right w:val="single" w:sz="0" w:space="0" w:color="D3D3D3"/>
            </w:tcBorders>
          </w:tcPr>
          <w:p w14:paraId="10D77267" w14:textId="77777777" w:rsidR="00E2099A" w:rsidRDefault="00000000">
            <w:pPr>
              <w:keepNext/>
              <w:spacing w:after="60"/>
            </w:pPr>
            <w:r>
              <w:rPr>
                <w:rFonts w:ascii="Calibri" w:hAnsi="Calibri"/>
                <w:sz w:val="20"/>
              </w:rPr>
              <w:t>EV vehicle range; 2019 Travel Behavior Inventory</w:t>
            </w:r>
          </w:p>
        </w:tc>
      </w:tr>
      <w:tr w:rsidR="00E2099A" w14:paraId="5FFF58D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B15D3C" w14:textId="77777777" w:rsidR="00E2099A" w:rsidRDefault="00000000">
            <w:pPr>
              <w:keepNext/>
              <w:spacing w:after="60"/>
            </w:pPr>
            <w:r>
              <w:rPr>
                <w:rFonts w:ascii="Calibri" w:hAnsi="Calibri"/>
                <w:sz w:val="20"/>
              </w:rPr>
              <w:t>Total existing vehicles</w:t>
            </w:r>
          </w:p>
        </w:tc>
        <w:tc>
          <w:tcPr>
            <w:tcW w:w="0" w:type="auto"/>
            <w:tcBorders>
              <w:top w:val="single" w:sz="0" w:space="0" w:color="D3D3D3"/>
              <w:left w:val="single" w:sz="0" w:space="0" w:color="D3D3D3"/>
              <w:bottom w:val="single" w:sz="0" w:space="0" w:color="D3D3D3"/>
              <w:right w:val="single" w:sz="0" w:space="0" w:color="D3D3D3"/>
            </w:tcBorders>
          </w:tcPr>
          <w:p w14:paraId="0152C940" w14:textId="77777777" w:rsidR="00E2099A" w:rsidRDefault="00000000">
            <w:pPr>
              <w:keepNext/>
              <w:spacing w:after="60"/>
            </w:pPr>
            <w:r>
              <w:rPr>
                <w:rFonts w:ascii="Calibri" w:hAnsi="Calibri"/>
                <w:sz w:val="20"/>
              </w:rPr>
              <w:t>MA3T; 2019 Travel Behavior Inventory</w:t>
            </w:r>
          </w:p>
        </w:tc>
      </w:tr>
      <w:tr w:rsidR="00E2099A" w14:paraId="2ED71F2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011477" w14:textId="77777777" w:rsidR="00E2099A" w:rsidRDefault="00000000">
            <w:pPr>
              <w:keepNext/>
              <w:spacing w:after="60"/>
            </w:pPr>
            <w:r>
              <w:rPr>
                <w:rFonts w:ascii="Calibri" w:hAnsi="Calibri"/>
                <w:sz w:val="20"/>
              </w:rPr>
              <w:t>Existing gasoline vehicles</w:t>
            </w:r>
          </w:p>
        </w:tc>
        <w:tc>
          <w:tcPr>
            <w:tcW w:w="0" w:type="auto"/>
            <w:tcBorders>
              <w:top w:val="single" w:sz="0" w:space="0" w:color="D3D3D3"/>
              <w:left w:val="single" w:sz="0" w:space="0" w:color="D3D3D3"/>
              <w:bottom w:val="single" w:sz="0" w:space="0" w:color="D3D3D3"/>
              <w:right w:val="single" w:sz="0" w:space="0" w:color="D3D3D3"/>
            </w:tcBorders>
          </w:tcPr>
          <w:p w14:paraId="5E7AFA09" w14:textId="77777777" w:rsidR="00E2099A" w:rsidRDefault="00000000">
            <w:pPr>
              <w:keepNext/>
              <w:spacing w:after="60"/>
            </w:pPr>
            <w:r>
              <w:rPr>
                <w:rFonts w:ascii="Calibri" w:hAnsi="Calibri"/>
                <w:sz w:val="20"/>
              </w:rPr>
              <w:t>MA3T; 2019 Travel Behavior Inventory</w:t>
            </w:r>
          </w:p>
        </w:tc>
      </w:tr>
      <w:tr w:rsidR="00E2099A" w14:paraId="3E2F3BB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D427D7" w14:textId="77777777" w:rsidR="00E2099A" w:rsidRDefault="00000000">
            <w:pPr>
              <w:keepNext/>
              <w:spacing w:after="60"/>
            </w:pPr>
            <w:r>
              <w:rPr>
                <w:rFonts w:ascii="Calibri" w:hAnsi="Calibri"/>
                <w:sz w:val="20"/>
              </w:rPr>
              <w:t>Existing diesel vehicles</w:t>
            </w:r>
          </w:p>
        </w:tc>
        <w:tc>
          <w:tcPr>
            <w:tcW w:w="0" w:type="auto"/>
            <w:tcBorders>
              <w:top w:val="single" w:sz="0" w:space="0" w:color="D3D3D3"/>
              <w:left w:val="single" w:sz="0" w:space="0" w:color="D3D3D3"/>
              <w:bottom w:val="single" w:sz="0" w:space="0" w:color="D3D3D3"/>
              <w:right w:val="single" w:sz="0" w:space="0" w:color="D3D3D3"/>
            </w:tcBorders>
          </w:tcPr>
          <w:p w14:paraId="1F092DD0" w14:textId="77777777" w:rsidR="00E2099A" w:rsidRDefault="00000000">
            <w:pPr>
              <w:keepNext/>
              <w:spacing w:after="60"/>
            </w:pPr>
            <w:r>
              <w:rPr>
                <w:rFonts w:ascii="Calibri" w:hAnsi="Calibri"/>
                <w:sz w:val="20"/>
              </w:rPr>
              <w:t>MA3T; 2019 Travel Behavior Inventory</w:t>
            </w:r>
          </w:p>
        </w:tc>
      </w:tr>
      <w:tr w:rsidR="00E2099A" w14:paraId="3ABA7DB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1282F8" w14:textId="77777777" w:rsidR="00E2099A" w:rsidRDefault="00000000">
            <w:pPr>
              <w:keepNext/>
              <w:spacing w:after="60"/>
            </w:pPr>
            <w:r>
              <w:rPr>
                <w:rFonts w:ascii="Calibri" w:hAnsi="Calibri"/>
                <w:sz w:val="20"/>
              </w:rPr>
              <w:t>Existing hybrid electric vehicles</w:t>
            </w:r>
          </w:p>
        </w:tc>
        <w:tc>
          <w:tcPr>
            <w:tcW w:w="0" w:type="auto"/>
            <w:tcBorders>
              <w:top w:val="single" w:sz="0" w:space="0" w:color="D3D3D3"/>
              <w:left w:val="single" w:sz="0" w:space="0" w:color="D3D3D3"/>
              <w:bottom w:val="single" w:sz="0" w:space="0" w:color="D3D3D3"/>
              <w:right w:val="single" w:sz="0" w:space="0" w:color="D3D3D3"/>
            </w:tcBorders>
          </w:tcPr>
          <w:p w14:paraId="2237335F" w14:textId="77777777" w:rsidR="00E2099A" w:rsidRDefault="00000000">
            <w:pPr>
              <w:keepNext/>
              <w:spacing w:after="60"/>
            </w:pPr>
            <w:r>
              <w:rPr>
                <w:rFonts w:ascii="Calibri" w:hAnsi="Calibri"/>
                <w:sz w:val="20"/>
              </w:rPr>
              <w:t>MA3T; 2019 Travel Behavior Inventory</w:t>
            </w:r>
          </w:p>
        </w:tc>
      </w:tr>
      <w:tr w:rsidR="00E2099A" w14:paraId="402268C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764DF2" w14:textId="77777777" w:rsidR="00E2099A" w:rsidRDefault="00000000">
            <w:pPr>
              <w:keepNext/>
              <w:spacing w:after="60"/>
            </w:pPr>
            <w:r>
              <w:rPr>
                <w:rFonts w:ascii="Calibri" w:hAnsi="Calibri"/>
                <w:sz w:val="20"/>
              </w:rPr>
              <w:t>Existing plug-in hybrid electric vehicles</w:t>
            </w:r>
          </w:p>
        </w:tc>
        <w:tc>
          <w:tcPr>
            <w:tcW w:w="0" w:type="auto"/>
            <w:tcBorders>
              <w:top w:val="single" w:sz="0" w:space="0" w:color="D3D3D3"/>
              <w:left w:val="single" w:sz="0" w:space="0" w:color="D3D3D3"/>
              <w:bottom w:val="single" w:sz="0" w:space="0" w:color="D3D3D3"/>
              <w:right w:val="single" w:sz="0" w:space="0" w:color="D3D3D3"/>
            </w:tcBorders>
          </w:tcPr>
          <w:p w14:paraId="1898FCAE" w14:textId="77777777" w:rsidR="00E2099A" w:rsidRDefault="00000000">
            <w:pPr>
              <w:keepNext/>
              <w:spacing w:after="60"/>
            </w:pPr>
            <w:r>
              <w:rPr>
                <w:rFonts w:ascii="Calibri" w:hAnsi="Calibri"/>
                <w:sz w:val="20"/>
              </w:rPr>
              <w:t>MA3T; 2019 Travel Behavior Inventory</w:t>
            </w:r>
          </w:p>
        </w:tc>
      </w:tr>
      <w:tr w:rsidR="00E2099A" w14:paraId="1B72C4D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1AF576" w14:textId="77777777" w:rsidR="00E2099A" w:rsidRDefault="00000000">
            <w:pPr>
              <w:keepNext/>
              <w:spacing w:after="60"/>
            </w:pPr>
            <w:r>
              <w:rPr>
                <w:rFonts w:ascii="Calibri" w:hAnsi="Calibri"/>
                <w:sz w:val="20"/>
              </w:rPr>
              <w:t>Existing battery electric vehicles</w:t>
            </w:r>
          </w:p>
        </w:tc>
        <w:tc>
          <w:tcPr>
            <w:tcW w:w="0" w:type="auto"/>
            <w:tcBorders>
              <w:top w:val="single" w:sz="0" w:space="0" w:color="D3D3D3"/>
              <w:left w:val="single" w:sz="0" w:space="0" w:color="D3D3D3"/>
              <w:bottom w:val="single" w:sz="0" w:space="0" w:color="D3D3D3"/>
              <w:right w:val="single" w:sz="0" w:space="0" w:color="D3D3D3"/>
            </w:tcBorders>
          </w:tcPr>
          <w:p w14:paraId="3C476ECF" w14:textId="77777777" w:rsidR="00E2099A" w:rsidRDefault="00000000">
            <w:pPr>
              <w:keepNext/>
              <w:spacing w:after="60"/>
            </w:pPr>
            <w:r>
              <w:rPr>
                <w:rFonts w:ascii="Calibri" w:hAnsi="Calibri"/>
                <w:sz w:val="20"/>
              </w:rPr>
              <w:t>MA3T; 2019 Travel Behavior Inventory</w:t>
            </w:r>
          </w:p>
        </w:tc>
      </w:tr>
      <w:tr w:rsidR="00E2099A" w14:paraId="1B26856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F6E53F" w14:textId="77777777" w:rsidR="00E2099A" w:rsidRDefault="00000000">
            <w:pPr>
              <w:keepNext/>
              <w:spacing w:after="60"/>
            </w:pPr>
            <w:r>
              <w:rPr>
                <w:rFonts w:ascii="Calibri" w:hAnsi="Calibri"/>
                <w:sz w:val="20"/>
              </w:rPr>
              <w:t>Total vehicle sales</w:t>
            </w:r>
          </w:p>
        </w:tc>
        <w:tc>
          <w:tcPr>
            <w:tcW w:w="0" w:type="auto"/>
            <w:tcBorders>
              <w:top w:val="single" w:sz="0" w:space="0" w:color="D3D3D3"/>
              <w:left w:val="single" w:sz="0" w:space="0" w:color="D3D3D3"/>
              <w:bottom w:val="single" w:sz="0" w:space="0" w:color="D3D3D3"/>
              <w:right w:val="single" w:sz="0" w:space="0" w:color="D3D3D3"/>
            </w:tcBorders>
          </w:tcPr>
          <w:p w14:paraId="46C553A4" w14:textId="77777777" w:rsidR="00E2099A" w:rsidRDefault="00000000">
            <w:pPr>
              <w:keepNext/>
              <w:spacing w:after="60"/>
            </w:pPr>
            <w:r>
              <w:rPr>
                <w:rFonts w:ascii="Calibri" w:hAnsi="Calibri"/>
                <w:sz w:val="20"/>
              </w:rPr>
              <w:t>MA3T; 2019 Travel Behavior Inventory</w:t>
            </w:r>
          </w:p>
        </w:tc>
      </w:tr>
      <w:tr w:rsidR="00E2099A" w14:paraId="4674112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D9B869" w14:textId="77777777" w:rsidR="00E2099A" w:rsidRDefault="00000000">
            <w:pPr>
              <w:keepNext/>
              <w:spacing w:after="60"/>
            </w:pPr>
            <w:r>
              <w:rPr>
                <w:rFonts w:ascii="Calibri" w:hAnsi="Calibri"/>
                <w:sz w:val="20"/>
              </w:rPr>
              <w:t>Total gasoline vehicle sales</w:t>
            </w:r>
          </w:p>
        </w:tc>
        <w:tc>
          <w:tcPr>
            <w:tcW w:w="0" w:type="auto"/>
            <w:tcBorders>
              <w:top w:val="single" w:sz="0" w:space="0" w:color="D3D3D3"/>
              <w:left w:val="single" w:sz="0" w:space="0" w:color="D3D3D3"/>
              <w:bottom w:val="single" w:sz="0" w:space="0" w:color="D3D3D3"/>
              <w:right w:val="single" w:sz="0" w:space="0" w:color="D3D3D3"/>
            </w:tcBorders>
          </w:tcPr>
          <w:p w14:paraId="4E8459C1" w14:textId="77777777" w:rsidR="00E2099A" w:rsidRDefault="00000000">
            <w:pPr>
              <w:keepNext/>
              <w:spacing w:after="60"/>
            </w:pPr>
            <w:r>
              <w:rPr>
                <w:rFonts w:ascii="Calibri" w:hAnsi="Calibri"/>
                <w:sz w:val="20"/>
              </w:rPr>
              <w:t>MA3T; 2019 Travel Behavior Inventory</w:t>
            </w:r>
          </w:p>
        </w:tc>
      </w:tr>
      <w:tr w:rsidR="00E2099A" w14:paraId="628F57F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C24540" w14:textId="77777777" w:rsidR="00E2099A" w:rsidRDefault="00000000">
            <w:pPr>
              <w:keepNext/>
              <w:spacing w:after="60"/>
            </w:pPr>
            <w:r>
              <w:rPr>
                <w:rFonts w:ascii="Calibri" w:hAnsi="Calibri"/>
                <w:sz w:val="20"/>
              </w:rPr>
              <w:t>Total diesel vehicle sales</w:t>
            </w:r>
          </w:p>
        </w:tc>
        <w:tc>
          <w:tcPr>
            <w:tcW w:w="0" w:type="auto"/>
            <w:tcBorders>
              <w:top w:val="single" w:sz="0" w:space="0" w:color="D3D3D3"/>
              <w:left w:val="single" w:sz="0" w:space="0" w:color="D3D3D3"/>
              <w:bottom w:val="single" w:sz="0" w:space="0" w:color="D3D3D3"/>
              <w:right w:val="single" w:sz="0" w:space="0" w:color="D3D3D3"/>
            </w:tcBorders>
          </w:tcPr>
          <w:p w14:paraId="50E7AAC6" w14:textId="77777777" w:rsidR="00E2099A" w:rsidRDefault="00000000">
            <w:pPr>
              <w:keepNext/>
              <w:spacing w:after="60"/>
            </w:pPr>
            <w:r>
              <w:rPr>
                <w:rFonts w:ascii="Calibri" w:hAnsi="Calibri"/>
                <w:sz w:val="20"/>
              </w:rPr>
              <w:t>MA3T; 2019 Travel Behavior Inventory</w:t>
            </w:r>
          </w:p>
        </w:tc>
      </w:tr>
      <w:tr w:rsidR="00E2099A" w14:paraId="5ECE363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2E064E" w14:textId="77777777" w:rsidR="00E2099A" w:rsidRDefault="00000000">
            <w:pPr>
              <w:keepNext/>
              <w:spacing w:after="60"/>
            </w:pPr>
            <w:r>
              <w:rPr>
                <w:rFonts w:ascii="Calibri" w:hAnsi="Calibri"/>
                <w:sz w:val="20"/>
              </w:rPr>
              <w:t>Total hybrid electric sales</w:t>
            </w:r>
          </w:p>
        </w:tc>
        <w:tc>
          <w:tcPr>
            <w:tcW w:w="0" w:type="auto"/>
            <w:tcBorders>
              <w:top w:val="single" w:sz="0" w:space="0" w:color="D3D3D3"/>
              <w:left w:val="single" w:sz="0" w:space="0" w:color="D3D3D3"/>
              <w:bottom w:val="single" w:sz="0" w:space="0" w:color="D3D3D3"/>
              <w:right w:val="single" w:sz="0" w:space="0" w:color="D3D3D3"/>
            </w:tcBorders>
          </w:tcPr>
          <w:p w14:paraId="70B4AFEE" w14:textId="77777777" w:rsidR="00E2099A" w:rsidRDefault="00000000">
            <w:pPr>
              <w:keepNext/>
              <w:spacing w:after="60"/>
            </w:pPr>
            <w:r>
              <w:rPr>
                <w:rFonts w:ascii="Calibri" w:hAnsi="Calibri"/>
                <w:sz w:val="20"/>
              </w:rPr>
              <w:t>MA3T; 2019 Travel Behavior Inventory</w:t>
            </w:r>
          </w:p>
        </w:tc>
      </w:tr>
      <w:tr w:rsidR="00E2099A" w14:paraId="54FC3BD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803E13C" w14:textId="77777777" w:rsidR="00E2099A" w:rsidRDefault="00000000">
            <w:pPr>
              <w:keepNext/>
              <w:spacing w:after="60"/>
            </w:pPr>
            <w:r>
              <w:rPr>
                <w:rFonts w:ascii="Calibri" w:hAnsi="Calibri"/>
                <w:sz w:val="20"/>
              </w:rPr>
              <w:t>Total plug-in hybrid electric sales</w:t>
            </w:r>
          </w:p>
        </w:tc>
        <w:tc>
          <w:tcPr>
            <w:tcW w:w="0" w:type="auto"/>
            <w:tcBorders>
              <w:top w:val="single" w:sz="0" w:space="0" w:color="D3D3D3"/>
              <w:left w:val="single" w:sz="0" w:space="0" w:color="D3D3D3"/>
              <w:bottom w:val="single" w:sz="0" w:space="0" w:color="D3D3D3"/>
              <w:right w:val="single" w:sz="0" w:space="0" w:color="D3D3D3"/>
            </w:tcBorders>
          </w:tcPr>
          <w:p w14:paraId="37E4862D" w14:textId="77777777" w:rsidR="00E2099A" w:rsidRDefault="00000000">
            <w:pPr>
              <w:keepNext/>
              <w:spacing w:after="60"/>
            </w:pPr>
            <w:r>
              <w:rPr>
                <w:rFonts w:ascii="Calibri" w:hAnsi="Calibri"/>
                <w:sz w:val="20"/>
              </w:rPr>
              <w:t>MA3T; 2019 Travel Behavior Inventory</w:t>
            </w:r>
          </w:p>
        </w:tc>
      </w:tr>
      <w:tr w:rsidR="00E2099A" w14:paraId="685CDEA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90C2F4" w14:textId="77777777" w:rsidR="00E2099A" w:rsidRDefault="00000000">
            <w:pPr>
              <w:keepNext/>
              <w:spacing w:after="60"/>
            </w:pPr>
            <w:r>
              <w:rPr>
                <w:rFonts w:ascii="Calibri" w:hAnsi="Calibri"/>
                <w:sz w:val="20"/>
              </w:rPr>
              <w:t>Total battery electric sales</w:t>
            </w:r>
          </w:p>
        </w:tc>
        <w:tc>
          <w:tcPr>
            <w:tcW w:w="0" w:type="auto"/>
            <w:tcBorders>
              <w:top w:val="single" w:sz="0" w:space="0" w:color="D3D3D3"/>
              <w:left w:val="single" w:sz="0" w:space="0" w:color="D3D3D3"/>
              <w:bottom w:val="single" w:sz="0" w:space="0" w:color="D3D3D3"/>
              <w:right w:val="single" w:sz="0" w:space="0" w:color="D3D3D3"/>
            </w:tcBorders>
          </w:tcPr>
          <w:p w14:paraId="2B9403A7" w14:textId="77777777" w:rsidR="00E2099A" w:rsidRDefault="00000000">
            <w:pPr>
              <w:keepNext/>
              <w:spacing w:after="60"/>
            </w:pPr>
            <w:r>
              <w:rPr>
                <w:rFonts w:ascii="Calibri" w:hAnsi="Calibri"/>
                <w:sz w:val="20"/>
              </w:rPr>
              <w:t>MA3T; 2019 Travel Behavior Inventory</w:t>
            </w:r>
          </w:p>
        </w:tc>
      </w:tr>
      <w:tr w:rsidR="00E2099A" w14:paraId="52899DD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DD5B2D6" w14:textId="77777777" w:rsidR="00E2099A" w:rsidRDefault="00000000">
            <w:pPr>
              <w:keepNext/>
              <w:spacing w:after="60"/>
            </w:pPr>
            <w:r>
              <w:rPr>
                <w:rFonts w:ascii="Calibri" w:hAnsi="Calibri"/>
                <w:sz w:val="20"/>
              </w:rPr>
              <w:t>Average vehicle occupancy</w:t>
            </w:r>
          </w:p>
        </w:tc>
        <w:tc>
          <w:tcPr>
            <w:tcW w:w="0" w:type="auto"/>
            <w:tcBorders>
              <w:top w:val="single" w:sz="0" w:space="0" w:color="D3D3D3"/>
              <w:left w:val="single" w:sz="0" w:space="0" w:color="D3D3D3"/>
              <w:bottom w:val="single" w:sz="0" w:space="0" w:color="D3D3D3"/>
              <w:right w:val="single" w:sz="0" w:space="0" w:color="D3D3D3"/>
            </w:tcBorders>
          </w:tcPr>
          <w:p w14:paraId="1A3A883F" w14:textId="77777777" w:rsidR="00E2099A" w:rsidRDefault="00000000">
            <w:pPr>
              <w:keepNext/>
              <w:spacing w:after="60"/>
            </w:pPr>
            <w:r>
              <w:rPr>
                <w:rFonts w:ascii="Calibri" w:hAnsi="Calibri"/>
                <w:sz w:val="20"/>
              </w:rPr>
              <w:t>FHWA; 2019 Travel Behavior Inventory</w:t>
            </w:r>
          </w:p>
        </w:tc>
      </w:tr>
      <w:tr w:rsidR="00E2099A" w14:paraId="75A1A0A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4785F54" w14:textId="77777777" w:rsidR="00E2099A" w:rsidRDefault="00000000">
            <w:pPr>
              <w:keepNext/>
              <w:spacing w:after="60"/>
            </w:pPr>
            <w:r>
              <w:rPr>
                <w:rFonts w:ascii="Calibri" w:hAnsi="Calibri"/>
                <w:sz w:val="20"/>
              </w:rPr>
              <w:t>Passenger miles traveled</w:t>
            </w:r>
          </w:p>
        </w:tc>
        <w:tc>
          <w:tcPr>
            <w:tcW w:w="0" w:type="auto"/>
            <w:tcBorders>
              <w:top w:val="single" w:sz="0" w:space="0" w:color="D3D3D3"/>
              <w:left w:val="single" w:sz="0" w:space="0" w:color="D3D3D3"/>
              <w:bottom w:val="single" w:sz="0" w:space="0" w:color="D3D3D3"/>
              <w:right w:val="single" w:sz="0" w:space="0" w:color="D3D3D3"/>
            </w:tcBorders>
          </w:tcPr>
          <w:p w14:paraId="18EDCB6C" w14:textId="77777777" w:rsidR="00E2099A" w:rsidRDefault="00000000">
            <w:pPr>
              <w:keepNext/>
              <w:spacing w:after="60"/>
            </w:pPr>
            <w:r>
              <w:rPr>
                <w:rFonts w:ascii="Calibri" w:hAnsi="Calibri"/>
                <w:sz w:val="20"/>
              </w:rPr>
              <w:t>Metropolitan Council Travel Demand Model</w:t>
            </w:r>
          </w:p>
        </w:tc>
      </w:tr>
      <w:tr w:rsidR="00E2099A" w14:paraId="0B81315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9D5699" w14:textId="77777777" w:rsidR="00E2099A" w:rsidRDefault="00000000">
            <w:pPr>
              <w:keepNext/>
              <w:spacing w:after="60"/>
            </w:pPr>
            <w:r>
              <w:rPr>
                <w:rFonts w:ascii="Calibri" w:hAnsi="Calibri"/>
                <w:sz w:val="20"/>
              </w:rPr>
              <w:t>Parking cost</w:t>
            </w:r>
          </w:p>
        </w:tc>
        <w:tc>
          <w:tcPr>
            <w:tcW w:w="0" w:type="auto"/>
            <w:tcBorders>
              <w:top w:val="single" w:sz="0" w:space="0" w:color="D3D3D3"/>
              <w:left w:val="single" w:sz="0" w:space="0" w:color="D3D3D3"/>
              <w:bottom w:val="single" w:sz="0" w:space="0" w:color="D3D3D3"/>
              <w:right w:val="single" w:sz="0" w:space="0" w:color="D3D3D3"/>
            </w:tcBorders>
          </w:tcPr>
          <w:p w14:paraId="3310184E" w14:textId="77777777" w:rsidR="00E2099A" w:rsidRDefault="00000000">
            <w:pPr>
              <w:keepNext/>
              <w:spacing w:after="60"/>
            </w:pPr>
            <w:r>
              <w:rPr>
                <w:rFonts w:ascii="Calibri" w:hAnsi="Calibri"/>
                <w:sz w:val="20"/>
              </w:rPr>
              <w:t>2019 Travel Behavior Inventory</w:t>
            </w:r>
          </w:p>
        </w:tc>
      </w:tr>
      <w:tr w:rsidR="00E2099A" w14:paraId="4C6B30D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4DC71D" w14:textId="77777777" w:rsidR="00E2099A" w:rsidRDefault="00000000">
            <w:pPr>
              <w:keepNext/>
              <w:spacing w:after="60"/>
            </w:pPr>
            <w:r>
              <w:rPr>
                <w:rFonts w:ascii="Calibri" w:hAnsi="Calibri"/>
                <w:sz w:val="20"/>
              </w:rPr>
              <w:t>Spark ignition (gasoline) fuel economy</w:t>
            </w:r>
          </w:p>
        </w:tc>
        <w:tc>
          <w:tcPr>
            <w:tcW w:w="0" w:type="auto"/>
            <w:tcBorders>
              <w:top w:val="single" w:sz="0" w:space="0" w:color="D3D3D3"/>
              <w:left w:val="single" w:sz="0" w:space="0" w:color="D3D3D3"/>
              <w:bottom w:val="single" w:sz="0" w:space="0" w:color="D3D3D3"/>
              <w:right w:val="single" w:sz="0" w:space="0" w:color="D3D3D3"/>
            </w:tcBorders>
          </w:tcPr>
          <w:p w14:paraId="20DCA9CF" w14:textId="77777777" w:rsidR="00E2099A" w:rsidRDefault="00000000">
            <w:pPr>
              <w:keepNext/>
              <w:spacing w:after="60"/>
            </w:pPr>
            <w:r>
              <w:rPr>
                <w:rFonts w:ascii="Calibri" w:hAnsi="Calibri"/>
                <w:sz w:val="20"/>
              </w:rPr>
              <w:t>U.S. Energy Information Administration</w:t>
            </w:r>
          </w:p>
        </w:tc>
      </w:tr>
      <w:tr w:rsidR="00E2099A" w14:paraId="615B2BE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3E2669" w14:textId="77777777" w:rsidR="00E2099A" w:rsidRDefault="00000000">
            <w:pPr>
              <w:keepNext/>
              <w:spacing w:after="60"/>
            </w:pPr>
            <w:r>
              <w:rPr>
                <w:rFonts w:ascii="Calibri" w:hAnsi="Calibri"/>
                <w:sz w:val="20"/>
              </w:rPr>
              <w:t>Compression ignition (diesel) fuel economy</w:t>
            </w:r>
          </w:p>
        </w:tc>
        <w:tc>
          <w:tcPr>
            <w:tcW w:w="0" w:type="auto"/>
            <w:tcBorders>
              <w:top w:val="single" w:sz="0" w:space="0" w:color="D3D3D3"/>
              <w:left w:val="single" w:sz="0" w:space="0" w:color="D3D3D3"/>
              <w:bottom w:val="single" w:sz="0" w:space="0" w:color="D3D3D3"/>
              <w:right w:val="single" w:sz="0" w:space="0" w:color="D3D3D3"/>
            </w:tcBorders>
          </w:tcPr>
          <w:p w14:paraId="365476B7" w14:textId="77777777" w:rsidR="00E2099A" w:rsidRDefault="00000000">
            <w:pPr>
              <w:keepNext/>
              <w:spacing w:after="60"/>
            </w:pPr>
            <w:r>
              <w:rPr>
                <w:rFonts w:ascii="Calibri" w:hAnsi="Calibri"/>
                <w:sz w:val="20"/>
              </w:rPr>
              <w:t>U.S. Energy Information Administration</w:t>
            </w:r>
          </w:p>
        </w:tc>
      </w:tr>
      <w:tr w:rsidR="00E2099A" w14:paraId="0606A5B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AF8267" w14:textId="77777777" w:rsidR="00E2099A" w:rsidRDefault="00000000">
            <w:pPr>
              <w:keepNext/>
              <w:spacing w:after="60"/>
            </w:pPr>
            <w:r>
              <w:rPr>
                <w:rFonts w:ascii="Calibri" w:hAnsi="Calibri"/>
                <w:sz w:val="20"/>
              </w:rPr>
              <w:t>Hybrid electric fuel economy</w:t>
            </w:r>
          </w:p>
        </w:tc>
        <w:tc>
          <w:tcPr>
            <w:tcW w:w="0" w:type="auto"/>
            <w:tcBorders>
              <w:top w:val="single" w:sz="0" w:space="0" w:color="D3D3D3"/>
              <w:left w:val="single" w:sz="0" w:space="0" w:color="D3D3D3"/>
              <w:bottom w:val="single" w:sz="0" w:space="0" w:color="D3D3D3"/>
              <w:right w:val="single" w:sz="0" w:space="0" w:color="D3D3D3"/>
            </w:tcBorders>
          </w:tcPr>
          <w:p w14:paraId="452A6237" w14:textId="77777777" w:rsidR="00E2099A" w:rsidRDefault="00000000">
            <w:pPr>
              <w:keepNext/>
              <w:spacing w:after="60"/>
            </w:pPr>
            <w:r>
              <w:rPr>
                <w:rFonts w:ascii="Calibri" w:hAnsi="Calibri"/>
                <w:sz w:val="20"/>
              </w:rPr>
              <w:t>U.S. Energy Information Administration</w:t>
            </w:r>
          </w:p>
        </w:tc>
      </w:tr>
      <w:tr w:rsidR="00E2099A" w14:paraId="3F77004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0F02EA" w14:textId="77777777" w:rsidR="00E2099A" w:rsidRDefault="00000000">
            <w:pPr>
              <w:keepNext/>
              <w:spacing w:after="60"/>
            </w:pPr>
            <w:r>
              <w:rPr>
                <w:rFonts w:ascii="Calibri" w:hAnsi="Calibri"/>
                <w:sz w:val="20"/>
              </w:rPr>
              <w:t>Plug-in hybrid electric fuel economy in gasoline mode</w:t>
            </w:r>
          </w:p>
        </w:tc>
        <w:tc>
          <w:tcPr>
            <w:tcW w:w="0" w:type="auto"/>
            <w:tcBorders>
              <w:top w:val="single" w:sz="0" w:space="0" w:color="D3D3D3"/>
              <w:left w:val="single" w:sz="0" w:space="0" w:color="D3D3D3"/>
              <w:bottom w:val="single" w:sz="0" w:space="0" w:color="D3D3D3"/>
              <w:right w:val="single" w:sz="0" w:space="0" w:color="D3D3D3"/>
            </w:tcBorders>
          </w:tcPr>
          <w:p w14:paraId="02EFAAC5" w14:textId="77777777" w:rsidR="00E2099A" w:rsidRDefault="00000000">
            <w:pPr>
              <w:keepNext/>
              <w:spacing w:after="60"/>
            </w:pPr>
            <w:r>
              <w:rPr>
                <w:rFonts w:ascii="Calibri" w:hAnsi="Calibri"/>
                <w:sz w:val="20"/>
              </w:rPr>
              <w:t>U.S. Energy Information Administration</w:t>
            </w:r>
          </w:p>
        </w:tc>
      </w:tr>
      <w:tr w:rsidR="00E2099A" w14:paraId="6002214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52DD9E" w14:textId="77777777" w:rsidR="00E2099A" w:rsidRDefault="00000000">
            <w:pPr>
              <w:keepNext/>
              <w:spacing w:after="60"/>
            </w:pPr>
            <w:r>
              <w:rPr>
                <w:rFonts w:ascii="Calibri" w:hAnsi="Calibri"/>
                <w:sz w:val="20"/>
              </w:rPr>
              <w:t>Plug-in hybrid electric economy in electric mode</w:t>
            </w:r>
          </w:p>
        </w:tc>
        <w:tc>
          <w:tcPr>
            <w:tcW w:w="0" w:type="auto"/>
            <w:tcBorders>
              <w:top w:val="single" w:sz="0" w:space="0" w:color="D3D3D3"/>
              <w:left w:val="single" w:sz="0" w:space="0" w:color="D3D3D3"/>
              <w:bottom w:val="single" w:sz="0" w:space="0" w:color="D3D3D3"/>
              <w:right w:val="single" w:sz="0" w:space="0" w:color="D3D3D3"/>
            </w:tcBorders>
          </w:tcPr>
          <w:p w14:paraId="2D0CD2DD" w14:textId="77777777" w:rsidR="00E2099A" w:rsidRDefault="00000000">
            <w:pPr>
              <w:keepNext/>
              <w:spacing w:after="60"/>
            </w:pPr>
            <w:r>
              <w:rPr>
                <w:rFonts w:ascii="Calibri" w:hAnsi="Calibri"/>
                <w:sz w:val="20"/>
              </w:rPr>
              <w:t>Pl&lt;9a&gt;tz, Moll, Li, et. al. 2020</w:t>
            </w:r>
          </w:p>
        </w:tc>
      </w:tr>
      <w:tr w:rsidR="00E2099A" w14:paraId="55B04D6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C48FF1" w14:textId="77777777" w:rsidR="00E2099A" w:rsidRDefault="00000000">
            <w:pPr>
              <w:keepNext/>
              <w:spacing w:after="60"/>
            </w:pPr>
            <w:r>
              <w:rPr>
                <w:rFonts w:ascii="Calibri" w:hAnsi="Calibri"/>
                <w:sz w:val="20"/>
              </w:rPr>
              <w:t>Battery electric vehicle electricity conusmption</w:t>
            </w:r>
          </w:p>
        </w:tc>
        <w:tc>
          <w:tcPr>
            <w:tcW w:w="0" w:type="auto"/>
            <w:tcBorders>
              <w:top w:val="single" w:sz="0" w:space="0" w:color="D3D3D3"/>
              <w:left w:val="single" w:sz="0" w:space="0" w:color="D3D3D3"/>
              <w:bottom w:val="single" w:sz="0" w:space="0" w:color="D3D3D3"/>
              <w:right w:val="single" w:sz="0" w:space="0" w:color="D3D3D3"/>
            </w:tcBorders>
          </w:tcPr>
          <w:p w14:paraId="2BD2EBE4" w14:textId="77777777" w:rsidR="00E2099A" w:rsidRDefault="00000000">
            <w:pPr>
              <w:keepNext/>
              <w:spacing w:after="60"/>
            </w:pPr>
            <w:r>
              <w:rPr>
                <w:rFonts w:ascii="Calibri" w:hAnsi="Calibri"/>
                <w:sz w:val="20"/>
              </w:rPr>
              <w:t>Brooker, Gonder, Wang et. al., 2015</w:t>
            </w:r>
          </w:p>
        </w:tc>
      </w:tr>
      <w:tr w:rsidR="00E2099A" w14:paraId="1ACC339C"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6796AF33" w14:textId="77777777" w:rsidR="00E2099A" w:rsidRDefault="00000000">
            <w:pPr>
              <w:keepNext/>
              <w:spacing w:after="60"/>
            </w:pPr>
            <w:r>
              <w:rPr>
                <w:rFonts w:ascii="Calibri" w:hAnsi="Calibri"/>
                <w:sz w:val="20"/>
              </w:rPr>
              <w:t>Active transportation (walk and bike)</w:t>
            </w:r>
          </w:p>
        </w:tc>
      </w:tr>
      <w:tr w:rsidR="00E2099A" w14:paraId="65702F1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E4B9B8" w14:textId="77777777" w:rsidR="00E2099A" w:rsidRDefault="00000000">
            <w:pPr>
              <w:keepNext/>
              <w:spacing w:after="60"/>
            </w:pPr>
            <w:r>
              <w:rPr>
                <w:rFonts w:ascii="Calibri" w:hAnsi="Calibri"/>
                <w:sz w:val="20"/>
              </w:rPr>
              <w:t>Passenger miles traveled</w:t>
            </w:r>
          </w:p>
        </w:tc>
        <w:tc>
          <w:tcPr>
            <w:tcW w:w="0" w:type="auto"/>
            <w:tcBorders>
              <w:top w:val="single" w:sz="0" w:space="0" w:color="D3D3D3"/>
              <w:left w:val="single" w:sz="0" w:space="0" w:color="D3D3D3"/>
              <w:bottom w:val="single" w:sz="0" w:space="0" w:color="D3D3D3"/>
              <w:right w:val="single" w:sz="0" w:space="0" w:color="D3D3D3"/>
            </w:tcBorders>
          </w:tcPr>
          <w:p w14:paraId="2FB59DB7" w14:textId="77777777" w:rsidR="00E2099A" w:rsidRDefault="00000000">
            <w:pPr>
              <w:keepNext/>
              <w:spacing w:after="60"/>
            </w:pPr>
            <w:r>
              <w:rPr>
                <w:rFonts w:ascii="Calibri" w:hAnsi="Calibri"/>
                <w:sz w:val="20"/>
              </w:rPr>
              <w:t>Metropolitan Council Travel Demand Model</w:t>
            </w:r>
          </w:p>
        </w:tc>
      </w:tr>
      <w:tr w:rsidR="00E2099A" w14:paraId="737A8145"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1BCBC613" w14:textId="77777777" w:rsidR="00E2099A" w:rsidRDefault="00000000">
            <w:pPr>
              <w:keepNext/>
              <w:spacing w:after="60"/>
            </w:pPr>
            <w:r>
              <w:rPr>
                <w:rFonts w:ascii="Calibri" w:hAnsi="Calibri"/>
                <w:sz w:val="20"/>
              </w:rPr>
              <w:t>Urban bus (standard, non-BRT bus)</w:t>
            </w:r>
          </w:p>
        </w:tc>
      </w:tr>
      <w:tr w:rsidR="00E2099A" w14:paraId="6092F9E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BE2103" w14:textId="77777777" w:rsidR="00E2099A" w:rsidRDefault="00000000">
            <w:pPr>
              <w:keepNext/>
              <w:spacing w:after="60"/>
            </w:pPr>
            <w:r>
              <w:rPr>
                <w:rFonts w:ascii="Calibri" w:hAnsi="Calibri"/>
                <w:sz w:val="20"/>
              </w:rPr>
              <w:t>Total stock of vehicles</w:t>
            </w:r>
          </w:p>
        </w:tc>
        <w:tc>
          <w:tcPr>
            <w:tcW w:w="0" w:type="auto"/>
            <w:tcBorders>
              <w:top w:val="single" w:sz="0" w:space="0" w:color="D3D3D3"/>
              <w:left w:val="single" w:sz="0" w:space="0" w:color="D3D3D3"/>
              <w:bottom w:val="single" w:sz="0" w:space="0" w:color="D3D3D3"/>
              <w:right w:val="single" w:sz="0" w:space="0" w:color="D3D3D3"/>
            </w:tcBorders>
          </w:tcPr>
          <w:p w14:paraId="42054E20" w14:textId="77777777" w:rsidR="00E2099A" w:rsidRDefault="00000000">
            <w:pPr>
              <w:keepNext/>
              <w:spacing w:after="60"/>
            </w:pPr>
            <w:r>
              <w:rPr>
                <w:rFonts w:ascii="Calibri" w:hAnsi="Calibri"/>
                <w:sz w:val="20"/>
              </w:rPr>
              <w:t>Metro Transit Facts series; National Transit Database</w:t>
            </w:r>
          </w:p>
        </w:tc>
      </w:tr>
      <w:tr w:rsidR="00E2099A" w14:paraId="1F5388A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89789F" w14:textId="77777777" w:rsidR="00E2099A" w:rsidRDefault="00000000">
            <w:pPr>
              <w:keepNext/>
              <w:spacing w:after="60"/>
            </w:pPr>
            <w:r>
              <w:rPr>
                <w:rFonts w:ascii="Calibri" w:hAnsi="Calibri"/>
                <w:sz w:val="20"/>
              </w:rPr>
              <w:t>Biodiesel bus stock</w:t>
            </w:r>
          </w:p>
        </w:tc>
        <w:tc>
          <w:tcPr>
            <w:tcW w:w="0" w:type="auto"/>
            <w:tcBorders>
              <w:top w:val="single" w:sz="0" w:space="0" w:color="D3D3D3"/>
              <w:left w:val="single" w:sz="0" w:space="0" w:color="D3D3D3"/>
              <w:bottom w:val="single" w:sz="0" w:space="0" w:color="D3D3D3"/>
              <w:right w:val="single" w:sz="0" w:space="0" w:color="D3D3D3"/>
            </w:tcBorders>
          </w:tcPr>
          <w:p w14:paraId="11E5289B" w14:textId="77777777" w:rsidR="00E2099A" w:rsidRDefault="00000000">
            <w:pPr>
              <w:keepNext/>
              <w:spacing w:after="60"/>
            </w:pPr>
            <w:r>
              <w:rPr>
                <w:rFonts w:ascii="Calibri" w:hAnsi="Calibri"/>
                <w:sz w:val="20"/>
              </w:rPr>
              <w:t>Metro Transit Facts series; National Transit Database</w:t>
            </w:r>
          </w:p>
        </w:tc>
      </w:tr>
      <w:tr w:rsidR="00E2099A" w14:paraId="05D601E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AEDC9A" w14:textId="77777777" w:rsidR="00E2099A" w:rsidRDefault="00000000">
            <w:pPr>
              <w:keepNext/>
              <w:spacing w:after="60"/>
            </w:pPr>
            <w:r>
              <w:rPr>
                <w:rFonts w:ascii="Calibri" w:hAnsi="Calibri"/>
                <w:sz w:val="20"/>
              </w:rPr>
              <w:t>Hybrid electric vehicle stock</w:t>
            </w:r>
          </w:p>
        </w:tc>
        <w:tc>
          <w:tcPr>
            <w:tcW w:w="0" w:type="auto"/>
            <w:tcBorders>
              <w:top w:val="single" w:sz="0" w:space="0" w:color="D3D3D3"/>
              <w:left w:val="single" w:sz="0" w:space="0" w:color="D3D3D3"/>
              <w:bottom w:val="single" w:sz="0" w:space="0" w:color="D3D3D3"/>
              <w:right w:val="single" w:sz="0" w:space="0" w:color="D3D3D3"/>
            </w:tcBorders>
          </w:tcPr>
          <w:p w14:paraId="6951E549" w14:textId="77777777" w:rsidR="00E2099A" w:rsidRDefault="00000000">
            <w:pPr>
              <w:keepNext/>
              <w:spacing w:after="60"/>
            </w:pPr>
            <w:r>
              <w:rPr>
                <w:rFonts w:ascii="Calibri" w:hAnsi="Calibri"/>
                <w:sz w:val="20"/>
              </w:rPr>
              <w:t>Metro Transit Facts series; National Transit Database</w:t>
            </w:r>
          </w:p>
        </w:tc>
      </w:tr>
      <w:tr w:rsidR="00E2099A" w14:paraId="3B7E460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12DED7" w14:textId="77777777" w:rsidR="00E2099A" w:rsidRDefault="00000000">
            <w:pPr>
              <w:keepNext/>
              <w:spacing w:after="60"/>
            </w:pPr>
            <w:r>
              <w:rPr>
                <w:rFonts w:ascii="Calibri" w:hAnsi="Calibri"/>
                <w:sz w:val="20"/>
              </w:rPr>
              <w:t>Battery electric vehicle stock</w:t>
            </w:r>
          </w:p>
        </w:tc>
        <w:tc>
          <w:tcPr>
            <w:tcW w:w="0" w:type="auto"/>
            <w:tcBorders>
              <w:top w:val="single" w:sz="0" w:space="0" w:color="D3D3D3"/>
              <w:left w:val="single" w:sz="0" w:space="0" w:color="D3D3D3"/>
              <w:bottom w:val="single" w:sz="0" w:space="0" w:color="D3D3D3"/>
              <w:right w:val="single" w:sz="0" w:space="0" w:color="D3D3D3"/>
            </w:tcBorders>
          </w:tcPr>
          <w:p w14:paraId="34FBD099" w14:textId="77777777" w:rsidR="00E2099A" w:rsidRDefault="00000000">
            <w:pPr>
              <w:keepNext/>
              <w:spacing w:after="60"/>
            </w:pPr>
            <w:r>
              <w:rPr>
                <w:rFonts w:ascii="Calibri" w:hAnsi="Calibri"/>
                <w:sz w:val="20"/>
              </w:rPr>
              <w:t>Metro Transit Facts series; National Transit Database</w:t>
            </w:r>
          </w:p>
        </w:tc>
      </w:tr>
      <w:tr w:rsidR="00E2099A" w14:paraId="54CCA1B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51B9E8" w14:textId="77777777" w:rsidR="00E2099A" w:rsidRDefault="00000000">
            <w:pPr>
              <w:keepNext/>
              <w:spacing w:after="60"/>
            </w:pPr>
            <w:r>
              <w:rPr>
                <w:rFonts w:ascii="Calibri" w:hAnsi="Calibri"/>
                <w:sz w:val="20"/>
              </w:rPr>
              <w:t>Total existing vehicles</w:t>
            </w:r>
          </w:p>
        </w:tc>
        <w:tc>
          <w:tcPr>
            <w:tcW w:w="0" w:type="auto"/>
            <w:tcBorders>
              <w:top w:val="single" w:sz="0" w:space="0" w:color="D3D3D3"/>
              <w:left w:val="single" w:sz="0" w:space="0" w:color="D3D3D3"/>
              <w:bottom w:val="single" w:sz="0" w:space="0" w:color="D3D3D3"/>
              <w:right w:val="single" w:sz="0" w:space="0" w:color="D3D3D3"/>
            </w:tcBorders>
          </w:tcPr>
          <w:p w14:paraId="3855F60A" w14:textId="77777777" w:rsidR="00E2099A" w:rsidRDefault="00000000">
            <w:pPr>
              <w:keepNext/>
              <w:spacing w:after="60"/>
            </w:pPr>
            <w:r>
              <w:rPr>
                <w:rFonts w:ascii="Calibri" w:hAnsi="Calibri"/>
                <w:sz w:val="20"/>
              </w:rPr>
              <w:t>Metro Transit Facts series; National Transit Database</w:t>
            </w:r>
          </w:p>
        </w:tc>
      </w:tr>
      <w:tr w:rsidR="00E2099A" w14:paraId="15CB7E2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65D422" w14:textId="77777777" w:rsidR="00E2099A" w:rsidRDefault="00000000">
            <w:pPr>
              <w:keepNext/>
              <w:spacing w:after="60"/>
            </w:pPr>
            <w:r>
              <w:rPr>
                <w:rFonts w:ascii="Calibri" w:hAnsi="Calibri"/>
                <w:sz w:val="20"/>
              </w:rPr>
              <w:t>Biodiesel bus existing stock</w:t>
            </w:r>
          </w:p>
        </w:tc>
        <w:tc>
          <w:tcPr>
            <w:tcW w:w="0" w:type="auto"/>
            <w:tcBorders>
              <w:top w:val="single" w:sz="0" w:space="0" w:color="D3D3D3"/>
              <w:left w:val="single" w:sz="0" w:space="0" w:color="D3D3D3"/>
              <w:bottom w:val="single" w:sz="0" w:space="0" w:color="D3D3D3"/>
              <w:right w:val="single" w:sz="0" w:space="0" w:color="D3D3D3"/>
            </w:tcBorders>
          </w:tcPr>
          <w:p w14:paraId="6287FB95" w14:textId="77777777" w:rsidR="00E2099A" w:rsidRDefault="00000000">
            <w:pPr>
              <w:keepNext/>
              <w:spacing w:after="60"/>
            </w:pPr>
            <w:r>
              <w:rPr>
                <w:rFonts w:ascii="Calibri" w:hAnsi="Calibri"/>
                <w:sz w:val="20"/>
              </w:rPr>
              <w:t>Metro Transit Facts series; National Transit Database</w:t>
            </w:r>
          </w:p>
        </w:tc>
      </w:tr>
      <w:tr w:rsidR="00E2099A" w14:paraId="193E964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B3CE7A" w14:textId="77777777" w:rsidR="00E2099A" w:rsidRDefault="00000000">
            <w:pPr>
              <w:keepNext/>
              <w:spacing w:after="60"/>
            </w:pPr>
            <w:r>
              <w:rPr>
                <w:rFonts w:ascii="Calibri" w:hAnsi="Calibri"/>
                <w:sz w:val="20"/>
              </w:rPr>
              <w:t>Existing hybrid electric vehicles</w:t>
            </w:r>
          </w:p>
        </w:tc>
        <w:tc>
          <w:tcPr>
            <w:tcW w:w="0" w:type="auto"/>
            <w:tcBorders>
              <w:top w:val="single" w:sz="0" w:space="0" w:color="D3D3D3"/>
              <w:left w:val="single" w:sz="0" w:space="0" w:color="D3D3D3"/>
              <w:bottom w:val="single" w:sz="0" w:space="0" w:color="D3D3D3"/>
              <w:right w:val="single" w:sz="0" w:space="0" w:color="D3D3D3"/>
            </w:tcBorders>
          </w:tcPr>
          <w:p w14:paraId="1F04E129" w14:textId="77777777" w:rsidR="00E2099A" w:rsidRDefault="00000000">
            <w:pPr>
              <w:keepNext/>
              <w:spacing w:after="60"/>
            </w:pPr>
            <w:r>
              <w:rPr>
                <w:rFonts w:ascii="Calibri" w:hAnsi="Calibri"/>
                <w:sz w:val="20"/>
              </w:rPr>
              <w:t>Metro Transit Facts series; National Transit Database</w:t>
            </w:r>
          </w:p>
        </w:tc>
      </w:tr>
      <w:tr w:rsidR="00E2099A" w14:paraId="71F920E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17ADA3" w14:textId="77777777" w:rsidR="00E2099A" w:rsidRDefault="00000000">
            <w:pPr>
              <w:keepNext/>
              <w:spacing w:after="60"/>
            </w:pPr>
            <w:r>
              <w:rPr>
                <w:rFonts w:ascii="Calibri" w:hAnsi="Calibri"/>
                <w:sz w:val="20"/>
              </w:rPr>
              <w:t>Existing battery electric vehicles</w:t>
            </w:r>
          </w:p>
        </w:tc>
        <w:tc>
          <w:tcPr>
            <w:tcW w:w="0" w:type="auto"/>
            <w:tcBorders>
              <w:top w:val="single" w:sz="0" w:space="0" w:color="D3D3D3"/>
              <w:left w:val="single" w:sz="0" w:space="0" w:color="D3D3D3"/>
              <w:bottom w:val="single" w:sz="0" w:space="0" w:color="D3D3D3"/>
              <w:right w:val="single" w:sz="0" w:space="0" w:color="D3D3D3"/>
            </w:tcBorders>
          </w:tcPr>
          <w:p w14:paraId="546CEE27" w14:textId="77777777" w:rsidR="00E2099A" w:rsidRDefault="00000000">
            <w:pPr>
              <w:keepNext/>
              <w:spacing w:after="60"/>
            </w:pPr>
            <w:r>
              <w:rPr>
                <w:rFonts w:ascii="Calibri" w:hAnsi="Calibri"/>
                <w:sz w:val="20"/>
              </w:rPr>
              <w:t>Metro Transit Facts series; National Transit Database</w:t>
            </w:r>
          </w:p>
        </w:tc>
      </w:tr>
      <w:tr w:rsidR="00E2099A" w14:paraId="0FA3B05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6F92AE" w14:textId="77777777" w:rsidR="00E2099A" w:rsidRDefault="00000000">
            <w:pPr>
              <w:keepNext/>
              <w:spacing w:after="60"/>
            </w:pPr>
            <w:r>
              <w:rPr>
                <w:rFonts w:ascii="Calibri" w:hAnsi="Calibri"/>
                <w:sz w:val="20"/>
              </w:rPr>
              <w:t>Total vehicle sales</w:t>
            </w:r>
          </w:p>
        </w:tc>
        <w:tc>
          <w:tcPr>
            <w:tcW w:w="0" w:type="auto"/>
            <w:tcBorders>
              <w:top w:val="single" w:sz="0" w:space="0" w:color="D3D3D3"/>
              <w:left w:val="single" w:sz="0" w:space="0" w:color="D3D3D3"/>
              <w:bottom w:val="single" w:sz="0" w:space="0" w:color="D3D3D3"/>
              <w:right w:val="single" w:sz="0" w:space="0" w:color="D3D3D3"/>
            </w:tcBorders>
          </w:tcPr>
          <w:p w14:paraId="3C5B24E8" w14:textId="77777777" w:rsidR="00E2099A" w:rsidRDefault="00000000">
            <w:pPr>
              <w:keepNext/>
              <w:spacing w:after="60"/>
            </w:pPr>
            <w:r>
              <w:rPr>
                <w:rFonts w:ascii="Calibri" w:hAnsi="Calibri"/>
                <w:sz w:val="20"/>
              </w:rPr>
              <w:t>Metro Transit Facts series; National Transit Database</w:t>
            </w:r>
          </w:p>
        </w:tc>
      </w:tr>
      <w:tr w:rsidR="00E2099A" w14:paraId="7BED695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5B0240A" w14:textId="77777777" w:rsidR="00E2099A" w:rsidRDefault="00000000">
            <w:pPr>
              <w:keepNext/>
              <w:spacing w:after="60"/>
            </w:pPr>
            <w:r>
              <w:rPr>
                <w:rFonts w:ascii="Calibri" w:hAnsi="Calibri"/>
                <w:sz w:val="20"/>
              </w:rPr>
              <w:lastRenderedPageBreak/>
              <w:t>Biodiesel bus sales</w:t>
            </w:r>
          </w:p>
        </w:tc>
        <w:tc>
          <w:tcPr>
            <w:tcW w:w="0" w:type="auto"/>
            <w:tcBorders>
              <w:top w:val="single" w:sz="0" w:space="0" w:color="D3D3D3"/>
              <w:left w:val="single" w:sz="0" w:space="0" w:color="D3D3D3"/>
              <w:bottom w:val="single" w:sz="0" w:space="0" w:color="D3D3D3"/>
              <w:right w:val="single" w:sz="0" w:space="0" w:color="D3D3D3"/>
            </w:tcBorders>
          </w:tcPr>
          <w:p w14:paraId="21635CD7" w14:textId="77777777" w:rsidR="00E2099A" w:rsidRDefault="00000000">
            <w:pPr>
              <w:keepNext/>
              <w:spacing w:after="60"/>
            </w:pPr>
            <w:r>
              <w:rPr>
                <w:rFonts w:ascii="Calibri" w:hAnsi="Calibri"/>
                <w:sz w:val="20"/>
              </w:rPr>
              <w:t>Metro Transit Facts series; National Transit Database</w:t>
            </w:r>
          </w:p>
        </w:tc>
      </w:tr>
      <w:tr w:rsidR="00E2099A" w14:paraId="67B4796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EF0226" w14:textId="77777777" w:rsidR="00E2099A" w:rsidRDefault="00000000">
            <w:pPr>
              <w:keepNext/>
              <w:spacing w:after="60"/>
            </w:pPr>
            <w:r>
              <w:rPr>
                <w:rFonts w:ascii="Calibri" w:hAnsi="Calibri"/>
                <w:sz w:val="20"/>
              </w:rPr>
              <w:t>Total hybrid electric sales</w:t>
            </w:r>
          </w:p>
        </w:tc>
        <w:tc>
          <w:tcPr>
            <w:tcW w:w="0" w:type="auto"/>
            <w:tcBorders>
              <w:top w:val="single" w:sz="0" w:space="0" w:color="D3D3D3"/>
              <w:left w:val="single" w:sz="0" w:space="0" w:color="D3D3D3"/>
              <w:bottom w:val="single" w:sz="0" w:space="0" w:color="D3D3D3"/>
              <w:right w:val="single" w:sz="0" w:space="0" w:color="D3D3D3"/>
            </w:tcBorders>
          </w:tcPr>
          <w:p w14:paraId="35325A06" w14:textId="77777777" w:rsidR="00E2099A" w:rsidRDefault="00000000">
            <w:pPr>
              <w:keepNext/>
              <w:spacing w:after="60"/>
            </w:pPr>
            <w:r>
              <w:rPr>
                <w:rFonts w:ascii="Calibri" w:hAnsi="Calibri"/>
                <w:sz w:val="20"/>
              </w:rPr>
              <w:t>Metro Transit Facts series; National Transit Database</w:t>
            </w:r>
          </w:p>
        </w:tc>
      </w:tr>
      <w:tr w:rsidR="00E2099A" w14:paraId="526961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A38EB0" w14:textId="77777777" w:rsidR="00E2099A" w:rsidRDefault="00000000">
            <w:pPr>
              <w:keepNext/>
              <w:spacing w:after="60"/>
            </w:pPr>
            <w:r>
              <w:rPr>
                <w:rFonts w:ascii="Calibri" w:hAnsi="Calibri"/>
                <w:sz w:val="20"/>
              </w:rPr>
              <w:t>Total battery electric sales</w:t>
            </w:r>
          </w:p>
        </w:tc>
        <w:tc>
          <w:tcPr>
            <w:tcW w:w="0" w:type="auto"/>
            <w:tcBorders>
              <w:top w:val="single" w:sz="0" w:space="0" w:color="D3D3D3"/>
              <w:left w:val="single" w:sz="0" w:space="0" w:color="D3D3D3"/>
              <w:bottom w:val="single" w:sz="0" w:space="0" w:color="D3D3D3"/>
              <w:right w:val="single" w:sz="0" w:space="0" w:color="D3D3D3"/>
            </w:tcBorders>
          </w:tcPr>
          <w:p w14:paraId="4AA5B6FA" w14:textId="77777777" w:rsidR="00E2099A" w:rsidRDefault="00000000">
            <w:pPr>
              <w:keepNext/>
              <w:spacing w:after="60"/>
            </w:pPr>
            <w:r>
              <w:rPr>
                <w:rFonts w:ascii="Calibri" w:hAnsi="Calibri"/>
                <w:sz w:val="20"/>
              </w:rPr>
              <w:t>Metro Transit Facts series; National Transit Database</w:t>
            </w:r>
          </w:p>
        </w:tc>
      </w:tr>
      <w:tr w:rsidR="00E2099A" w14:paraId="3AB58A0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D8B150" w14:textId="77777777" w:rsidR="00E2099A" w:rsidRDefault="00000000">
            <w:pPr>
              <w:keepNext/>
              <w:spacing w:after="60"/>
            </w:pPr>
            <w:r>
              <w:rPr>
                <w:rFonts w:ascii="Calibri" w:hAnsi="Calibri"/>
                <w:sz w:val="20"/>
              </w:rPr>
              <w:t>Average vehicle occupancy</w:t>
            </w:r>
          </w:p>
        </w:tc>
        <w:tc>
          <w:tcPr>
            <w:tcW w:w="0" w:type="auto"/>
            <w:tcBorders>
              <w:top w:val="single" w:sz="0" w:space="0" w:color="D3D3D3"/>
              <w:left w:val="single" w:sz="0" w:space="0" w:color="D3D3D3"/>
              <w:bottom w:val="single" w:sz="0" w:space="0" w:color="D3D3D3"/>
              <w:right w:val="single" w:sz="0" w:space="0" w:color="D3D3D3"/>
            </w:tcBorders>
          </w:tcPr>
          <w:p w14:paraId="27170F5F" w14:textId="77777777" w:rsidR="00E2099A" w:rsidRDefault="00000000">
            <w:pPr>
              <w:keepNext/>
              <w:spacing w:after="60"/>
            </w:pPr>
            <w:r>
              <w:rPr>
                <w:rFonts w:ascii="Calibri" w:hAnsi="Calibri"/>
                <w:sz w:val="20"/>
              </w:rPr>
              <w:t>FHWA</w:t>
            </w:r>
          </w:p>
        </w:tc>
      </w:tr>
      <w:tr w:rsidR="00E2099A" w14:paraId="59E40C2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7CF234" w14:textId="77777777" w:rsidR="00E2099A" w:rsidRDefault="00000000">
            <w:pPr>
              <w:keepNext/>
              <w:spacing w:after="60"/>
            </w:pPr>
            <w:r>
              <w:rPr>
                <w:rFonts w:ascii="Calibri" w:hAnsi="Calibri"/>
                <w:sz w:val="20"/>
              </w:rPr>
              <w:t>Passenger miles traveled</w:t>
            </w:r>
          </w:p>
        </w:tc>
        <w:tc>
          <w:tcPr>
            <w:tcW w:w="0" w:type="auto"/>
            <w:tcBorders>
              <w:top w:val="single" w:sz="0" w:space="0" w:color="D3D3D3"/>
              <w:left w:val="single" w:sz="0" w:space="0" w:color="D3D3D3"/>
              <w:bottom w:val="single" w:sz="0" w:space="0" w:color="D3D3D3"/>
              <w:right w:val="single" w:sz="0" w:space="0" w:color="D3D3D3"/>
            </w:tcBorders>
          </w:tcPr>
          <w:p w14:paraId="11648F8F" w14:textId="77777777" w:rsidR="00E2099A" w:rsidRDefault="00000000">
            <w:pPr>
              <w:keepNext/>
              <w:spacing w:after="60"/>
            </w:pPr>
            <w:r>
              <w:rPr>
                <w:rFonts w:ascii="Calibri" w:hAnsi="Calibri"/>
                <w:sz w:val="20"/>
              </w:rPr>
              <w:t>Metropolitan Council Travel Demand Model</w:t>
            </w:r>
          </w:p>
        </w:tc>
      </w:tr>
      <w:tr w:rsidR="00E2099A" w14:paraId="4EA3536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CB4397F" w14:textId="77777777" w:rsidR="00E2099A" w:rsidRDefault="00000000">
            <w:pPr>
              <w:keepNext/>
              <w:spacing w:after="60"/>
            </w:pPr>
            <w:r>
              <w:rPr>
                <w:rFonts w:ascii="Calibri" w:hAnsi="Calibri"/>
                <w:sz w:val="20"/>
              </w:rPr>
              <w:t>Biodiesel bus fuel economy, miles per gallon</w:t>
            </w:r>
          </w:p>
        </w:tc>
        <w:tc>
          <w:tcPr>
            <w:tcW w:w="0" w:type="auto"/>
            <w:tcBorders>
              <w:top w:val="single" w:sz="0" w:space="0" w:color="D3D3D3"/>
              <w:left w:val="single" w:sz="0" w:space="0" w:color="D3D3D3"/>
              <w:bottom w:val="single" w:sz="0" w:space="0" w:color="D3D3D3"/>
              <w:right w:val="single" w:sz="0" w:space="0" w:color="D3D3D3"/>
            </w:tcBorders>
          </w:tcPr>
          <w:p w14:paraId="490E8F7C" w14:textId="77777777" w:rsidR="00E2099A" w:rsidRDefault="00000000">
            <w:pPr>
              <w:keepNext/>
              <w:spacing w:after="60"/>
            </w:pPr>
            <w:r>
              <w:rPr>
                <w:rFonts w:ascii="Calibri" w:hAnsi="Calibri"/>
                <w:sz w:val="20"/>
              </w:rPr>
              <w:t>O'Dea, 2018</w:t>
            </w:r>
          </w:p>
        </w:tc>
      </w:tr>
      <w:tr w:rsidR="00E2099A" w14:paraId="596805E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C44C18" w14:textId="77777777" w:rsidR="00E2099A" w:rsidRDefault="00000000">
            <w:pPr>
              <w:keepNext/>
              <w:spacing w:after="60"/>
            </w:pPr>
            <w:r>
              <w:rPr>
                <w:rFonts w:ascii="Calibri" w:hAnsi="Calibri"/>
                <w:sz w:val="20"/>
              </w:rPr>
              <w:t>Hybrid electric fuel economy</w:t>
            </w:r>
          </w:p>
        </w:tc>
        <w:tc>
          <w:tcPr>
            <w:tcW w:w="0" w:type="auto"/>
            <w:tcBorders>
              <w:top w:val="single" w:sz="0" w:space="0" w:color="D3D3D3"/>
              <w:left w:val="single" w:sz="0" w:space="0" w:color="D3D3D3"/>
              <w:bottom w:val="single" w:sz="0" w:space="0" w:color="D3D3D3"/>
              <w:right w:val="single" w:sz="0" w:space="0" w:color="D3D3D3"/>
            </w:tcBorders>
          </w:tcPr>
          <w:p w14:paraId="07A82A36" w14:textId="77777777" w:rsidR="00E2099A" w:rsidRDefault="00000000">
            <w:pPr>
              <w:keepNext/>
              <w:spacing w:after="60"/>
            </w:pPr>
            <w:r>
              <w:rPr>
                <w:rFonts w:ascii="Calibri" w:hAnsi="Calibri"/>
                <w:sz w:val="20"/>
              </w:rPr>
              <w:t>O'Dea, 2018</w:t>
            </w:r>
          </w:p>
        </w:tc>
      </w:tr>
      <w:tr w:rsidR="00E2099A" w14:paraId="0D9A299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B72FCF" w14:textId="77777777" w:rsidR="00E2099A" w:rsidRDefault="00000000">
            <w:pPr>
              <w:keepNext/>
              <w:spacing w:after="60"/>
            </w:pPr>
            <w:r>
              <w:rPr>
                <w:rFonts w:ascii="Calibri" w:hAnsi="Calibri"/>
                <w:sz w:val="20"/>
              </w:rPr>
              <w:t>Battery electric vehicle electricity conusmption</w:t>
            </w:r>
          </w:p>
        </w:tc>
        <w:tc>
          <w:tcPr>
            <w:tcW w:w="0" w:type="auto"/>
            <w:tcBorders>
              <w:top w:val="single" w:sz="0" w:space="0" w:color="D3D3D3"/>
              <w:left w:val="single" w:sz="0" w:space="0" w:color="D3D3D3"/>
              <w:bottom w:val="single" w:sz="0" w:space="0" w:color="D3D3D3"/>
              <w:right w:val="single" w:sz="0" w:space="0" w:color="D3D3D3"/>
            </w:tcBorders>
          </w:tcPr>
          <w:p w14:paraId="3CB1D737" w14:textId="77777777" w:rsidR="00E2099A" w:rsidRDefault="00000000">
            <w:pPr>
              <w:keepNext/>
              <w:spacing w:after="60"/>
            </w:pPr>
            <w:r>
              <w:rPr>
                <w:rFonts w:ascii="Calibri" w:hAnsi="Calibri"/>
                <w:sz w:val="20"/>
              </w:rPr>
              <w:t>National Transit Database</w:t>
            </w:r>
          </w:p>
        </w:tc>
      </w:tr>
      <w:tr w:rsidR="00E2099A" w14:paraId="64449D34"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6E3AE3DE" w14:textId="77777777" w:rsidR="00E2099A" w:rsidRDefault="00000000">
            <w:pPr>
              <w:keepNext/>
              <w:spacing w:after="60"/>
            </w:pPr>
            <w:r>
              <w:rPr>
                <w:rFonts w:ascii="Calibri" w:hAnsi="Calibri"/>
                <w:sz w:val="20"/>
              </w:rPr>
              <w:t>Bus rapid transit</w:t>
            </w:r>
          </w:p>
        </w:tc>
      </w:tr>
      <w:tr w:rsidR="00E2099A" w14:paraId="2295E7B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4FC0EA" w14:textId="77777777" w:rsidR="00E2099A" w:rsidRDefault="00000000">
            <w:pPr>
              <w:keepNext/>
              <w:spacing w:after="60"/>
            </w:pPr>
            <w:r>
              <w:rPr>
                <w:rFonts w:ascii="Calibri" w:hAnsi="Calibri"/>
                <w:sz w:val="20"/>
              </w:rPr>
              <w:t>Total stock of vehicles</w:t>
            </w:r>
          </w:p>
        </w:tc>
        <w:tc>
          <w:tcPr>
            <w:tcW w:w="0" w:type="auto"/>
            <w:tcBorders>
              <w:top w:val="single" w:sz="0" w:space="0" w:color="D3D3D3"/>
              <w:left w:val="single" w:sz="0" w:space="0" w:color="D3D3D3"/>
              <w:bottom w:val="single" w:sz="0" w:space="0" w:color="D3D3D3"/>
              <w:right w:val="single" w:sz="0" w:space="0" w:color="D3D3D3"/>
            </w:tcBorders>
          </w:tcPr>
          <w:p w14:paraId="09A88F80" w14:textId="77777777" w:rsidR="00E2099A" w:rsidRDefault="00000000">
            <w:pPr>
              <w:keepNext/>
              <w:spacing w:after="60"/>
            </w:pPr>
            <w:r>
              <w:rPr>
                <w:rFonts w:ascii="Calibri" w:hAnsi="Calibri"/>
                <w:sz w:val="20"/>
              </w:rPr>
              <w:t>Metro Transit Facts series; National Transit Database</w:t>
            </w:r>
          </w:p>
        </w:tc>
      </w:tr>
      <w:tr w:rsidR="00E2099A" w14:paraId="0C1207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E6EC29" w14:textId="77777777" w:rsidR="00E2099A" w:rsidRDefault="00000000">
            <w:pPr>
              <w:keepNext/>
              <w:spacing w:after="60"/>
            </w:pPr>
            <w:r>
              <w:rPr>
                <w:rFonts w:ascii="Calibri" w:hAnsi="Calibri"/>
                <w:sz w:val="20"/>
              </w:rPr>
              <w:t>Biodiesel bus stock</w:t>
            </w:r>
          </w:p>
        </w:tc>
        <w:tc>
          <w:tcPr>
            <w:tcW w:w="0" w:type="auto"/>
            <w:tcBorders>
              <w:top w:val="single" w:sz="0" w:space="0" w:color="D3D3D3"/>
              <w:left w:val="single" w:sz="0" w:space="0" w:color="D3D3D3"/>
              <w:bottom w:val="single" w:sz="0" w:space="0" w:color="D3D3D3"/>
              <w:right w:val="single" w:sz="0" w:space="0" w:color="D3D3D3"/>
            </w:tcBorders>
          </w:tcPr>
          <w:p w14:paraId="14FEBFD5" w14:textId="77777777" w:rsidR="00E2099A" w:rsidRDefault="00000000">
            <w:pPr>
              <w:keepNext/>
              <w:spacing w:after="60"/>
            </w:pPr>
            <w:r>
              <w:rPr>
                <w:rFonts w:ascii="Calibri" w:hAnsi="Calibri"/>
                <w:sz w:val="20"/>
              </w:rPr>
              <w:t>Metro Transit Facts series; National Transit Database</w:t>
            </w:r>
          </w:p>
        </w:tc>
      </w:tr>
      <w:tr w:rsidR="00E2099A" w14:paraId="5CF1EB7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ACF6EC" w14:textId="77777777" w:rsidR="00E2099A" w:rsidRDefault="00000000">
            <w:pPr>
              <w:keepNext/>
              <w:spacing w:after="60"/>
            </w:pPr>
            <w:r>
              <w:rPr>
                <w:rFonts w:ascii="Calibri" w:hAnsi="Calibri"/>
                <w:sz w:val="20"/>
              </w:rPr>
              <w:t>Hybrid electric vehicle stock</w:t>
            </w:r>
          </w:p>
        </w:tc>
        <w:tc>
          <w:tcPr>
            <w:tcW w:w="0" w:type="auto"/>
            <w:tcBorders>
              <w:top w:val="single" w:sz="0" w:space="0" w:color="D3D3D3"/>
              <w:left w:val="single" w:sz="0" w:space="0" w:color="D3D3D3"/>
              <w:bottom w:val="single" w:sz="0" w:space="0" w:color="D3D3D3"/>
              <w:right w:val="single" w:sz="0" w:space="0" w:color="D3D3D3"/>
            </w:tcBorders>
          </w:tcPr>
          <w:p w14:paraId="488978F3" w14:textId="77777777" w:rsidR="00E2099A" w:rsidRDefault="00000000">
            <w:pPr>
              <w:keepNext/>
              <w:spacing w:after="60"/>
            </w:pPr>
            <w:r>
              <w:rPr>
                <w:rFonts w:ascii="Calibri" w:hAnsi="Calibri"/>
                <w:sz w:val="20"/>
              </w:rPr>
              <w:t>Metro Transit Facts series; National Transit Database</w:t>
            </w:r>
          </w:p>
        </w:tc>
      </w:tr>
      <w:tr w:rsidR="00E2099A" w14:paraId="13B431C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E3820F" w14:textId="77777777" w:rsidR="00E2099A" w:rsidRDefault="00000000">
            <w:pPr>
              <w:keepNext/>
              <w:spacing w:after="60"/>
            </w:pPr>
            <w:r>
              <w:rPr>
                <w:rFonts w:ascii="Calibri" w:hAnsi="Calibri"/>
                <w:sz w:val="20"/>
              </w:rPr>
              <w:t>Battery electric vehicle stock</w:t>
            </w:r>
          </w:p>
        </w:tc>
        <w:tc>
          <w:tcPr>
            <w:tcW w:w="0" w:type="auto"/>
            <w:tcBorders>
              <w:top w:val="single" w:sz="0" w:space="0" w:color="D3D3D3"/>
              <w:left w:val="single" w:sz="0" w:space="0" w:color="D3D3D3"/>
              <w:bottom w:val="single" w:sz="0" w:space="0" w:color="D3D3D3"/>
              <w:right w:val="single" w:sz="0" w:space="0" w:color="D3D3D3"/>
            </w:tcBorders>
          </w:tcPr>
          <w:p w14:paraId="7E015203" w14:textId="77777777" w:rsidR="00E2099A" w:rsidRDefault="00000000">
            <w:pPr>
              <w:keepNext/>
              <w:spacing w:after="60"/>
            </w:pPr>
            <w:r>
              <w:rPr>
                <w:rFonts w:ascii="Calibri" w:hAnsi="Calibri"/>
                <w:sz w:val="20"/>
              </w:rPr>
              <w:t>Metro Transit Facts series; National Transit Database</w:t>
            </w:r>
          </w:p>
        </w:tc>
      </w:tr>
      <w:tr w:rsidR="00E2099A" w14:paraId="03C430B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E58BEA" w14:textId="77777777" w:rsidR="00E2099A" w:rsidRDefault="00000000">
            <w:pPr>
              <w:keepNext/>
              <w:spacing w:after="60"/>
            </w:pPr>
            <w:r>
              <w:rPr>
                <w:rFonts w:ascii="Calibri" w:hAnsi="Calibri"/>
                <w:sz w:val="20"/>
              </w:rPr>
              <w:t>Total existing vehicles</w:t>
            </w:r>
          </w:p>
        </w:tc>
        <w:tc>
          <w:tcPr>
            <w:tcW w:w="0" w:type="auto"/>
            <w:tcBorders>
              <w:top w:val="single" w:sz="0" w:space="0" w:color="D3D3D3"/>
              <w:left w:val="single" w:sz="0" w:space="0" w:color="D3D3D3"/>
              <w:bottom w:val="single" w:sz="0" w:space="0" w:color="D3D3D3"/>
              <w:right w:val="single" w:sz="0" w:space="0" w:color="D3D3D3"/>
            </w:tcBorders>
          </w:tcPr>
          <w:p w14:paraId="3B353878" w14:textId="77777777" w:rsidR="00E2099A" w:rsidRDefault="00000000">
            <w:pPr>
              <w:keepNext/>
              <w:spacing w:after="60"/>
            </w:pPr>
            <w:r>
              <w:rPr>
                <w:rFonts w:ascii="Calibri" w:hAnsi="Calibri"/>
                <w:sz w:val="20"/>
              </w:rPr>
              <w:t>Metro Transit Facts series; National Transit Database</w:t>
            </w:r>
          </w:p>
        </w:tc>
      </w:tr>
      <w:tr w:rsidR="00E2099A" w14:paraId="228C9C2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8E5E50" w14:textId="77777777" w:rsidR="00E2099A" w:rsidRDefault="00000000">
            <w:pPr>
              <w:keepNext/>
              <w:spacing w:after="60"/>
            </w:pPr>
            <w:r>
              <w:rPr>
                <w:rFonts w:ascii="Calibri" w:hAnsi="Calibri"/>
                <w:sz w:val="20"/>
              </w:rPr>
              <w:t>Biodiesel bus existing stock</w:t>
            </w:r>
          </w:p>
        </w:tc>
        <w:tc>
          <w:tcPr>
            <w:tcW w:w="0" w:type="auto"/>
            <w:tcBorders>
              <w:top w:val="single" w:sz="0" w:space="0" w:color="D3D3D3"/>
              <w:left w:val="single" w:sz="0" w:space="0" w:color="D3D3D3"/>
              <w:bottom w:val="single" w:sz="0" w:space="0" w:color="D3D3D3"/>
              <w:right w:val="single" w:sz="0" w:space="0" w:color="D3D3D3"/>
            </w:tcBorders>
          </w:tcPr>
          <w:p w14:paraId="28C4D784" w14:textId="77777777" w:rsidR="00E2099A" w:rsidRDefault="00000000">
            <w:pPr>
              <w:keepNext/>
              <w:spacing w:after="60"/>
            </w:pPr>
            <w:r>
              <w:rPr>
                <w:rFonts w:ascii="Calibri" w:hAnsi="Calibri"/>
                <w:sz w:val="20"/>
              </w:rPr>
              <w:t>Metro Transit Facts series; National Transit Database</w:t>
            </w:r>
          </w:p>
        </w:tc>
      </w:tr>
      <w:tr w:rsidR="00E2099A" w14:paraId="77C3EB2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4E41CF" w14:textId="77777777" w:rsidR="00E2099A" w:rsidRDefault="00000000">
            <w:pPr>
              <w:keepNext/>
              <w:spacing w:after="60"/>
            </w:pPr>
            <w:r>
              <w:rPr>
                <w:rFonts w:ascii="Calibri" w:hAnsi="Calibri"/>
                <w:sz w:val="20"/>
              </w:rPr>
              <w:t>Existing hybrid electric vehicles</w:t>
            </w:r>
          </w:p>
        </w:tc>
        <w:tc>
          <w:tcPr>
            <w:tcW w:w="0" w:type="auto"/>
            <w:tcBorders>
              <w:top w:val="single" w:sz="0" w:space="0" w:color="D3D3D3"/>
              <w:left w:val="single" w:sz="0" w:space="0" w:color="D3D3D3"/>
              <w:bottom w:val="single" w:sz="0" w:space="0" w:color="D3D3D3"/>
              <w:right w:val="single" w:sz="0" w:space="0" w:color="D3D3D3"/>
            </w:tcBorders>
          </w:tcPr>
          <w:p w14:paraId="603F4EEE" w14:textId="77777777" w:rsidR="00E2099A" w:rsidRDefault="00000000">
            <w:pPr>
              <w:keepNext/>
              <w:spacing w:after="60"/>
            </w:pPr>
            <w:r>
              <w:rPr>
                <w:rFonts w:ascii="Calibri" w:hAnsi="Calibri"/>
                <w:sz w:val="20"/>
              </w:rPr>
              <w:t>Metro Transit Facts series; National Transit Database</w:t>
            </w:r>
          </w:p>
        </w:tc>
      </w:tr>
      <w:tr w:rsidR="00E2099A" w14:paraId="1F19049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21508C" w14:textId="77777777" w:rsidR="00E2099A" w:rsidRDefault="00000000">
            <w:pPr>
              <w:keepNext/>
              <w:spacing w:after="60"/>
            </w:pPr>
            <w:r>
              <w:rPr>
                <w:rFonts w:ascii="Calibri" w:hAnsi="Calibri"/>
                <w:sz w:val="20"/>
              </w:rPr>
              <w:t>Existing battery electric vehicles</w:t>
            </w:r>
          </w:p>
        </w:tc>
        <w:tc>
          <w:tcPr>
            <w:tcW w:w="0" w:type="auto"/>
            <w:tcBorders>
              <w:top w:val="single" w:sz="0" w:space="0" w:color="D3D3D3"/>
              <w:left w:val="single" w:sz="0" w:space="0" w:color="D3D3D3"/>
              <w:bottom w:val="single" w:sz="0" w:space="0" w:color="D3D3D3"/>
              <w:right w:val="single" w:sz="0" w:space="0" w:color="D3D3D3"/>
            </w:tcBorders>
          </w:tcPr>
          <w:p w14:paraId="431BDDCE" w14:textId="77777777" w:rsidR="00E2099A" w:rsidRDefault="00000000">
            <w:pPr>
              <w:keepNext/>
              <w:spacing w:after="60"/>
            </w:pPr>
            <w:r>
              <w:rPr>
                <w:rFonts w:ascii="Calibri" w:hAnsi="Calibri"/>
                <w:sz w:val="20"/>
              </w:rPr>
              <w:t>Metro Transit Facts series; National Transit Database</w:t>
            </w:r>
          </w:p>
        </w:tc>
      </w:tr>
      <w:tr w:rsidR="00E2099A" w14:paraId="7930A3E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DD2367A" w14:textId="77777777" w:rsidR="00E2099A" w:rsidRDefault="00000000">
            <w:pPr>
              <w:keepNext/>
              <w:spacing w:after="60"/>
            </w:pPr>
            <w:r>
              <w:rPr>
                <w:rFonts w:ascii="Calibri" w:hAnsi="Calibri"/>
                <w:sz w:val="20"/>
              </w:rPr>
              <w:t>Total vehicle sales</w:t>
            </w:r>
          </w:p>
        </w:tc>
        <w:tc>
          <w:tcPr>
            <w:tcW w:w="0" w:type="auto"/>
            <w:tcBorders>
              <w:top w:val="single" w:sz="0" w:space="0" w:color="D3D3D3"/>
              <w:left w:val="single" w:sz="0" w:space="0" w:color="D3D3D3"/>
              <w:bottom w:val="single" w:sz="0" w:space="0" w:color="D3D3D3"/>
              <w:right w:val="single" w:sz="0" w:space="0" w:color="D3D3D3"/>
            </w:tcBorders>
          </w:tcPr>
          <w:p w14:paraId="2480B872" w14:textId="77777777" w:rsidR="00E2099A" w:rsidRDefault="00000000">
            <w:pPr>
              <w:keepNext/>
              <w:spacing w:after="60"/>
            </w:pPr>
            <w:r>
              <w:rPr>
                <w:rFonts w:ascii="Calibri" w:hAnsi="Calibri"/>
                <w:sz w:val="20"/>
              </w:rPr>
              <w:t>Metro Transit Facts series; National Transit Database</w:t>
            </w:r>
          </w:p>
        </w:tc>
      </w:tr>
      <w:tr w:rsidR="00E2099A" w14:paraId="01B0C7E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A0C1753" w14:textId="77777777" w:rsidR="00E2099A" w:rsidRDefault="00000000">
            <w:pPr>
              <w:keepNext/>
              <w:spacing w:after="60"/>
            </w:pPr>
            <w:r>
              <w:rPr>
                <w:rFonts w:ascii="Calibri" w:hAnsi="Calibri"/>
                <w:sz w:val="20"/>
              </w:rPr>
              <w:t>Biodiesel bus sales</w:t>
            </w:r>
          </w:p>
        </w:tc>
        <w:tc>
          <w:tcPr>
            <w:tcW w:w="0" w:type="auto"/>
            <w:tcBorders>
              <w:top w:val="single" w:sz="0" w:space="0" w:color="D3D3D3"/>
              <w:left w:val="single" w:sz="0" w:space="0" w:color="D3D3D3"/>
              <w:bottom w:val="single" w:sz="0" w:space="0" w:color="D3D3D3"/>
              <w:right w:val="single" w:sz="0" w:space="0" w:color="D3D3D3"/>
            </w:tcBorders>
          </w:tcPr>
          <w:p w14:paraId="1CE7BFAB" w14:textId="77777777" w:rsidR="00E2099A" w:rsidRDefault="00000000">
            <w:pPr>
              <w:keepNext/>
              <w:spacing w:after="60"/>
            </w:pPr>
            <w:r>
              <w:rPr>
                <w:rFonts w:ascii="Calibri" w:hAnsi="Calibri"/>
                <w:sz w:val="20"/>
              </w:rPr>
              <w:t>Metro Transit Facts series; National Transit Database</w:t>
            </w:r>
          </w:p>
        </w:tc>
      </w:tr>
      <w:tr w:rsidR="00E2099A" w14:paraId="133FCA8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5F1DF60" w14:textId="77777777" w:rsidR="00E2099A" w:rsidRDefault="00000000">
            <w:pPr>
              <w:keepNext/>
              <w:spacing w:after="60"/>
            </w:pPr>
            <w:r>
              <w:rPr>
                <w:rFonts w:ascii="Calibri" w:hAnsi="Calibri"/>
                <w:sz w:val="20"/>
              </w:rPr>
              <w:t>Total hybrid electric sales</w:t>
            </w:r>
          </w:p>
        </w:tc>
        <w:tc>
          <w:tcPr>
            <w:tcW w:w="0" w:type="auto"/>
            <w:tcBorders>
              <w:top w:val="single" w:sz="0" w:space="0" w:color="D3D3D3"/>
              <w:left w:val="single" w:sz="0" w:space="0" w:color="D3D3D3"/>
              <w:bottom w:val="single" w:sz="0" w:space="0" w:color="D3D3D3"/>
              <w:right w:val="single" w:sz="0" w:space="0" w:color="D3D3D3"/>
            </w:tcBorders>
          </w:tcPr>
          <w:p w14:paraId="5B136CBF" w14:textId="77777777" w:rsidR="00E2099A" w:rsidRDefault="00000000">
            <w:pPr>
              <w:keepNext/>
              <w:spacing w:after="60"/>
            </w:pPr>
            <w:r>
              <w:rPr>
                <w:rFonts w:ascii="Calibri" w:hAnsi="Calibri"/>
                <w:sz w:val="20"/>
              </w:rPr>
              <w:t>Metro Transit Facts series; National Transit Database</w:t>
            </w:r>
          </w:p>
        </w:tc>
      </w:tr>
      <w:tr w:rsidR="00E2099A" w14:paraId="3B780F5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489F04" w14:textId="77777777" w:rsidR="00E2099A" w:rsidRDefault="00000000">
            <w:pPr>
              <w:keepNext/>
              <w:spacing w:after="60"/>
            </w:pPr>
            <w:r>
              <w:rPr>
                <w:rFonts w:ascii="Calibri" w:hAnsi="Calibri"/>
                <w:sz w:val="20"/>
              </w:rPr>
              <w:t>Total battery electric sales</w:t>
            </w:r>
          </w:p>
        </w:tc>
        <w:tc>
          <w:tcPr>
            <w:tcW w:w="0" w:type="auto"/>
            <w:tcBorders>
              <w:top w:val="single" w:sz="0" w:space="0" w:color="D3D3D3"/>
              <w:left w:val="single" w:sz="0" w:space="0" w:color="D3D3D3"/>
              <w:bottom w:val="single" w:sz="0" w:space="0" w:color="D3D3D3"/>
              <w:right w:val="single" w:sz="0" w:space="0" w:color="D3D3D3"/>
            </w:tcBorders>
          </w:tcPr>
          <w:p w14:paraId="2A09225D" w14:textId="77777777" w:rsidR="00E2099A" w:rsidRDefault="00000000">
            <w:pPr>
              <w:keepNext/>
              <w:spacing w:after="60"/>
            </w:pPr>
            <w:r>
              <w:rPr>
                <w:rFonts w:ascii="Calibri" w:hAnsi="Calibri"/>
                <w:sz w:val="20"/>
              </w:rPr>
              <w:t>Metro Transit Facts series; National Transit Database</w:t>
            </w:r>
          </w:p>
        </w:tc>
      </w:tr>
      <w:tr w:rsidR="00E2099A" w14:paraId="3A7206C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7F085D9" w14:textId="77777777" w:rsidR="00E2099A" w:rsidRDefault="00000000">
            <w:pPr>
              <w:keepNext/>
              <w:spacing w:after="60"/>
            </w:pPr>
            <w:r>
              <w:rPr>
                <w:rFonts w:ascii="Calibri" w:hAnsi="Calibri"/>
                <w:sz w:val="20"/>
              </w:rPr>
              <w:t>Passenger miles traveled</w:t>
            </w:r>
          </w:p>
        </w:tc>
        <w:tc>
          <w:tcPr>
            <w:tcW w:w="0" w:type="auto"/>
            <w:tcBorders>
              <w:top w:val="single" w:sz="0" w:space="0" w:color="D3D3D3"/>
              <w:left w:val="single" w:sz="0" w:space="0" w:color="D3D3D3"/>
              <w:bottom w:val="single" w:sz="0" w:space="0" w:color="D3D3D3"/>
              <w:right w:val="single" w:sz="0" w:space="0" w:color="D3D3D3"/>
            </w:tcBorders>
          </w:tcPr>
          <w:p w14:paraId="314B8D21" w14:textId="77777777" w:rsidR="00E2099A" w:rsidRDefault="00000000">
            <w:pPr>
              <w:keepNext/>
              <w:spacing w:after="60"/>
            </w:pPr>
            <w:r>
              <w:rPr>
                <w:rFonts w:ascii="Calibri" w:hAnsi="Calibri"/>
                <w:sz w:val="20"/>
              </w:rPr>
              <w:t>Metropolitan Council Travel Demand Model</w:t>
            </w:r>
          </w:p>
        </w:tc>
      </w:tr>
      <w:tr w:rsidR="00E2099A" w14:paraId="4EA9190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7AC753" w14:textId="77777777" w:rsidR="00E2099A" w:rsidRDefault="00000000">
            <w:pPr>
              <w:keepNext/>
              <w:spacing w:after="60"/>
            </w:pPr>
            <w:r>
              <w:rPr>
                <w:rFonts w:ascii="Calibri" w:hAnsi="Calibri"/>
                <w:sz w:val="20"/>
              </w:rPr>
              <w:t>Biodiesel bus fuel economy, miles per gallon</w:t>
            </w:r>
          </w:p>
        </w:tc>
        <w:tc>
          <w:tcPr>
            <w:tcW w:w="0" w:type="auto"/>
            <w:tcBorders>
              <w:top w:val="single" w:sz="0" w:space="0" w:color="D3D3D3"/>
              <w:left w:val="single" w:sz="0" w:space="0" w:color="D3D3D3"/>
              <w:bottom w:val="single" w:sz="0" w:space="0" w:color="D3D3D3"/>
              <w:right w:val="single" w:sz="0" w:space="0" w:color="D3D3D3"/>
            </w:tcBorders>
          </w:tcPr>
          <w:p w14:paraId="583D9C7C" w14:textId="77777777" w:rsidR="00E2099A" w:rsidRDefault="00000000">
            <w:pPr>
              <w:keepNext/>
              <w:spacing w:after="60"/>
            </w:pPr>
            <w:r>
              <w:rPr>
                <w:rFonts w:ascii="Calibri" w:hAnsi="Calibri"/>
                <w:sz w:val="20"/>
              </w:rPr>
              <w:t>O'Dea, 2018</w:t>
            </w:r>
          </w:p>
        </w:tc>
      </w:tr>
      <w:tr w:rsidR="00E2099A" w14:paraId="772144F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316B5F" w14:textId="77777777" w:rsidR="00E2099A" w:rsidRDefault="00000000">
            <w:pPr>
              <w:keepNext/>
              <w:spacing w:after="60"/>
            </w:pPr>
            <w:r>
              <w:rPr>
                <w:rFonts w:ascii="Calibri" w:hAnsi="Calibri"/>
                <w:sz w:val="20"/>
              </w:rPr>
              <w:t>Hybrid electric fuel economy</w:t>
            </w:r>
          </w:p>
        </w:tc>
        <w:tc>
          <w:tcPr>
            <w:tcW w:w="0" w:type="auto"/>
            <w:tcBorders>
              <w:top w:val="single" w:sz="0" w:space="0" w:color="D3D3D3"/>
              <w:left w:val="single" w:sz="0" w:space="0" w:color="D3D3D3"/>
              <w:bottom w:val="single" w:sz="0" w:space="0" w:color="D3D3D3"/>
              <w:right w:val="single" w:sz="0" w:space="0" w:color="D3D3D3"/>
            </w:tcBorders>
          </w:tcPr>
          <w:p w14:paraId="2AF0E8D7" w14:textId="77777777" w:rsidR="00E2099A" w:rsidRDefault="00000000">
            <w:pPr>
              <w:keepNext/>
              <w:spacing w:after="60"/>
            </w:pPr>
            <w:r>
              <w:rPr>
                <w:rFonts w:ascii="Calibri" w:hAnsi="Calibri"/>
                <w:sz w:val="20"/>
              </w:rPr>
              <w:t>O'Dea, 2018</w:t>
            </w:r>
          </w:p>
        </w:tc>
      </w:tr>
      <w:tr w:rsidR="00E2099A" w14:paraId="171D144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5F8ECC" w14:textId="77777777" w:rsidR="00E2099A" w:rsidRDefault="00000000">
            <w:pPr>
              <w:keepNext/>
              <w:spacing w:after="60"/>
            </w:pPr>
            <w:r>
              <w:rPr>
                <w:rFonts w:ascii="Calibri" w:hAnsi="Calibri"/>
                <w:sz w:val="20"/>
              </w:rPr>
              <w:t>Battery electric vehicle electricity conusmption</w:t>
            </w:r>
          </w:p>
        </w:tc>
        <w:tc>
          <w:tcPr>
            <w:tcW w:w="0" w:type="auto"/>
            <w:tcBorders>
              <w:top w:val="single" w:sz="0" w:space="0" w:color="D3D3D3"/>
              <w:left w:val="single" w:sz="0" w:space="0" w:color="D3D3D3"/>
              <w:bottom w:val="single" w:sz="0" w:space="0" w:color="D3D3D3"/>
              <w:right w:val="single" w:sz="0" w:space="0" w:color="D3D3D3"/>
            </w:tcBorders>
          </w:tcPr>
          <w:p w14:paraId="36F604A6" w14:textId="77777777" w:rsidR="00E2099A" w:rsidRDefault="00000000">
            <w:pPr>
              <w:keepNext/>
              <w:spacing w:after="60"/>
            </w:pPr>
            <w:r>
              <w:rPr>
                <w:rFonts w:ascii="Calibri" w:hAnsi="Calibri"/>
                <w:sz w:val="20"/>
              </w:rPr>
              <w:t>National Transit Database</w:t>
            </w:r>
          </w:p>
        </w:tc>
      </w:tr>
      <w:tr w:rsidR="00E2099A" w14:paraId="6872F45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1A05FBB" w14:textId="77777777" w:rsidR="00E2099A" w:rsidRDefault="00000000">
            <w:pPr>
              <w:keepNext/>
              <w:spacing w:after="60"/>
            </w:pPr>
            <w:r>
              <w:rPr>
                <w:rFonts w:ascii="Calibri" w:hAnsi="Calibri"/>
                <w:sz w:val="20"/>
              </w:rPr>
              <w:t>Average vehicle occupancy</w:t>
            </w:r>
          </w:p>
        </w:tc>
        <w:tc>
          <w:tcPr>
            <w:tcW w:w="0" w:type="auto"/>
            <w:tcBorders>
              <w:top w:val="single" w:sz="0" w:space="0" w:color="D3D3D3"/>
              <w:left w:val="single" w:sz="0" w:space="0" w:color="D3D3D3"/>
              <w:bottom w:val="single" w:sz="0" w:space="0" w:color="D3D3D3"/>
              <w:right w:val="single" w:sz="0" w:space="0" w:color="D3D3D3"/>
            </w:tcBorders>
          </w:tcPr>
          <w:p w14:paraId="108564A6" w14:textId="77777777" w:rsidR="00E2099A" w:rsidRDefault="00000000">
            <w:pPr>
              <w:keepNext/>
              <w:spacing w:after="60"/>
            </w:pPr>
            <w:r>
              <w:rPr>
                <w:rFonts w:ascii="Calibri" w:hAnsi="Calibri"/>
                <w:sz w:val="20"/>
              </w:rPr>
              <w:t>Khani, Cao et. al., 2018</w:t>
            </w:r>
          </w:p>
        </w:tc>
      </w:tr>
      <w:tr w:rsidR="00E2099A" w14:paraId="6198AE89"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1D159F9B" w14:textId="77777777" w:rsidR="00E2099A" w:rsidRDefault="00000000">
            <w:pPr>
              <w:keepNext/>
              <w:spacing w:after="60"/>
            </w:pPr>
            <w:r>
              <w:rPr>
                <w:rFonts w:ascii="Calibri" w:hAnsi="Calibri"/>
                <w:sz w:val="20"/>
              </w:rPr>
              <w:t>Urban rail</w:t>
            </w:r>
          </w:p>
        </w:tc>
      </w:tr>
      <w:tr w:rsidR="00E2099A" w14:paraId="46FF517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6CA492" w14:textId="77777777" w:rsidR="00E2099A" w:rsidRDefault="00000000">
            <w:pPr>
              <w:keepNext/>
              <w:spacing w:after="60"/>
            </w:pPr>
            <w:r>
              <w:rPr>
                <w:rFonts w:ascii="Calibri" w:hAnsi="Calibri"/>
                <w:sz w:val="20"/>
              </w:rPr>
              <w:t>Total stock of vehicles</w:t>
            </w:r>
          </w:p>
        </w:tc>
        <w:tc>
          <w:tcPr>
            <w:tcW w:w="0" w:type="auto"/>
            <w:tcBorders>
              <w:top w:val="single" w:sz="0" w:space="0" w:color="D3D3D3"/>
              <w:left w:val="single" w:sz="0" w:space="0" w:color="D3D3D3"/>
              <w:bottom w:val="single" w:sz="0" w:space="0" w:color="D3D3D3"/>
              <w:right w:val="single" w:sz="0" w:space="0" w:color="D3D3D3"/>
            </w:tcBorders>
          </w:tcPr>
          <w:p w14:paraId="17F256F9" w14:textId="77777777" w:rsidR="00E2099A" w:rsidRDefault="00000000">
            <w:pPr>
              <w:keepNext/>
              <w:spacing w:after="60"/>
            </w:pPr>
            <w:r>
              <w:rPr>
                <w:rFonts w:ascii="Calibri" w:hAnsi="Calibri"/>
                <w:sz w:val="20"/>
              </w:rPr>
              <w:t>Not measured</w:t>
            </w:r>
          </w:p>
        </w:tc>
      </w:tr>
      <w:tr w:rsidR="00E2099A" w14:paraId="5B5E173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E444BA" w14:textId="77777777" w:rsidR="00E2099A" w:rsidRDefault="00000000">
            <w:pPr>
              <w:keepNext/>
              <w:spacing w:after="60"/>
            </w:pPr>
            <w:r>
              <w:rPr>
                <w:rFonts w:ascii="Calibri" w:hAnsi="Calibri"/>
                <w:sz w:val="20"/>
              </w:rPr>
              <w:t>Stock of electric train vehicles</w:t>
            </w:r>
          </w:p>
        </w:tc>
        <w:tc>
          <w:tcPr>
            <w:tcW w:w="0" w:type="auto"/>
            <w:tcBorders>
              <w:top w:val="single" w:sz="0" w:space="0" w:color="D3D3D3"/>
              <w:left w:val="single" w:sz="0" w:space="0" w:color="D3D3D3"/>
              <w:bottom w:val="single" w:sz="0" w:space="0" w:color="D3D3D3"/>
              <w:right w:val="single" w:sz="0" w:space="0" w:color="D3D3D3"/>
            </w:tcBorders>
          </w:tcPr>
          <w:p w14:paraId="0F2D63E6" w14:textId="77777777" w:rsidR="00E2099A" w:rsidRDefault="00000000">
            <w:pPr>
              <w:keepNext/>
              <w:spacing w:after="60"/>
            </w:pPr>
            <w:r>
              <w:rPr>
                <w:rFonts w:ascii="Calibri" w:hAnsi="Calibri"/>
                <w:sz w:val="20"/>
              </w:rPr>
              <w:t>Not measured</w:t>
            </w:r>
          </w:p>
        </w:tc>
      </w:tr>
      <w:tr w:rsidR="00E2099A" w14:paraId="3B45088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3AE7133" w14:textId="77777777" w:rsidR="00E2099A" w:rsidRDefault="00000000">
            <w:pPr>
              <w:keepNext/>
              <w:spacing w:after="60"/>
            </w:pPr>
            <w:r>
              <w:rPr>
                <w:rFonts w:ascii="Calibri" w:hAnsi="Calibri"/>
                <w:sz w:val="20"/>
              </w:rPr>
              <w:t>Passenger miles traveled</w:t>
            </w:r>
          </w:p>
        </w:tc>
        <w:tc>
          <w:tcPr>
            <w:tcW w:w="0" w:type="auto"/>
            <w:tcBorders>
              <w:top w:val="single" w:sz="0" w:space="0" w:color="D3D3D3"/>
              <w:left w:val="single" w:sz="0" w:space="0" w:color="D3D3D3"/>
              <w:bottom w:val="single" w:sz="0" w:space="0" w:color="D3D3D3"/>
              <w:right w:val="single" w:sz="0" w:space="0" w:color="D3D3D3"/>
            </w:tcBorders>
          </w:tcPr>
          <w:p w14:paraId="16399CE7" w14:textId="77777777" w:rsidR="00E2099A" w:rsidRDefault="00000000">
            <w:pPr>
              <w:keepNext/>
              <w:spacing w:after="60"/>
            </w:pPr>
            <w:r>
              <w:rPr>
                <w:rFonts w:ascii="Calibri" w:hAnsi="Calibri"/>
                <w:sz w:val="20"/>
              </w:rPr>
              <w:t>Metropolitan Council Travel Demand Model</w:t>
            </w:r>
          </w:p>
        </w:tc>
      </w:tr>
      <w:tr w:rsidR="00E2099A" w14:paraId="6626C4C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662A18" w14:textId="77777777" w:rsidR="00E2099A" w:rsidRDefault="00000000">
            <w:pPr>
              <w:keepNext/>
              <w:spacing w:after="60"/>
            </w:pPr>
            <w:r>
              <w:rPr>
                <w:rFonts w:ascii="Calibri" w:hAnsi="Calibri"/>
                <w:sz w:val="20"/>
              </w:rPr>
              <w:t>Electric vehicle electricity consumption for rail</w:t>
            </w:r>
          </w:p>
        </w:tc>
        <w:tc>
          <w:tcPr>
            <w:tcW w:w="0" w:type="auto"/>
            <w:tcBorders>
              <w:top w:val="single" w:sz="0" w:space="0" w:color="D3D3D3"/>
              <w:left w:val="single" w:sz="0" w:space="0" w:color="D3D3D3"/>
              <w:bottom w:val="single" w:sz="0" w:space="0" w:color="D3D3D3"/>
              <w:right w:val="single" w:sz="0" w:space="0" w:color="D3D3D3"/>
            </w:tcBorders>
          </w:tcPr>
          <w:p w14:paraId="0469B3E3" w14:textId="77777777" w:rsidR="00E2099A" w:rsidRDefault="00000000">
            <w:pPr>
              <w:keepNext/>
              <w:spacing w:after="60"/>
            </w:pPr>
            <w:r>
              <w:rPr>
                <w:rFonts w:ascii="Calibri" w:hAnsi="Calibri"/>
                <w:sz w:val="20"/>
              </w:rPr>
              <w:t>National Transit Database</w:t>
            </w:r>
          </w:p>
        </w:tc>
      </w:tr>
      <w:tr w:rsidR="00E2099A" w14:paraId="47FEAE3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582B22" w14:textId="77777777" w:rsidR="00E2099A" w:rsidRDefault="00000000">
            <w:pPr>
              <w:keepNext/>
              <w:spacing w:after="60"/>
            </w:pPr>
            <w:r>
              <w:rPr>
                <w:rFonts w:ascii="Calibri" w:hAnsi="Calibri"/>
                <w:sz w:val="20"/>
              </w:rPr>
              <w:t>Average vehicle occupancy</w:t>
            </w:r>
          </w:p>
        </w:tc>
        <w:tc>
          <w:tcPr>
            <w:tcW w:w="0" w:type="auto"/>
            <w:tcBorders>
              <w:top w:val="single" w:sz="0" w:space="0" w:color="D3D3D3"/>
              <w:left w:val="single" w:sz="0" w:space="0" w:color="D3D3D3"/>
              <w:bottom w:val="single" w:sz="0" w:space="0" w:color="D3D3D3"/>
              <w:right w:val="single" w:sz="0" w:space="0" w:color="D3D3D3"/>
            </w:tcBorders>
          </w:tcPr>
          <w:p w14:paraId="697BA891" w14:textId="77777777" w:rsidR="00E2099A" w:rsidRDefault="00000000">
            <w:pPr>
              <w:keepNext/>
              <w:spacing w:after="60"/>
            </w:pPr>
            <w:r>
              <w:rPr>
                <w:rFonts w:ascii="Calibri" w:hAnsi="Calibri"/>
                <w:sz w:val="20"/>
              </w:rPr>
              <w:t>Khani, Cao et. al., 2018</w:t>
            </w:r>
          </w:p>
        </w:tc>
      </w:tr>
      <w:tr w:rsidR="00E2099A" w14:paraId="59B082B6"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106DA71B" w14:textId="77777777" w:rsidR="00E2099A" w:rsidRDefault="00000000">
            <w:pPr>
              <w:keepNext/>
              <w:spacing w:after="60"/>
            </w:pPr>
            <w:r>
              <w:rPr>
                <w:rFonts w:ascii="Calibri" w:hAnsi="Calibri"/>
                <w:sz w:val="20"/>
              </w:rPr>
              <w:t>Intercity rail</w:t>
            </w:r>
          </w:p>
        </w:tc>
      </w:tr>
      <w:tr w:rsidR="00E2099A" w14:paraId="2301792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935A07" w14:textId="77777777" w:rsidR="00E2099A" w:rsidRDefault="00000000">
            <w:pPr>
              <w:keepNext/>
              <w:spacing w:after="60"/>
            </w:pPr>
            <w:r>
              <w:rPr>
                <w:rFonts w:ascii="Calibri" w:hAnsi="Calibri"/>
                <w:sz w:val="20"/>
              </w:rPr>
              <w:t>Total stock of vehicles</w:t>
            </w:r>
          </w:p>
        </w:tc>
        <w:tc>
          <w:tcPr>
            <w:tcW w:w="0" w:type="auto"/>
            <w:tcBorders>
              <w:top w:val="single" w:sz="0" w:space="0" w:color="D3D3D3"/>
              <w:left w:val="single" w:sz="0" w:space="0" w:color="D3D3D3"/>
              <w:bottom w:val="single" w:sz="0" w:space="0" w:color="D3D3D3"/>
              <w:right w:val="single" w:sz="0" w:space="0" w:color="D3D3D3"/>
            </w:tcBorders>
          </w:tcPr>
          <w:p w14:paraId="26F1BD8C" w14:textId="77777777" w:rsidR="00E2099A" w:rsidRDefault="00000000">
            <w:pPr>
              <w:keepNext/>
              <w:spacing w:after="60"/>
            </w:pPr>
            <w:r>
              <w:rPr>
                <w:rFonts w:ascii="Calibri" w:hAnsi="Calibri"/>
                <w:sz w:val="20"/>
              </w:rPr>
              <w:t>Not measured</w:t>
            </w:r>
          </w:p>
        </w:tc>
      </w:tr>
      <w:tr w:rsidR="00E2099A" w14:paraId="64C26BB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90B597" w14:textId="77777777" w:rsidR="00E2099A" w:rsidRDefault="00000000">
            <w:pPr>
              <w:keepNext/>
              <w:spacing w:after="60"/>
            </w:pPr>
            <w:r>
              <w:rPr>
                <w:rFonts w:ascii="Calibri" w:hAnsi="Calibri"/>
                <w:sz w:val="20"/>
              </w:rPr>
              <w:t>Biodiesel bus stock</w:t>
            </w:r>
          </w:p>
        </w:tc>
        <w:tc>
          <w:tcPr>
            <w:tcW w:w="0" w:type="auto"/>
            <w:tcBorders>
              <w:top w:val="single" w:sz="0" w:space="0" w:color="D3D3D3"/>
              <w:left w:val="single" w:sz="0" w:space="0" w:color="D3D3D3"/>
              <w:bottom w:val="single" w:sz="0" w:space="0" w:color="D3D3D3"/>
              <w:right w:val="single" w:sz="0" w:space="0" w:color="D3D3D3"/>
            </w:tcBorders>
          </w:tcPr>
          <w:p w14:paraId="6C932A15" w14:textId="77777777" w:rsidR="00E2099A" w:rsidRDefault="00000000">
            <w:pPr>
              <w:keepNext/>
              <w:spacing w:after="60"/>
            </w:pPr>
            <w:r>
              <w:rPr>
                <w:rFonts w:ascii="Calibri" w:hAnsi="Calibri"/>
                <w:sz w:val="20"/>
              </w:rPr>
              <w:t>Not measured</w:t>
            </w:r>
          </w:p>
        </w:tc>
      </w:tr>
      <w:tr w:rsidR="00E2099A" w14:paraId="596D5F3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ABA167" w14:textId="77777777" w:rsidR="00E2099A" w:rsidRDefault="00000000">
            <w:pPr>
              <w:keepNext/>
              <w:spacing w:after="60"/>
            </w:pPr>
            <w:r>
              <w:rPr>
                <w:rFonts w:ascii="Calibri" w:hAnsi="Calibri"/>
                <w:sz w:val="20"/>
              </w:rPr>
              <w:t>Stock of electric train vehicles</w:t>
            </w:r>
          </w:p>
        </w:tc>
        <w:tc>
          <w:tcPr>
            <w:tcW w:w="0" w:type="auto"/>
            <w:tcBorders>
              <w:top w:val="single" w:sz="0" w:space="0" w:color="D3D3D3"/>
              <w:left w:val="single" w:sz="0" w:space="0" w:color="D3D3D3"/>
              <w:bottom w:val="single" w:sz="0" w:space="0" w:color="D3D3D3"/>
              <w:right w:val="single" w:sz="0" w:space="0" w:color="D3D3D3"/>
            </w:tcBorders>
          </w:tcPr>
          <w:p w14:paraId="005BB64D" w14:textId="77777777" w:rsidR="00E2099A" w:rsidRDefault="00000000">
            <w:pPr>
              <w:keepNext/>
              <w:spacing w:after="60"/>
            </w:pPr>
            <w:r>
              <w:rPr>
                <w:rFonts w:ascii="Calibri" w:hAnsi="Calibri"/>
                <w:sz w:val="20"/>
              </w:rPr>
              <w:t>Not measured</w:t>
            </w:r>
          </w:p>
        </w:tc>
      </w:tr>
      <w:tr w:rsidR="00E2099A" w14:paraId="6F9A6E2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E9D5FC" w14:textId="77777777" w:rsidR="00E2099A" w:rsidRDefault="00000000">
            <w:pPr>
              <w:keepNext/>
              <w:spacing w:after="60"/>
            </w:pPr>
            <w:r>
              <w:rPr>
                <w:rFonts w:ascii="Calibri" w:hAnsi="Calibri"/>
                <w:sz w:val="20"/>
              </w:rPr>
              <w:t>Passenger miles traveled</w:t>
            </w:r>
          </w:p>
        </w:tc>
        <w:tc>
          <w:tcPr>
            <w:tcW w:w="0" w:type="auto"/>
            <w:tcBorders>
              <w:top w:val="single" w:sz="0" w:space="0" w:color="D3D3D3"/>
              <w:left w:val="single" w:sz="0" w:space="0" w:color="D3D3D3"/>
              <w:bottom w:val="single" w:sz="0" w:space="0" w:color="D3D3D3"/>
              <w:right w:val="single" w:sz="0" w:space="0" w:color="D3D3D3"/>
            </w:tcBorders>
          </w:tcPr>
          <w:p w14:paraId="4CC2FE16" w14:textId="77777777" w:rsidR="00E2099A" w:rsidRDefault="00000000">
            <w:pPr>
              <w:keepNext/>
              <w:spacing w:after="60"/>
            </w:pPr>
            <w:r>
              <w:rPr>
                <w:rFonts w:ascii="Calibri" w:hAnsi="Calibri"/>
                <w:sz w:val="20"/>
              </w:rPr>
              <w:t>Metropolitan Council Travel Demand Model</w:t>
            </w:r>
          </w:p>
        </w:tc>
      </w:tr>
      <w:tr w:rsidR="00E2099A" w14:paraId="6B3F54E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80B80B" w14:textId="77777777" w:rsidR="00E2099A" w:rsidRDefault="00000000">
            <w:pPr>
              <w:keepNext/>
              <w:spacing w:after="60"/>
            </w:pPr>
            <w:r>
              <w:rPr>
                <w:rFonts w:ascii="Calibri" w:hAnsi="Calibri"/>
                <w:sz w:val="20"/>
              </w:rPr>
              <w:t>Average vehicle occupancy</w:t>
            </w:r>
          </w:p>
        </w:tc>
        <w:tc>
          <w:tcPr>
            <w:tcW w:w="0" w:type="auto"/>
            <w:tcBorders>
              <w:top w:val="single" w:sz="0" w:space="0" w:color="D3D3D3"/>
              <w:left w:val="single" w:sz="0" w:space="0" w:color="D3D3D3"/>
              <w:bottom w:val="single" w:sz="0" w:space="0" w:color="D3D3D3"/>
              <w:right w:val="single" w:sz="0" w:space="0" w:color="D3D3D3"/>
            </w:tcBorders>
          </w:tcPr>
          <w:p w14:paraId="6F214ACC" w14:textId="77777777" w:rsidR="00E2099A" w:rsidRDefault="00000000">
            <w:pPr>
              <w:keepNext/>
              <w:spacing w:after="60"/>
            </w:pPr>
            <w:r>
              <w:rPr>
                <w:rFonts w:ascii="Calibri" w:hAnsi="Calibri"/>
                <w:sz w:val="20"/>
              </w:rPr>
              <w:t>Khani, Cao et. al., 2018</w:t>
            </w:r>
          </w:p>
        </w:tc>
      </w:tr>
      <w:tr w:rsidR="00E2099A" w14:paraId="39549C2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A988EB" w14:textId="77777777" w:rsidR="00E2099A" w:rsidRDefault="00000000">
            <w:pPr>
              <w:keepNext/>
              <w:spacing w:after="60"/>
            </w:pPr>
            <w:r>
              <w:rPr>
                <w:rFonts w:ascii="Calibri" w:hAnsi="Calibri"/>
                <w:sz w:val="20"/>
              </w:rPr>
              <w:t>Biodiesel bus fuel economy, miles per gallon</w:t>
            </w:r>
          </w:p>
        </w:tc>
        <w:tc>
          <w:tcPr>
            <w:tcW w:w="0" w:type="auto"/>
            <w:tcBorders>
              <w:top w:val="single" w:sz="0" w:space="0" w:color="D3D3D3"/>
              <w:left w:val="single" w:sz="0" w:space="0" w:color="D3D3D3"/>
              <w:bottom w:val="single" w:sz="0" w:space="0" w:color="D3D3D3"/>
              <w:right w:val="single" w:sz="0" w:space="0" w:color="D3D3D3"/>
            </w:tcBorders>
          </w:tcPr>
          <w:p w14:paraId="3DF69F93" w14:textId="77777777" w:rsidR="00E2099A" w:rsidRDefault="00000000">
            <w:pPr>
              <w:keepNext/>
              <w:spacing w:after="60"/>
            </w:pPr>
            <w:r>
              <w:rPr>
                <w:rFonts w:ascii="Calibri" w:hAnsi="Calibri"/>
                <w:sz w:val="20"/>
              </w:rPr>
              <w:t>National Transit Database</w:t>
            </w:r>
          </w:p>
        </w:tc>
      </w:tr>
      <w:tr w:rsidR="00E2099A" w14:paraId="780D0AF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F73E29" w14:textId="77777777" w:rsidR="00E2099A" w:rsidRDefault="00000000">
            <w:pPr>
              <w:keepNext/>
              <w:spacing w:after="60"/>
            </w:pPr>
            <w:r>
              <w:rPr>
                <w:rFonts w:ascii="Calibri" w:hAnsi="Calibri"/>
                <w:sz w:val="20"/>
              </w:rPr>
              <w:t>Electric vehicle electricity consumption for rail</w:t>
            </w:r>
          </w:p>
        </w:tc>
        <w:tc>
          <w:tcPr>
            <w:tcW w:w="0" w:type="auto"/>
            <w:tcBorders>
              <w:top w:val="single" w:sz="0" w:space="0" w:color="D3D3D3"/>
              <w:left w:val="single" w:sz="0" w:space="0" w:color="D3D3D3"/>
              <w:bottom w:val="single" w:sz="0" w:space="0" w:color="D3D3D3"/>
              <w:right w:val="single" w:sz="0" w:space="0" w:color="D3D3D3"/>
            </w:tcBorders>
          </w:tcPr>
          <w:p w14:paraId="11189B5D" w14:textId="77777777" w:rsidR="00E2099A" w:rsidRDefault="00000000">
            <w:pPr>
              <w:keepNext/>
              <w:spacing w:after="60"/>
            </w:pPr>
            <w:r>
              <w:rPr>
                <w:rFonts w:ascii="Calibri" w:hAnsi="Calibri"/>
                <w:sz w:val="20"/>
              </w:rPr>
              <w:t>National Transit Database</w:t>
            </w:r>
          </w:p>
        </w:tc>
      </w:tr>
      <w:tr w:rsidR="00E2099A" w14:paraId="5C9BBA66"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276B5B56" w14:textId="77777777" w:rsidR="00E2099A" w:rsidRDefault="00000000">
            <w:pPr>
              <w:keepNext/>
              <w:spacing w:after="60"/>
            </w:pPr>
            <w:r>
              <w:rPr>
                <w:rFonts w:ascii="Calibri" w:hAnsi="Calibri"/>
                <w:sz w:val="20"/>
              </w:rPr>
              <w:t>School bus</w:t>
            </w:r>
          </w:p>
        </w:tc>
      </w:tr>
      <w:tr w:rsidR="00E2099A" w14:paraId="039DB02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4AB1D2" w14:textId="77777777" w:rsidR="00E2099A" w:rsidRDefault="00000000">
            <w:pPr>
              <w:keepNext/>
              <w:spacing w:after="60"/>
            </w:pPr>
            <w:r>
              <w:rPr>
                <w:rFonts w:ascii="Calibri" w:hAnsi="Calibri"/>
                <w:sz w:val="20"/>
              </w:rPr>
              <w:t>Passenger miles traveled</w:t>
            </w:r>
          </w:p>
        </w:tc>
        <w:tc>
          <w:tcPr>
            <w:tcW w:w="0" w:type="auto"/>
            <w:tcBorders>
              <w:top w:val="single" w:sz="0" w:space="0" w:color="D3D3D3"/>
              <w:left w:val="single" w:sz="0" w:space="0" w:color="D3D3D3"/>
              <w:bottom w:val="single" w:sz="0" w:space="0" w:color="D3D3D3"/>
              <w:right w:val="single" w:sz="0" w:space="0" w:color="D3D3D3"/>
            </w:tcBorders>
          </w:tcPr>
          <w:p w14:paraId="1594AC2B" w14:textId="77777777" w:rsidR="00E2099A" w:rsidRDefault="00000000">
            <w:pPr>
              <w:keepNext/>
              <w:spacing w:after="60"/>
            </w:pPr>
            <w:r>
              <w:rPr>
                <w:rFonts w:ascii="Calibri" w:hAnsi="Calibri"/>
                <w:sz w:val="20"/>
              </w:rPr>
              <w:t>Metropolitan Council Travel Demand Model</w:t>
            </w:r>
          </w:p>
        </w:tc>
      </w:tr>
      <w:tr w:rsidR="00E2099A" w14:paraId="18A2E1D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7BD3C2" w14:textId="77777777" w:rsidR="00E2099A" w:rsidRDefault="00000000">
            <w:pPr>
              <w:keepNext/>
              <w:spacing w:after="60"/>
            </w:pPr>
            <w:r>
              <w:rPr>
                <w:rFonts w:ascii="Calibri" w:hAnsi="Calibri"/>
                <w:sz w:val="20"/>
              </w:rPr>
              <w:lastRenderedPageBreak/>
              <w:t>Total stock of vehicles</w:t>
            </w:r>
          </w:p>
        </w:tc>
        <w:tc>
          <w:tcPr>
            <w:tcW w:w="0" w:type="auto"/>
            <w:tcBorders>
              <w:top w:val="single" w:sz="0" w:space="0" w:color="D3D3D3"/>
              <w:left w:val="single" w:sz="0" w:space="0" w:color="D3D3D3"/>
              <w:bottom w:val="single" w:sz="0" w:space="0" w:color="D3D3D3"/>
              <w:right w:val="single" w:sz="0" w:space="0" w:color="D3D3D3"/>
            </w:tcBorders>
          </w:tcPr>
          <w:p w14:paraId="5077A286" w14:textId="77777777" w:rsidR="00E2099A" w:rsidRDefault="00000000">
            <w:pPr>
              <w:keepNext/>
              <w:spacing w:after="60"/>
            </w:pPr>
            <w:r>
              <w:rPr>
                <w:rFonts w:ascii="Calibri" w:hAnsi="Calibri"/>
                <w:sz w:val="20"/>
              </w:rPr>
              <w:t>Not measured</w:t>
            </w:r>
          </w:p>
        </w:tc>
      </w:tr>
      <w:tr w:rsidR="00E2099A" w14:paraId="5A63F2B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BEFC47" w14:textId="77777777" w:rsidR="00E2099A" w:rsidRDefault="00000000">
            <w:pPr>
              <w:keepNext/>
              <w:spacing w:after="60"/>
            </w:pPr>
            <w:r>
              <w:rPr>
                <w:rFonts w:ascii="Calibri" w:hAnsi="Calibri"/>
                <w:sz w:val="20"/>
              </w:rPr>
              <w:t>Compression ignition (diesel) stock</w:t>
            </w:r>
          </w:p>
        </w:tc>
        <w:tc>
          <w:tcPr>
            <w:tcW w:w="0" w:type="auto"/>
            <w:tcBorders>
              <w:top w:val="single" w:sz="0" w:space="0" w:color="D3D3D3"/>
              <w:left w:val="single" w:sz="0" w:space="0" w:color="D3D3D3"/>
              <w:bottom w:val="single" w:sz="0" w:space="0" w:color="D3D3D3"/>
              <w:right w:val="single" w:sz="0" w:space="0" w:color="D3D3D3"/>
            </w:tcBorders>
          </w:tcPr>
          <w:p w14:paraId="28E0FD58" w14:textId="77777777" w:rsidR="00E2099A" w:rsidRDefault="00000000">
            <w:pPr>
              <w:keepNext/>
              <w:spacing w:after="60"/>
            </w:pPr>
            <w:r>
              <w:rPr>
                <w:rFonts w:ascii="Calibri" w:hAnsi="Calibri"/>
                <w:sz w:val="20"/>
              </w:rPr>
              <w:t>Not measured</w:t>
            </w:r>
          </w:p>
        </w:tc>
      </w:tr>
      <w:tr w:rsidR="00E2099A" w14:paraId="0123617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63E100" w14:textId="77777777" w:rsidR="00E2099A" w:rsidRDefault="00000000">
            <w:pPr>
              <w:keepNext/>
              <w:spacing w:after="60"/>
            </w:pPr>
            <w:r>
              <w:rPr>
                <w:rFonts w:ascii="Calibri" w:hAnsi="Calibri"/>
                <w:sz w:val="20"/>
              </w:rPr>
              <w:t>Battery electric vehicle stock</w:t>
            </w:r>
          </w:p>
        </w:tc>
        <w:tc>
          <w:tcPr>
            <w:tcW w:w="0" w:type="auto"/>
            <w:tcBorders>
              <w:top w:val="single" w:sz="0" w:space="0" w:color="D3D3D3"/>
              <w:left w:val="single" w:sz="0" w:space="0" w:color="D3D3D3"/>
              <w:bottom w:val="single" w:sz="0" w:space="0" w:color="D3D3D3"/>
              <w:right w:val="single" w:sz="0" w:space="0" w:color="D3D3D3"/>
            </w:tcBorders>
          </w:tcPr>
          <w:p w14:paraId="5DBB9A82" w14:textId="77777777" w:rsidR="00E2099A" w:rsidRDefault="00000000">
            <w:pPr>
              <w:keepNext/>
              <w:spacing w:after="60"/>
            </w:pPr>
            <w:r>
              <w:rPr>
                <w:rFonts w:ascii="Calibri" w:hAnsi="Calibri"/>
                <w:sz w:val="20"/>
              </w:rPr>
              <w:t>Not measured</w:t>
            </w:r>
          </w:p>
        </w:tc>
      </w:tr>
      <w:tr w:rsidR="00E2099A" w14:paraId="535439C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55DFB53" w14:textId="77777777" w:rsidR="00E2099A" w:rsidRDefault="00000000">
            <w:pPr>
              <w:keepNext/>
              <w:spacing w:after="60"/>
            </w:pPr>
            <w:r>
              <w:rPr>
                <w:rFonts w:ascii="Calibri" w:hAnsi="Calibri"/>
                <w:sz w:val="20"/>
              </w:rPr>
              <w:t>Compression ignition (diesel) fuel economy</w:t>
            </w:r>
          </w:p>
        </w:tc>
        <w:tc>
          <w:tcPr>
            <w:tcW w:w="0" w:type="auto"/>
            <w:tcBorders>
              <w:top w:val="single" w:sz="0" w:space="0" w:color="D3D3D3"/>
              <w:left w:val="single" w:sz="0" w:space="0" w:color="D3D3D3"/>
              <w:bottom w:val="single" w:sz="0" w:space="0" w:color="D3D3D3"/>
              <w:right w:val="single" w:sz="0" w:space="0" w:color="D3D3D3"/>
            </w:tcBorders>
          </w:tcPr>
          <w:p w14:paraId="417F7FBC" w14:textId="77777777" w:rsidR="00E2099A" w:rsidRDefault="00000000">
            <w:pPr>
              <w:keepNext/>
              <w:spacing w:after="60"/>
            </w:pPr>
            <w:r>
              <w:rPr>
                <w:rFonts w:ascii="Calibri" w:hAnsi="Calibri"/>
                <w:sz w:val="20"/>
              </w:rPr>
              <w:t>Argonne National Laboratory; US Department of Energy</w:t>
            </w:r>
          </w:p>
        </w:tc>
      </w:tr>
      <w:tr w:rsidR="00E2099A" w14:paraId="1EFBEE4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3918AD" w14:textId="77777777" w:rsidR="00E2099A" w:rsidRDefault="00000000">
            <w:pPr>
              <w:keepNext/>
              <w:spacing w:after="60"/>
            </w:pPr>
            <w:r>
              <w:rPr>
                <w:rFonts w:ascii="Calibri" w:hAnsi="Calibri"/>
                <w:sz w:val="20"/>
              </w:rPr>
              <w:t>Battery electric vehicle electricity conusmption</w:t>
            </w:r>
          </w:p>
        </w:tc>
        <w:tc>
          <w:tcPr>
            <w:tcW w:w="0" w:type="auto"/>
            <w:tcBorders>
              <w:top w:val="single" w:sz="0" w:space="0" w:color="D3D3D3"/>
              <w:left w:val="single" w:sz="0" w:space="0" w:color="D3D3D3"/>
              <w:bottom w:val="single" w:sz="0" w:space="0" w:color="D3D3D3"/>
              <w:right w:val="single" w:sz="0" w:space="0" w:color="D3D3D3"/>
            </w:tcBorders>
          </w:tcPr>
          <w:p w14:paraId="66748414" w14:textId="77777777" w:rsidR="00E2099A" w:rsidRDefault="00000000">
            <w:pPr>
              <w:keepNext/>
              <w:spacing w:after="60"/>
            </w:pPr>
            <w:r>
              <w:rPr>
                <w:rFonts w:ascii="Calibri" w:hAnsi="Calibri"/>
                <w:sz w:val="20"/>
              </w:rPr>
              <w:t>Argonne National Laboratory; US Department of Energy</w:t>
            </w:r>
          </w:p>
        </w:tc>
      </w:tr>
      <w:tr w:rsidR="00E2099A" w14:paraId="2FA51EF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F1BD30" w14:textId="77777777" w:rsidR="00E2099A" w:rsidRDefault="00000000">
            <w:pPr>
              <w:keepNext/>
              <w:spacing w:after="60"/>
            </w:pPr>
            <w:r>
              <w:rPr>
                <w:rFonts w:ascii="Calibri" w:hAnsi="Calibri"/>
                <w:sz w:val="20"/>
              </w:rPr>
              <w:t>Average vehicle occupancy</w:t>
            </w:r>
          </w:p>
        </w:tc>
        <w:tc>
          <w:tcPr>
            <w:tcW w:w="0" w:type="auto"/>
            <w:tcBorders>
              <w:top w:val="single" w:sz="0" w:space="0" w:color="D3D3D3"/>
              <w:left w:val="single" w:sz="0" w:space="0" w:color="D3D3D3"/>
              <w:bottom w:val="single" w:sz="0" w:space="0" w:color="D3D3D3"/>
              <w:right w:val="single" w:sz="0" w:space="0" w:color="D3D3D3"/>
            </w:tcBorders>
          </w:tcPr>
          <w:p w14:paraId="71F3C3A2" w14:textId="77777777" w:rsidR="00E2099A" w:rsidRDefault="00000000">
            <w:pPr>
              <w:keepNext/>
              <w:spacing w:after="60"/>
            </w:pPr>
            <w:r>
              <w:rPr>
                <w:rFonts w:ascii="Calibri" w:hAnsi="Calibri"/>
                <w:sz w:val="20"/>
              </w:rPr>
              <w:t>Khani, Cao et. al., 2018</w:t>
            </w:r>
          </w:p>
        </w:tc>
      </w:tr>
      <w:tr w:rsidR="00E2099A" w14:paraId="036B526E"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6CA14F47" w14:textId="77777777" w:rsidR="00E2099A" w:rsidRDefault="00000000">
            <w:pPr>
              <w:keepNext/>
              <w:spacing w:after="60"/>
            </w:pPr>
            <w:r>
              <w:rPr>
                <w:rFonts w:ascii="Calibri" w:hAnsi="Calibri"/>
                <w:sz w:val="20"/>
              </w:rPr>
              <w:t>Walk</w:t>
            </w:r>
          </w:p>
        </w:tc>
      </w:tr>
      <w:tr w:rsidR="00E2099A" w14:paraId="7EC7DDF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45EE59" w14:textId="77777777" w:rsidR="00E2099A" w:rsidRDefault="00000000">
            <w:pPr>
              <w:keepNext/>
              <w:spacing w:after="60"/>
            </w:pPr>
            <w:r>
              <w:rPr>
                <w:rFonts w:ascii="Calibri" w:hAnsi="Calibri"/>
                <w:sz w:val="20"/>
              </w:rPr>
              <w:t>Passenger miles traveled</w:t>
            </w:r>
          </w:p>
        </w:tc>
        <w:tc>
          <w:tcPr>
            <w:tcW w:w="0" w:type="auto"/>
            <w:tcBorders>
              <w:top w:val="single" w:sz="0" w:space="0" w:color="D3D3D3"/>
              <w:left w:val="single" w:sz="0" w:space="0" w:color="D3D3D3"/>
              <w:bottom w:val="single" w:sz="0" w:space="0" w:color="D3D3D3"/>
              <w:right w:val="single" w:sz="0" w:space="0" w:color="D3D3D3"/>
            </w:tcBorders>
          </w:tcPr>
          <w:p w14:paraId="60D5A27F" w14:textId="77777777" w:rsidR="00E2099A" w:rsidRDefault="00000000">
            <w:pPr>
              <w:keepNext/>
              <w:spacing w:after="60"/>
            </w:pPr>
            <w:r>
              <w:rPr>
                <w:rFonts w:ascii="Calibri" w:hAnsi="Calibri"/>
                <w:sz w:val="20"/>
              </w:rPr>
              <w:t>Metropolitan Council Travel Demand Model</w:t>
            </w:r>
          </w:p>
        </w:tc>
      </w:tr>
      <w:tr w:rsidR="00E2099A" w14:paraId="5B53738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9C3CC7" w14:textId="77777777" w:rsidR="00E2099A" w:rsidRDefault="00000000">
            <w:pPr>
              <w:keepNext/>
              <w:spacing w:after="60"/>
            </w:pPr>
            <w:r>
              <w:rPr>
                <w:rFonts w:ascii="Calibri" w:hAnsi="Calibri"/>
                <w:sz w:val="20"/>
              </w:rPr>
              <w:t>Average vehicle occupancy</w:t>
            </w:r>
          </w:p>
        </w:tc>
        <w:tc>
          <w:tcPr>
            <w:tcW w:w="0" w:type="auto"/>
            <w:tcBorders>
              <w:top w:val="single" w:sz="0" w:space="0" w:color="D3D3D3"/>
              <w:left w:val="single" w:sz="0" w:space="0" w:color="D3D3D3"/>
              <w:bottom w:val="single" w:sz="0" w:space="0" w:color="D3D3D3"/>
              <w:right w:val="single" w:sz="0" w:space="0" w:color="D3D3D3"/>
            </w:tcBorders>
          </w:tcPr>
          <w:p w14:paraId="08D48087" w14:textId="77777777" w:rsidR="00E2099A" w:rsidRDefault="00000000">
            <w:pPr>
              <w:keepNext/>
              <w:spacing w:after="60"/>
            </w:pPr>
            <w:r>
              <w:rPr>
                <w:rFonts w:ascii="Calibri" w:hAnsi="Calibri"/>
                <w:sz w:val="20"/>
              </w:rPr>
              <w:t>Not measured</w:t>
            </w:r>
          </w:p>
        </w:tc>
      </w:tr>
      <w:tr w:rsidR="00E2099A" w14:paraId="0D973AFA"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2B844D53" w14:textId="77777777" w:rsidR="00E2099A" w:rsidRDefault="00000000">
            <w:pPr>
              <w:keepNext/>
              <w:spacing w:after="60"/>
            </w:pPr>
            <w:r>
              <w:rPr>
                <w:rFonts w:ascii="Calibri" w:hAnsi="Calibri"/>
                <w:sz w:val="20"/>
              </w:rPr>
              <w:t>Bike</w:t>
            </w:r>
          </w:p>
        </w:tc>
      </w:tr>
      <w:tr w:rsidR="00E2099A" w14:paraId="04EC750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BE49C8" w14:textId="77777777" w:rsidR="00E2099A" w:rsidRDefault="00000000">
            <w:pPr>
              <w:keepNext/>
              <w:spacing w:after="60"/>
            </w:pPr>
            <w:r>
              <w:rPr>
                <w:rFonts w:ascii="Calibri" w:hAnsi="Calibri"/>
                <w:sz w:val="20"/>
              </w:rPr>
              <w:t>Passenger miles traveled</w:t>
            </w:r>
          </w:p>
        </w:tc>
        <w:tc>
          <w:tcPr>
            <w:tcW w:w="0" w:type="auto"/>
            <w:tcBorders>
              <w:top w:val="single" w:sz="0" w:space="0" w:color="D3D3D3"/>
              <w:left w:val="single" w:sz="0" w:space="0" w:color="D3D3D3"/>
              <w:bottom w:val="single" w:sz="0" w:space="0" w:color="D3D3D3"/>
              <w:right w:val="single" w:sz="0" w:space="0" w:color="D3D3D3"/>
            </w:tcBorders>
          </w:tcPr>
          <w:p w14:paraId="08216A02" w14:textId="77777777" w:rsidR="00E2099A" w:rsidRDefault="00000000">
            <w:pPr>
              <w:keepNext/>
              <w:spacing w:after="60"/>
            </w:pPr>
            <w:r>
              <w:rPr>
                <w:rFonts w:ascii="Calibri" w:hAnsi="Calibri"/>
                <w:sz w:val="20"/>
              </w:rPr>
              <w:t>Metropolitan Council Travel Demand Model</w:t>
            </w:r>
          </w:p>
        </w:tc>
      </w:tr>
      <w:tr w:rsidR="00E2099A" w14:paraId="30E9430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51ED52" w14:textId="77777777" w:rsidR="00E2099A" w:rsidRDefault="00000000">
            <w:pPr>
              <w:keepNext/>
              <w:spacing w:after="60"/>
            </w:pPr>
            <w:r>
              <w:rPr>
                <w:rFonts w:ascii="Calibri" w:hAnsi="Calibri"/>
                <w:sz w:val="20"/>
              </w:rPr>
              <w:t>Average vehicle occupancy</w:t>
            </w:r>
          </w:p>
        </w:tc>
        <w:tc>
          <w:tcPr>
            <w:tcW w:w="0" w:type="auto"/>
            <w:tcBorders>
              <w:top w:val="single" w:sz="0" w:space="0" w:color="D3D3D3"/>
              <w:left w:val="single" w:sz="0" w:space="0" w:color="D3D3D3"/>
              <w:bottom w:val="single" w:sz="0" w:space="0" w:color="D3D3D3"/>
              <w:right w:val="single" w:sz="0" w:space="0" w:color="D3D3D3"/>
            </w:tcBorders>
          </w:tcPr>
          <w:p w14:paraId="280A5EF2" w14:textId="77777777" w:rsidR="00E2099A" w:rsidRDefault="00000000">
            <w:pPr>
              <w:keepNext/>
              <w:spacing w:after="60"/>
            </w:pPr>
            <w:r>
              <w:rPr>
                <w:rFonts w:ascii="Calibri" w:hAnsi="Calibri"/>
                <w:sz w:val="20"/>
              </w:rPr>
              <w:t>Not measured</w:t>
            </w:r>
          </w:p>
        </w:tc>
      </w:tr>
      <w:tr w:rsidR="00E2099A" w14:paraId="773F1980"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7FBC5613" w14:textId="77777777" w:rsidR="00E2099A" w:rsidRDefault="00000000">
            <w:pPr>
              <w:keepNext/>
              <w:spacing w:after="60"/>
            </w:pPr>
            <w:r>
              <w:rPr>
                <w:rFonts w:ascii="Calibri" w:hAnsi="Calibri"/>
                <w:sz w:val="20"/>
              </w:rPr>
              <w:t>Dynamic ride sharing</w:t>
            </w:r>
          </w:p>
        </w:tc>
      </w:tr>
      <w:tr w:rsidR="00E2099A" w14:paraId="1B8A176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C2346B" w14:textId="77777777" w:rsidR="00E2099A" w:rsidRDefault="00000000">
            <w:pPr>
              <w:keepNext/>
              <w:spacing w:after="60"/>
            </w:pPr>
            <w:r>
              <w:rPr>
                <w:rFonts w:ascii="Calibri" w:hAnsi="Calibri"/>
                <w:sz w:val="20"/>
              </w:rPr>
              <w:t>Population of the city or township unit</w:t>
            </w:r>
          </w:p>
        </w:tc>
        <w:tc>
          <w:tcPr>
            <w:tcW w:w="0" w:type="auto"/>
            <w:tcBorders>
              <w:top w:val="single" w:sz="0" w:space="0" w:color="D3D3D3"/>
              <w:left w:val="single" w:sz="0" w:space="0" w:color="D3D3D3"/>
              <w:bottom w:val="single" w:sz="0" w:space="0" w:color="D3D3D3"/>
              <w:right w:val="single" w:sz="0" w:space="0" w:color="D3D3D3"/>
            </w:tcBorders>
          </w:tcPr>
          <w:p w14:paraId="1761BC86" w14:textId="77777777" w:rsidR="00E2099A" w:rsidRDefault="00000000">
            <w:pPr>
              <w:keepNext/>
              <w:spacing w:after="60"/>
            </w:pPr>
            <w:r>
              <w:rPr>
                <w:rFonts w:ascii="Calibri" w:hAnsi="Calibri"/>
                <w:sz w:val="20"/>
              </w:rPr>
              <w:t>Metropolitan Council Travel Demand Model</w:t>
            </w:r>
          </w:p>
        </w:tc>
      </w:tr>
      <w:tr w:rsidR="00E2099A" w14:paraId="4A68591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BAFAEA5" w14:textId="77777777" w:rsidR="00E2099A" w:rsidRDefault="00000000">
            <w:pPr>
              <w:keepNext/>
              <w:spacing w:after="60"/>
            </w:pPr>
            <w:r>
              <w:rPr>
                <w:rFonts w:ascii="Calibri" w:hAnsi="Calibri"/>
                <w:sz w:val="20"/>
              </w:rPr>
              <w:t>NA</w:t>
            </w:r>
          </w:p>
        </w:tc>
        <w:tc>
          <w:tcPr>
            <w:tcW w:w="0" w:type="auto"/>
            <w:tcBorders>
              <w:top w:val="single" w:sz="0" w:space="0" w:color="D3D3D3"/>
              <w:left w:val="single" w:sz="0" w:space="0" w:color="D3D3D3"/>
              <w:bottom w:val="single" w:sz="0" w:space="0" w:color="D3D3D3"/>
              <w:right w:val="single" w:sz="0" w:space="0" w:color="D3D3D3"/>
            </w:tcBorders>
          </w:tcPr>
          <w:p w14:paraId="3DCBB194" w14:textId="77777777" w:rsidR="00E2099A" w:rsidRDefault="00000000">
            <w:pPr>
              <w:keepNext/>
              <w:spacing w:after="60"/>
            </w:pPr>
            <w:r>
              <w:rPr>
                <w:rFonts w:ascii="Calibri" w:hAnsi="Calibri"/>
                <w:sz w:val="20"/>
              </w:rPr>
              <w:t>Haonan, Kockelman, and Gurumurthy, 2020</w:t>
            </w:r>
          </w:p>
        </w:tc>
      </w:tr>
      <w:tr w:rsidR="00E2099A" w14:paraId="11F3C6C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02F0839" w14:textId="77777777" w:rsidR="00E2099A" w:rsidRDefault="00000000">
            <w:pPr>
              <w:keepNext/>
              <w:spacing w:after="60"/>
            </w:pPr>
            <w:r>
              <w:rPr>
                <w:rFonts w:ascii="Calibri" w:hAnsi="Calibri"/>
                <w:sz w:val="20"/>
              </w:rPr>
              <w:t>Vehicle miles traveled per shared electric vehicle for dyanmic ride sharing</w:t>
            </w:r>
          </w:p>
        </w:tc>
        <w:tc>
          <w:tcPr>
            <w:tcW w:w="0" w:type="auto"/>
            <w:tcBorders>
              <w:top w:val="single" w:sz="0" w:space="0" w:color="D3D3D3"/>
              <w:left w:val="single" w:sz="0" w:space="0" w:color="D3D3D3"/>
              <w:bottom w:val="single" w:sz="0" w:space="0" w:color="D3D3D3"/>
              <w:right w:val="single" w:sz="0" w:space="0" w:color="D3D3D3"/>
            </w:tcBorders>
          </w:tcPr>
          <w:p w14:paraId="475B3B03" w14:textId="77777777" w:rsidR="00E2099A" w:rsidRDefault="00000000">
            <w:pPr>
              <w:keepNext/>
              <w:spacing w:after="60"/>
            </w:pPr>
            <w:r>
              <w:rPr>
                <w:rFonts w:ascii="Calibri" w:hAnsi="Calibri"/>
                <w:sz w:val="20"/>
              </w:rPr>
              <w:t>Haonan, Kockelman, and Gurumurthy, 2020</w:t>
            </w:r>
          </w:p>
        </w:tc>
      </w:tr>
      <w:tr w:rsidR="00E2099A" w14:paraId="062544A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1E3861" w14:textId="77777777" w:rsidR="00E2099A" w:rsidRDefault="00000000">
            <w:pPr>
              <w:keepNext/>
              <w:spacing w:after="60"/>
            </w:pPr>
            <w:r>
              <w:rPr>
                <w:rFonts w:ascii="Calibri" w:hAnsi="Calibri"/>
                <w:sz w:val="20"/>
              </w:rPr>
              <w:t>Dynamic ride sharing share adjustment to translate across years</w:t>
            </w:r>
          </w:p>
        </w:tc>
        <w:tc>
          <w:tcPr>
            <w:tcW w:w="0" w:type="auto"/>
            <w:tcBorders>
              <w:top w:val="single" w:sz="0" w:space="0" w:color="D3D3D3"/>
              <w:left w:val="single" w:sz="0" w:space="0" w:color="D3D3D3"/>
              <w:bottom w:val="single" w:sz="0" w:space="0" w:color="D3D3D3"/>
              <w:right w:val="single" w:sz="0" w:space="0" w:color="D3D3D3"/>
            </w:tcBorders>
          </w:tcPr>
          <w:p w14:paraId="3265CAE3" w14:textId="77777777" w:rsidR="00E2099A" w:rsidRDefault="00000000">
            <w:pPr>
              <w:keepNext/>
              <w:spacing w:after="60"/>
            </w:pPr>
            <w:r>
              <w:rPr>
                <w:rFonts w:ascii="Calibri" w:hAnsi="Calibri"/>
                <w:sz w:val="20"/>
              </w:rPr>
              <w:t>Haonan, Kockelman, and Gurumurthy, 2020</w:t>
            </w:r>
          </w:p>
        </w:tc>
      </w:tr>
      <w:tr w:rsidR="00E2099A" w14:paraId="25B39DC7"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5EC77A81" w14:textId="77777777" w:rsidR="00E2099A" w:rsidRDefault="00000000">
            <w:pPr>
              <w:keepNext/>
              <w:spacing w:after="60"/>
            </w:pPr>
            <w:r>
              <w:rPr>
                <w:rFonts w:ascii="Calibri" w:hAnsi="Calibri"/>
                <w:sz w:val="20"/>
              </w:rPr>
              <w:t>Autonomous vehicle</w:t>
            </w:r>
          </w:p>
        </w:tc>
      </w:tr>
      <w:tr w:rsidR="00E2099A" w14:paraId="5340EDD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B898E2" w14:textId="77777777" w:rsidR="00E2099A" w:rsidRDefault="00000000">
            <w:pPr>
              <w:keepNext/>
              <w:spacing w:after="60"/>
            </w:pPr>
            <w:r>
              <w:rPr>
                <w:rFonts w:ascii="Calibri" w:hAnsi="Calibri"/>
                <w:sz w:val="20"/>
              </w:rPr>
              <w:t>Autonomous vehicle share adjustment to translate across years</w:t>
            </w:r>
          </w:p>
        </w:tc>
        <w:tc>
          <w:tcPr>
            <w:tcW w:w="0" w:type="auto"/>
            <w:tcBorders>
              <w:top w:val="single" w:sz="0" w:space="0" w:color="D3D3D3"/>
              <w:left w:val="single" w:sz="0" w:space="0" w:color="D3D3D3"/>
              <w:bottom w:val="single" w:sz="0" w:space="0" w:color="D3D3D3"/>
              <w:right w:val="single" w:sz="0" w:space="0" w:color="D3D3D3"/>
            </w:tcBorders>
          </w:tcPr>
          <w:p w14:paraId="22CDFBC8" w14:textId="77777777" w:rsidR="00E2099A" w:rsidRDefault="00000000">
            <w:pPr>
              <w:keepNext/>
              <w:spacing w:after="60"/>
            </w:pPr>
            <w:r>
              <w:rPr>
                <w:rFonts w:ascii="Calibri" w:hAnsi="Calibri"/>
                <w:sz w:val="20"/>
              </w:rPr>
              <w:t>Huang, Kockelman, and Quarles, 2020; Taiebat, Stolper, and Wu, 2019</w:t>
            </w:r>
          </w:p>
        </w:tc>
      </w:tr>
    </w:tbl>
    <w:p w14:paraId="7CF218B0" w14:textId="77777777" w:rsidR="00E2099A" w:rsidRDefault="00000000">
      <w:pPr>
        <w:pStyle w:val="Heading3"/>
      </w:pPr>
      <w:bookmarkStart w:id="117" w:name="source-summaries"/>
      <w:bookmarkStart w:id="118" w:name="_Toc124529456"/>
      <w:r>
        <w:t>7.1.1</w:t>
      </w:r>
      <w:r>
        <w:tab/>
        <w:t>Source summaries</w:t>
      </w:r>
      <w:bookmarkEnd w:id="118"/>
    </w:p>
    <w:p w14:paraId="6EAA1D3B" w14:textId="77777777" w:rsidR="00E2099A" w:rsidRDefault="00000000">
      <w:pPr>
        <w:pStyle w:val="Heading4"/>
      </w:pPr>
      <w:bookmarkStart w:id="119" w:name="ma3t-doc"/>
      <w:r>
        <w:t>7.1.1.1</w:t>
      </w:r>
      <w:r>
        <w:tab/>
        <w:t>Market Acceptance of Advanced Automotive Technologies (MA3T)</w:t>
      </w:r>
    </w:p>
    <w:p w14:paraId="0F306609" w14:textId="77777777" w:rsidR="00E2099A" w:rsidRDefault="00000000">
      <w:pPr>
        <w:pStyle w:val="FirstParagraph"/>
      </w:pPr>
      <w:r>
        <w:t xml:space="preserve">Model developed by Oak Ridge National Laboratory (ORNL) to simulate the diverse purchasing behaviors among individuals in the market place. You can read more about the model and find full documentation on the </w:t>
      </w:r>
      <w:hyperlink r:id="rId39">
        <w:r>
          <w:rPr>
            <w:rStyle w:val="Hyperlink"/>
          </w:rPr>
          <w:t xml:space="preserve">ORNL website </w:t>
        </w:r>
        <w:r>
          <w:rPr>
            <w:noProof/>
          </w:rPr>
          <w:drawing>
            <wp:inline distT="0" distB="0" distL="0" distR="0" wp14:anchorId="607246E1" wp14:editId="1B160C51">
              <wp:extent cx="138303" cy="157162"/>
              <wp:effectExtent l="0" t="0" r="0" b="0"/>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private/var/folders/b6/n168s8b14psghnl3gh43fyj1ctm4s3/T/RtmpPRVKni/preview-1334129cce645.dir/report_files/figure-docx/fa-icon-1cb4dd6c25746ed6d3d2a87cd5fc3c74.png"/>
                      <pic:cNvPicPr>
                        <a:picLocks noChangeAspect="1" noChangeArrowheads="1"/>
                      </pic:cNvPicPr>
                    </pic:nvPicPr>
                    <pic:blipFill>
                      <a:blip r:embed="rId40"/>
                      <a:stretch>
                        <a:fillRect/>
                      </a:stretch>
                    </pic:blipFill>
                    <pic:spPr bwMode="auto">
                      <a:xfrm>
                        <a:off x="0" y="0"/>
                        <a:ext cx="138303" cy="157162"/>
                      </a:xfrm>
                      <a:prstGeom prst="rect">
                        <a:avLst/>
                      </a:prstGeom>
                      <a:noFill/>
                      <a:ln w="9525">
                        <a:noFill/>
                        <a:headEnd/>
                        <a:tailEnd/>
                      </a:ln>
                    </pic:spPr>
                  </pic:pic>
                </a:graphicData>
              </a:graphic>
            </wp:inline>
          </w:drawing>
        </w:r>
      </w:hyperlink>
    </w:p>
    <w:p w14:paraId="4EC715A6" w14:textId="77777777" w:rsidR="00E2099A" w:rsidRDefault="00000000">
      <w:pPr>
        <w:pStyle w:val="CaptionedFigure"/>
      </w:pPr>
      <w:r>
        <w:rPr>
          <w:noProof/>
        </w:rPr>
        <w:lastRenderedPageBreak/>
        <w:drawing>
          <wp:inline distT="0" distB="0" distL="0" distR="0" wp14:anchorId="37E34C74" wp14:editId="25F8CD7E">
            <wp:extent cx="6400800" cy="3319881"/>
            <wp:effectExtent l="0" t="0" r="0" b="0"/>
            <wp:docPr id="151" name="Picture" descr="Figure 7.1: MA3T model abstraction (Lin and Greene 2013)"/>
            <wp:cNvGraphicFramePr/>
            <a:graphic xmlns:a="http://schemas.openxmlformats.org/drawingml/2006/main">
              <a:graphicData uri="http://schemas.openxmlformats.org/drawingml/2006/picture">
                <pic:pic xmlns:pic="http://schemas.openxmlformats.org/drawingml/2006/picture">
                  <pic:nvPicPr>
                    <pic:cNvPr id="152" name="Picture" descr="https://www.ornl.gov/sites/default/files/ma3t1.png"/>
                    <pic:cNvPicPr>
                      <a:picLocks noChangeAspect="1" noChangeArrowheads="1"/>
                    </pic:cNvPicPr>
                  </pic:nvPicPr>
                  <pic:blipFill>
                    <a:blip r:embed="rId41"/>
                    <a:stretch>
                      <a:fillRect/>
                    </a:stretch>
                  </pic:blipFill>
                  <pic:spPr bwMode="auto">
                    <a:xfrm>
                      <a:off x="0" y="0"/>
                      <a:ext cx="6400800" cy="3319881"/>
                    </a:xfrm>
                    <a:prstGeom prst="rect">
                      <a:avLst/>
                    </a:prstGeom>
                    <a:noFill/>
                    <a:ln w="9525">
                      <a:noFill/>
                      <a:headEnd/>
                      <a:tailEnd/>
                    </a:ln>
                  </pic:spPr>
                </pic:pic>
              </a:graphicData>
            </a:graphic>
          </wp:inline>
        </w:drawing>
      </w:r>
    </w:p>
    <w:p w14:paraId="46966BDA" w14:textId="77777777" w:rsidR="00E2099A" w:rsidRDefault="00000000">
      <w:pPr>
        <w:pStyle w:val="ImageCaption"/>
      </w:pPr>
      <w:r>
        <w:t>Figure 7.1: MA3T model abstraction (Lin and Greene 2013)</w:t>
      </w:r>
    </w:p>
    <w:p w14:paraId="13B46F47" w14:textId="77777777" w:rsidR="00E2099A" w:rsidRDefault="00000000">
      <w:pPr>
        <w:pStyle w:val="Heading4"/>
      </w:pPr>
      <w:bookmarkStart w:id="120" w:name="metropolitan-council-sources"/>
      <w:bookmarkEnd w:id="119"/>
      <w:r>
        <w:t>7.1.1.2</w:t>
      </w:r>
      <w:r>
        <w:tab/>
        <w:t>Metropolitan Council sources</w:t>
      </w:r>
    </w:p>
    <w:p w14:paraId="0C1DAB8C" w14:textId="77777777" w:rsidR="00E2099A" w:rsidRDefault="00000000">
      <w:pPr>
        <w:pStyle w:val="Heading5"/>
      </w:pPr>
      <w:bookmarkStart w:id="121" w:name="metc-tbi"/>
      <w:r>
        <w:t>7.1.1.2.1</w:t>
      </w:r>
      <w:r>
        <w:tab/>
        <w:t>Travel Behavior Inventory (TBI)</w:t>
      </w:r>
    </w:p>
    <w:p w14:paraId="694AC88A" w14:textId="77777777" w:rsidR="00E2099A" w:rsidRDefault="00000000">
      <w:pPr>
        <w:pStyle w:val="FirstParagraph"/>
      </w:pPr>
      <w:r>
        <w:t>The Travel Behavior Inventory (TBI) is a 10-year program by the Metropolitan Council. It includes a household travel survey, a survey of on-board transit riders, and other travel behavior data collection.</w:t>
      </w:r>
    </w:p>
    <w:p w14:paraId="74FC3630" w14:textId="77777777" w:rsidR="00E2099A" w:rsidRDefault="00000000">
      <w:pPr>
        <w:pStyle w:val="BodyText"/>
      </w:pPr>
      <w:r>
        <w:t xml:space="preserve">Key findings from the 2019 TBI can be found on the </w:t>
      </w:r>
      <w:hyperlink r:id="rId42">
        <w:r>
          <w:rPr>
            <w:rStyle w:val="Hyperlink"/>
          </w:rPr>
          <w:t xml:space="preserve">Met Council website </w:t>
        </w:r>
        <w:r>
          <w:rPr>
            <w:noProof/>
          </w:rPr>
          <w:drawing>
            <wp:inline distT="0" distB="0" distL="0" distR="0" wp14:anchorId="54F01BF6" wp14:editId="1A6D8742">
              <wp:extent cx="138303" cy="157162"/>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private/var/folders/b6/n168s8b14psghnl3gh43fyj1ctm4s3/T/RtmpPRVKni/preview-1334129cce645.dir/report_files/figure-docx/fa-icon-1cb4dd6c25746ed6d3d2a87cd5fc3c74.png"/>
                      <pic:cNvPicPr>
                        <a:picLocks noChangeAspect="1" noChangeArrowheads="1"/>
                      </pic:cNvPicPr>
                    </pic:nvPicPr>
                    <pic:blipFill>
                      <a:blip r:embed="rId40"/>
                      <a:stretch>
                        <a:fillRect/>
                      </a:stretch>
                    </pic:blipFill>
                    <pic:spPr bwMode="auto">
                      <a:xfrm>
                        <a:off x="0" y="0"/>
                        <a:ext cx="138303" cy="157162"/>
                      </a:xfrm>
                      <a:prstGeom prst="rect">
                        <a:avLst/>
                      </a:prstGeom>
                      <a:noFill/>
                      <a:ln w="9525">
                        <a:noFill/>
                        <a:headEnd/>
                        <a:tailEnd/>
                      </a:ln>
                    </pic:spPr>
                  </pic:pic>
                </a:graphicData>
              </a:graphic>
            </wp:inline>
          </w:drawing>
        </w:r>
      </w:hyperlink>
    </w:p>
    <w:p w14:paraId="0AB7CA66" w14:textId="77777777" w:rsidR="00E2099A" w:rsidRDefault="00000000">
      <w:pPr>
        <w:pStyle w:val="Heading5"/>
      </w:pPr>
      <w:bookmarkStart w:id="122" w:name="metc-travel-demand"/>
      <w:bookmarkEnd w:id="121"/>
      <w:r>
        <w:t>7.1.1.2.2</w:t>
      </w:r>
      <w:r>
        <w:tab/>
        <w:t>Travel Demand Model</w:t>
      </w:r>
    </w:p>
    <w:p w14:paraId="47DC6161" w14:textId="77777777" w:rsidR="00E2099A" w:rsidRDefault="00000000">
      <w:pPr>
        <w:pStyle w:val="FirstParagraph"/>
      </w:pPr>
      <w:r>
        <w:t>The Met Council, like all large metropolitan planning organizations, maintains a regional transportation forecasting model. The model is used to forecast travel for all types of transportation and highway and transit facility usage.</w:t>
      </w:r>
    </w:p>
    <w:p w14:paraId="6C909429" w14:textId="77777777" w:rsidR="00E2099A" w:rsidRDefault="00000000">
      <w:pPr>
        <w:pStyle w:val="BodyText"/>
      </w:pPr>
      <w:r>
        <w:t>The current regional travel demand forecast model is called an “activity-based model”, which means that it simulates transportation decisions made by individuals ranging from long-term (e.g. regular work/school location, whether to own an automobile), day-level (e.g, what activities to engage in, with whom, where, and when), and trip-level (what transportation mode to use, what route to take) in order to evaluate policy and investment choices at a high level of detail.</w:t>
      </w:r>
    </w:p>
    <w:p w14:paraId="0190E581" w14:textId="77777777" w:rsidR="00E2099A" w:rsidRDefault="00000000">
      <w:pPr>
        <w:pStyle w:val="BodyText"/>
      </w:pPr>
      <w:r>
        <w:t>Other, more single-purpose forecast models are maintained by the Council as well, including a regional implementation of the FTA’s STOPS model for transitway ridership forecasting, as well as a regional park-and ride model.</w:t>
      </w:r>
    </w:p>
    <w:p w14:paraId="2EC13C0A" w14:textId="77777777" w:rsidR="00E2099A" w:rsidRDefault="00000000">
      <w:pPr>
        <w:pStyle w:val="BodyText"/>
      </w:pPr>
      <w:r>
        <w:t xml:space="preserve">You can find more information on the </w:t>
      </w:r>
      <w:hyperlink r:id="rId43">
        <w:r>
          <w:rPr>
            <w:rStyle w:val="Hyperlink"/>
          </w:rPr>
          <w:t xml:space="preserve">Met Council website </w:t>
        </w:r>
        <w:r>
          <w:rPr>
            <w:noProof/>
          </w:rPr>
          <w:drawing>
            <wp:inline distT="0" distB="0" distL="0" distR="0" wp14:anchorId="76EAAF1D" wp14:editId="244CD7F5">
              <wp:extent cx="138303" cy="157162"/>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private/var/folders/b6/n168s8b14psghnl3gh43fyj1ctm4s3/T/RtmpPRVKni/preview-1334129cce645.dir/report_files/figure-docx/fa-icon-1cb4dd6c25746ed6d3d2a87cd5fc3c74.png"/>
                      <pic:cNvPicPr>
                        <a:picLocks noChangeAspect="1" noChangeArrowheads="1"/>
                      </pic:cNvPicPr>
                    </pic:nvPicPr>
                    <pic:blipFill>
                      <a:blip r:embed="rId40"/>
                      <a:stretch>
                        <a:fillRect/>
                      </a:stretch>
                    </pic:blipFill>
                    <pic:spPr bwMode="auto">
                      <a:xfrm>
                        <a:off x="0" y="0"/>
                        <a:ext cx="138303" cy="157162"/>
                      </a:xfrm>
                      <a:prstGeom prst="rect">
                        <a:avLst/>
                      </a:prstGeom>
                      <a:noFill/>
                      <a:ln w="9525">
                        <a:noFill/>
                        <a:headEnd/>
                        <a:tailEnd/>
                      </a:ln>
                    </pic:spPr>
                  </pic:pic>
                </a:graphicData>
              </a:graphic>
            </wp:inline>
          </w:drawing>
        </w:r>
      </w:hyperlink>
    </w:p>
    <w:p w14:paraId="46290B9F" w14:textId="77777777" w:rsidR="00E2099A" w:rsidRDefault="00000000">
      <w:pPr>
        <w:pStyle w:val="Heading5"/>
      </w:pPr>
      <w:bookmarkStart w:id="123" w:name="transit-facts"/>
      <w:bookmarkEnd w:id="122"/>
      <w:r>
        <w:t>7.1.1.2.3</w:t>
      </w:r>
      <w:r>
        <w:tab/>
        <w:t>Transit Facts</w:t>
      </w:r>
    </w:p>
    <w:p w14:paraId="2FAFBCC0" w14:textId="77777777" w:rsidR="00E2099A" w:rsidRDefault="00000000">
      <w:pPr>
        <w:pStyle w:val="Heading5"/>
      </w:pPr>
      <w:bookmarkStart w:id="124" w:name="council-specific-studies"/>
      <w:bookmarkEnd w:id="123"/>
      <w:r>
        <w:t>7.1.1.2.4</w:t>
      </w:r>
      <w:r>
        <w:tab/>
        <w:t>Council-specific studies</w:t>
      </w:r>
    </w:p>
    <w:p w14:paraId="03E8D5CA" w14:textId="77777777" w:rsidR="00E2099A" w:rsidRDefault="00000000">
      <w:pPr>
        <w:pStyle w:val="FirstParagraph"/>
      </w:pPr>
      <w:r>
        <w:t>(Khani et al. 2018)</w:t>
      </w:r>
    </w:p>
    <w:p w14:paraId="165E572A" w14:textId="77777777" w:rsidR="00E2099A" w:rsidRDefault="00000000">
      <w:pPr>
        <w:pStyle w:val="Heading4"/>
      </w:pPr>
      <w:bookmarkStart w:id="125" w:name="federal-data-sources"/>
      <w:bookmarkEnd w:id="120"/>
      <w:bookmarkEnd w:id="124"/>
      <w:r>
        <w:t>7.1.1.3</w:t>
      </w:r>
      <w:r>
        <w:tab/>
        <w:t>Federal data sources</w:t>
      </w:r>
    </w:p>
    <w:p w14:paraId="3C42A340" w14:textId="77777777" w:rsidR="00E2099A" w:rsidRDefault="00000000">
      <w:pPr>
        <w:pStyle w:val="Heading5"/>
      </w:pPr>
      <w:bookmarkStart w:id="126" w:name="federal-highway-administration-fhwa"/>
      <w:r>
        <w:t>7.1.1.3.1</w:t>
      </w:r>
      <w:r>
        <w:tab/>
        <w:t>Federal Highway Administration (FHWA)</w:t>
      </w:r>
    </w:p>
    <w:p w14:paraId="637DA28B" w14:textId="77777777" w:rsidR="00E2099A" w:rsidRDefault="00000000">
      <w:pPr>
        <w:pStyle w:val="FirstParagraph"/>
      </w:pPr>
      <w:r>
        <w:t>Average vehicle occupancy (Federal Highway Administration (FHWA) 2018).</w:t>
      </w:r>
    </w:p>
    <w:p w14:paraId="65D19598" w14:textId="77777777" w:rsidR="00E2099A" w:rsidRDefault="00000000">
      <w:pPr>
        <w:pStyle w:val="Heading5"/>
      </w:pPr>
      <w:bookmarkStart w:id="127" w:name="eia-sources"/>
      <w:bookmarkEnd w:id="126"/>
      <w:r>
        <w:lastRenderedPageBreak/>
        <w:t>7.1.1.3.2</w:t>
      </w:r>
      <w:r>
        <w:tab/>
        <w:t>US Energy Information Administration (EIA)</w:t>
      </w:r>
    </w:p>
    <w:p w14:paraId="3464E606" w14:textId="77777777" w:rsidR="00E2099A" w:rsidRDefault="00000000">
      <w:pPr>
        <w:pStyle w:val="Heading6"/>
      </w:pPr>
      <w:bookmarkStart w:id="128" w:name="fuel-economies"/>
      <w:r>
        <w:t>7.1.1.3.2.1</w:t>
      </w:r>
      <w:r>
        <w:tab/>
        <w:t>Fuel economies</w:t>
      </w:r>
    </w:p>
    <w:p w14:paraId="1DD94D0C" w14:textId="77777777" w:rsidR="00E2099A" w:rsidRDefault="00000000">
      <w:pPr>
        <w:pStyle w:val="Heading6"/>
      </w:pPr>
      <w:bookmarkStart w:id="129" w:name="aeo-values"/>
      <w:bookmarkEnd w:id="128"/>
      <w:r>
        <w:t>7.1.1.3.2.2</w:t>
      </w:r>
      <w:r>
        <w:tab/>
        <w:t>Annual Energy Outlook values</w:t>
      </w:r>
    </w:p>
    <w:p w14:paraId="346D892C" w14:textId="77777777" w:rsidR="00E2099A" w:rsidRDefault="00000000">
      <w:pPr>
        <w:pStyle w:val="FirstParagraph"/>
      </w:pPr>
      <w:r>
        <w:t>The Annual Energy Outlook (AEO) is a report series by the US Energy Information Administration (EIA) exploring long-term energy trends in the United States (“Annual Energy Outlook” 2021).</w:t>
      </w:r>
    </w:p>
    <w:p w14:paraId="69341F38" w14:textId="77777777" w:rsidR="00E2099A" w:rsidRDefault="00000000">
      <w:pPr>
        <w:pStyle w:val="BodyText"/>
      </w:pPr>
      <w:r>
        <w:t xml:space="preserve">You can read more on the </w:t>
      </w:r>
      <w:hyperlink r:id="rId44">
        <w:r>
          <w:rPr>
            <w:rStyle w:val="Hyperlink"/>
          </w:rPr>
          <w:t xml:space="preserve">EIA website </w:t>
        </w:r>
        <w:r>
          <w:rPr>
            <w:noProof/>
          </w:rPr>
          <w:drawing>
            <wp:inline distT="0" distB="0" distL="0" distR="0" wp14:anchorId="3305A58D" wp14:editId="7AACDA00">
              <wp:extent cx="138303" cy="157162"/>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private/var/folders/b6/n168s8b14psghnl3gh43fyj1ctm4s3/T/RtmpPRVKni/preview-1334129cce645.dir/report_files/figure-docx/fa-icon-1cb4dd6c25746ed6d3d2a87cd5fc3c74.png"/>
                      <pic:cNvPicPr>
                        <a:picLocks noChangeAspect="1" noChangeArrowheads="1"/>
                      </pic:cNvPicPr>
                    </pic:nvPicPr>
                    <pic:blipFill>
                      <a:blip r:embed="rId40"/>
                      <a:stretch>
                        <a:fillRect/>
                      </a:stretch>
                    </pic:blipFill>
                    <pic:spPr bwMode="auto">
                      <a:xfrm>
                        <a:off x="0" y="0"/>
                        <a:ext cx="138303" cy="157162"/>
                      </a:xfrm>
                      <a:prstGeom prst="rect">
                        <a:avLst/>
                      </a:prstGeom>
                      <a:noFill/>
                      <a:ln w="9525">
                        <a:noFill/>
                        <a:headEnd/>
                        <a:tailEnd/>
                      </a:ln>
                    </pic:spPr>
                  </pic:pic>
                </a:graphicData>
              </a:graphic>
            </wp:inline>
          </w:drawing>
        </w:r>
      </w:hyperlink>
      <w:r>
        <w:t>.</w:t>
      </w:r>
    </w:p>
    <w:p w14:paraId="0F9E9711" w14:textId="77777777" w:rsidR="00E2099A" w:rsidRDefault="00000000">
      <w:pPr>
        <w:pStyle w:val="BodyText"/>
      </w:pPr>
      <w:r>
        <w:rPr>
          <w:noProof/>
        </w:rPr>
        <w:drawing>
          <wp:inline distT="0" distB="0" distL="0" distR="0" wp14:anchorId="543432A7" wp14:editId="718805DC">
            <wp:extent cx="6400800" cy="4267200"/>
            <wp:effectExtent l="0" t="0" r="0" b="0"/>
            <wp:docPr id="170" name="Picture"/>
            <wp:cNvGraphicFramePr/>
            <a:graphic xmlns:a="http://schemas.openxmlformats.org/drawingml/2006/main">
              <a:graphicData uri="http://schemas.openxmlformats.org/drawingml/2006/picture">
                <pic:pic xmlns:pic="http://schemas.openxmlformats.org/drawingml/2006/picture">
                  <pic:nvPicPr>
                    <pic:cNvPr id="171" name="Picture" descr="/private/var/folders/b6/n168s8b14psghnl3gh43fyj1ctm4s3/T/RtmpPRVKni/preview-1334129cce645.dir/report_files/figure-docx/tab-aeo-values-1.png"/>
                    <pic:cNvPicPr>
                      <a:picLocks noChangeAspect="1" noChangeArrowheads="1"/>
                    </pic:cNvPicPr>
                  </pic:nvPicPr>
                  <pic:blipFill>
                    <a:blip r:embed="rId45"/>
                    <a:stretch>
                      <a:fillRect/>
                    </a:stretch>
                  </pic:blipFill>
                  <pic:spPr bwMode="auto">
                    <a:xfrm>
                      <a:off x="0" y="0"/>
                      <a:ext cx="6400800" cy="4267200"/>
                    </a:xfrm>
                    <a:prstGeom prst="rect">
                      <a:avLst/>
                    </a:prstGeom>
                    <a:noFill/>
                    <a:ln w="9525">
                      <a:noFill/>
                      <a:headEnd/>
                      <a:tailEnd/>
                    </a:ln>
                  </pic:spPr>
                </pic:pic>
              </a:graphicData>
            </a:graphic>
          </wp:inline>
        </w:drawing>
      </w:r>
    </w:p>
    <w:p w14:paraId="521613FB" w14:textId="77777777" w:rsidR="00E2099A" w:rsidRDefault="00000000">
      <w:pPr>
        <w:pStyle w:val="Heading5"/>
      </w:pPr>
      <w:bookmarkStart w:id="130" w:name="ntd-source"/>
      <w:bookmarkEnd w:id="127"/>
      <w:bookmarkEnd w:id="129"/>
      <w:r>
        <w:t>7.1.1.3.3</w:t>
      </w:r>
      <w:r>
        <w:tab/>
        <w:t>National Transit Database (NTD)</w:t>
      </w:r>
    </w:p>
    <w:p w14:paraId="340975DA" w14:textId="77777777" w:rsidR="00E2099A" w:rsidRDefault="00000000">
      <w:pPr>
        <w:pStyle w:val="Heading4"/>
      </w:pPr>
      <w:bookmarkStart w:id="131" w:name="study-specific-values"/>
      <w:bookmarkEnd w:id="125"/>
      <w:bookmarkEnd w:id="130"/>
      <w:r>
        <w:t>7.1.1.4</w:t>
      </w:r>
      <w:r>
        <w:tab/>
        <w:t>Study-specific values</w:t>
      </w:r>
    </w:p>
    <w:p w14:paraId="69FAF4B9" w14:textId="77777777" w:rsidR="00E2099A" w:rsidRDefault="00000000">
      <w:pPr>
        <w:pStyle w:val="FirstParagraph"/>
      </w:pPr>
      <w:r>
        <w:t xml:space="preserve">Brooker, Aaron, Jeffrey Gonder, Lijuan Wang, Eric Wood, Sean Lopp, and Laurie Ramroth. “FASTSim: A Model to Estimate Vehicle Efficiency, Cost and Performance.” SAE Technical Paper. Warrendale, PA: SAE International, April 14, 2015. </w:t>
      </w:r>
      <w:hyperlink r:id="rId46">
        <w:r>
          <w:rPr>
            <w:rStyle w:val="Hyperlink"/>
          </w:rPr>
          <w:t>https://doi.org/10.4271/2015-01-0973</w:t>
        </w:r>
      </w:hyperlink>
      <w:r>
        <w:t>. (Brooker et al. 2015)</w:t>
      </w:r>
    </w:p>
    <w:p w14:paraId="5B8B56D0" w14:textId="77777777" w:rsidR="00E2099A" w:rsidRDefault="00000000">
      <w:pPr>
        <w:pStyle w:val="BodyText"/>
      </w:pPr>
      <w:r>
        <w:t xml:space="preserve">Jimmy O’Dea, “Electric Vs. Diesel Vs. Natural Gas: Which Bus Is Best for the Climate?” Union of Concerned Scientists, 2018, </w:t>
      </w:r>
      <w:hyperlink r:id="rId47">
        <w:r>
          <w:rPr>
            <w:rStyle w:val="Hyperlink"/>
          </w:rPr>
          <w:t>https://blog.ucsusa.org/jimmy-odea/electric-vs-diesel-vs-natural-gas-which-bus-is-best-for-the-climate</w:t>
        </w:r>
      </w:hyperlink>
      <w:r>
        <w:t xml:space="preserve"> (O’Dea 2018)</w:t>
      </w:r>
    </w:p>
    <w:p w14:paraId="0B8E6233" w14:textId="77777777" w:rsidR="00E2099A" w:rsidRDefault="00000000">
      <w:pPr>
        <w:pStyle w:val="BodyText"/>
      </w:pPr>
      <w:r>
        <w:t xml:space="preserve">Haonan Yan, Kara M. Kockelman, and Krishna Murthy Gurumurthy, “Shared Autonomous Vehicle Fleet Performance: Impacts of Trip Densities and Parking Limitations,” Transportation Research Part D: Transport and Environment 89 (2020): 1–19, </w:t>
      </w:r>
      <w:hyperlink r:id="rId48">
        <w:r>
          <w:rPr>
            <w:rStyle w:val="Hyperlink"/>
          </w:rPr>
          <w:t>https://doi.org/10.1016/j.trd.2020.102577</w:t>
        </w:r>
      </w:hyperlink>
      <w:r>
        <w:t>. (Yan, Kockelman, and Gurumurthy 2020)</w:t>
      </w:r>
    </w:p>
    <w:p w14:paraId="705A02EF" w14:textId="77777777" w:rsidR="00E2099A" w:rsidRDefault="00000000">
      <w:pPr>
        <w:pStyle w:val="BodyText"/>
      </w:pPr>
      <w:r>
        <w:t xml:space="preserve">Huang, Yantao, Kara M. Kockelman, and Neil Quarles. “How Will Self-Driving Vehicles Affect U.S. Megaregion Traffic? The Case of the Texas Triangle.” Research in Transportation Economics 84 (2020): 1–18. </w:t>
      </w:r>
      <w:hyperlink r:id="rId49">
        <w:r>
          <w:rPr>
            <w:rStyle w:val="Hyperlink"/>
          </w:rPr>
          <w:t>https://doi.org/10.1016/j.retrec.2020.101003</w:t>
        </w:r>
      </w:hyperlink>
      <w:r>
        <w:t>. (Huang, Kockelman, and Quarles 2020)</w:t>
      </w:r>
    </w:p>
    <w:p w14:paraId="482F84CF" w14:textId="77777777" w:rsidR="00E2099A" w:rsidRDefault="00000000">
      <w:pPr>
        <w:pStyle w:val="BodyText"/>
      </w:pPr>
      <w:r>
        <w:lastRenderedPageBreak/>
        <w:t xml:space="preserve">Taiebat, Morteza, Samuel Stolper, and Ming Xu. “Forecasting the Impact of Connected and Automated Vehicles on Energy Use A Microeconomic Study of Induced Travel and Energy Rebound.” Applied Energy 247 (August 2019): 297–308. </w:t>
      </w:r>
      <w:hyperlink r:id="rId50">
        <w:r>
          <w:rPr>
            <w:rStyle w:val="Hyperlink"/>
          </w:rPr>
          <w:t>https://doi.org/10.1016/j.apenergy.2019.03.174</w:t>
        </w:r>
      </w:hyperlink>
      <w:r>
        <w:t>. (Taiebat, Stolper, and Xu 2019)</w:t>
      </w:r>
    </w:p>
    <w:p w14:paraId="6206C7F2" w14:textId="77777777" w:rsidR="00E2099A" w:rsidRDefault="00000000">
      <w:pPr>
        <w:pStyle w:val="BodyText"/>
      </w:pPr>
      <w:r>
        <w:t>Patrick Plötz et al., “Real-World Usage of Plug-in Hybrid Electric Vehicles,” International Council on Clean Transportation (ICCT) White Paper, 2020 (Plötz et al. 2020)</w:t>
      </w:r>
    </w:p>
    <w:p w14:paraId="39318B72" w14:textId="77777777" w:rsidR="00E2099A" w:rsidRDefault="00000000">
      <w:pPr>
        <w:pStyle w:val="Heading2"/>
      </w:pPr>
      <w:bookmarkStart w:id="132" w:name="forecasted-electricity-energy-mix"/>
      <w:bookmarkStart w:id="133" w:name="_Toc124529457"/>
      <w:bookmarkEnd w:id="115"/>
      <w:bookmarkEnd w:id="117"/>
      <w:bookmarkEnd w:id="131"/>
      <w:r>
        <w:t>7.2</w:t>
      </w:r>
      <w:r>
        <w:tab/>
        <w:t>Forecasted Electricity Energy Mix</w:t>
      </w:r>
      <w:bookmarkEnd w:id="133"/>
    </w:p>
    <w:p w14:paraId="3CBF69E8" w14:textId="77777777" w:rsidR="00E2099A" w:rsidRDefault="00000000">
      <w:pPr>
        <w:pStyle w:val="FirstParagraph"/>
      </w:pPr>
      <w:r>
        <w:t>Reference and mitigation scenarios developed by Xcel Energy (Xcel Energy 2020).</w:t>
      </w:r>
    </w:p>
    <w:p w14:paraId="164ECCCA" w14:textId="77777777" w:rsidR="00E2099A" w:rsidRDefault="00000000">
      <w:pPr>
        <w:pStyle w:val="Heading2"/>
      </w:pPr>
      <w:bookmarkStart w:id="134" w:name="emission-sources"/>
      <w:bookmarkStart w:id="135" w:name="_Toc124529458"/>
      <w:bookmarkEnd w:id="132"/>
      <w:r>
        <w:lastRenderedPageBreak/>
        <w:t>7.3</w:t>
      </w:r>
      <w:r>
        <w:tab/>
        <w:t>Emission Sources</w:t>
      </w:r>
      <w:bookmarkEnd w:id="135"/>
    </w:p>
    <w:tbl>
      <w:tblPr>
        <w:tblW w:w="5000" w:type="pct"/>
        <w:jc w:val="center"/>
        <w:tblCellMar>
          <w:left w:w="60" w:type="dxa"/>
          <w:right w:w="60" w:type="dxa"/>
        </w:tblCellMar>
        <w:tblLook w:val="0000" w:firstRow="0" w:lastRow="0" w:firstColumn="0" w:lastColumn="0" w:noHBand="0" w:noVBand="0"/>
      </w:tblPr>
      <w:tblGrid>
        <w:gridCol w:w="1386"/>
        <w:gridCol w:w="8694"/>
      </w:tblGrid>
      <w:tr w:rsidR="00E2099A" w14:paraId="3E28AD5D" w14:textId="77777777">
        <w:trPr>
          <w:cantSplit/>
          <w:tblHeader/>
          <w:jc w:val="center"/>
        </w:trPr>
        <w:tc>
          <w:tcPr>
            <w:tcW w:w="0" w:type="auto"/>
            <w:tcBorders>
              <w:top w:val="single" w:sz="16" w:space="0" w:color="D3D3D3"/>
              <w:left w:val="single" w:sz="0" w:space="0" w:color="D3D3D3"/>
              <w:bottom w:val="single" w:sz="16" w:space="0" w:color="D3D3D3"/>
            </w:tcBorders>
          </w:tcPr>
          <w:p w14:paraId="68131D40" w14:textId="77777777" w:rsidR="00E2099A" w:rsidRDefault="00000000">
            <w:pPr>
              <w:keepNext/>
              <w:spacing w:after="60"/>
            </w:pPr>
            <w:r>
              <w:rPr>
                <w:rFonts w:ascii="Calibri" w:hAnsi="Calibri"/>
                <w:sz w:val="20"/>
              </w:rPr>
              <w:t>Abbreviation</w:t>
            </w:r>
          </w:p>
        </w:tc>
        <w:tc>
          <w:tcPr>
            <w:tcW w:w="0" w:type="auto"/>
            <w:tcBorders>
              <w:top w:val="single" w:sz="16" w:space="0" w:color="D3D3D3"/>
              <w:bottom w:val="single" w:sz="16" w:space="0" w:color="D3D3D3"/>
              <w:right w:val="single" w:sz="0" w:space="0" w:color="D3D3D3"/>
            </w:tcBorders>
          </w:tcPr>
          <w:p w14:paraId="4055FF1C" w14:textId="77777777" w:rsidR="00E2099A" w:rsidRDefault="00000000">
            <w:pPr>
              <w:keepNext/>
              <w:spacing w:after="60"/>
            </w:pPr>
            <w:r>
              <w:rPr>
                <w:rFonts w:ascii="Calibri" w:hAnsi="Calibri"/>
                <w:sz w:val="20"/>
              </w:rPr>
              <w:t>Description</w:t>
            </w:r>
          </w:p>
        </w:tc>
      </w:tr>
      <w:tr w:rsidR="00E2099A" w14:paraId="709D1A3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98F9A9C" w14:textId="77777777" w:rsidR="00E2099A" w:rsidRDefault="00000000">
            <w:pPr>
              <w:keepNext/>
              <w:spacing w:after="60"/>
            </w:pPr>
            <w:r>
              <w:rPr>
                <w:rFonts w:ascii="Calibri" w:hAnsi="Calibri"/>
                <w:sz w:val="20"/>
              </w:rPr>
              <w:t>ER</w:t>
            </w:r>
          </w:p>
        </w:tc>
        <w:tc>
          <w:tcPr>
            <w:tcW w:w="0" w:type="auto"/>
            <w:tcBorders>
              <w:top w:val="single" w:sz="0" w:space="0" w:color="D3D3D3"/>
              <w:left w:val="single" w:sz="0" w:space="0" w:color="D3D3D3"/>
              <w:bottom w:val="single" w:sz="0" w:space="0" w:color="D3D3D3"/>
              <w:right w:val="single" w:sz="0" w:space="0" w:color="D3D3D3"/>
            </w:tcBorders>
          </w:tcPr>
          <w:p w14:paraId="552B13A2" w14:textId="77777777" w:rsidR="00E2099A" w:rsidRDefault="00000000">
            <w:pPr>
              <w:keepNext/>
              <w:spacing w:after="60"/>
            </w:pPr>
            <w:r>
              <w:rPr>
                <w:rFonts w:ascii="Calibri" w:hAnsi="Calibri"/>
                <w:sz w:val="20"/>
              </w:rPr>
              <w:t>Xcel energy reference scenario electricity generation mix</w:t>
            </w:r>
          </w:p>
        </w:tc>
      </w:tr>
      <w:tr w:rsidR="00E2099A" w14:paraId="08C7EC0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02E307" w14:textId="77777777" w:rsidR="00E2099A" w:rsidRDefault="00000000">
            <w:pPr>
              <w:keepNext/>
              <w:spacing w:after="60"/>
            </w:pPr>
            <w:r>
              <w:rPr>
                <w:rFonts w:ascii="Calibri" w:hAnsi="Calibri"/>
                <w:sz w:val="20"/>
              </w:rPr>
              <w:t>EM</w:t>
            </w:r>
          </w:p>
        </w:tc>
        <w:tc>
          <w:tcPr>
            <w:tcW w:w="0" w:type="auto"/>
            <w:tcBorders>
              <w:top w:val="single" w:sz="0" w:space="0" w:color="D3D3D3"/>
              <w:left w:val="single" w:sz="0" w:space="0" w:color="D3D3D3"/>
              <w:bottom w:val="single" w:sz="0" w:space="0" w:color="D3D3D3"/>
              <w:right w:val="single" w:sz="0" w:space="0" w:color="D3D3D3"/>
            </w:tcBorders>
          </w:tcPr>
          <w:p w14:paraId="47CC6EEA" w14:textId="77777777" w:rsidR="00E2099A" w:rsidRDefault="00000000">
            <w:pPr>
              <w:keepNext/>
              <w:spacing w:after="60"/>
            </w:pPr>
            <w:r>
              <w:rPr>
                <w:rFonts w:ascii="Calibri" w:hAnsi="Calibri"/>
                <w:sz w:val="20"/>
              </w:rPr>
              <w:t>Xcel energy mitigation scenario electricity generation mix</w:t>
            </w:r>
          </w:p>
        </w:tc>
      </w:tr>
      <w:tr w:rsidR="00E2099A" w14:paraId="1403D63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B6033B" w14:textId="77777777" w:rsidR="00E2099A" w:rsidRDefault="00000000">
            <w:pPr>
              <w:keepNext/>
              <w:spacing w:after="60"/>
            </w:pPr>
            <w:r>
              <w:rPr>
                <w:rFonts w:ascii="Calibri" w:hAnsi="Calibri"/>
                <w:sz w:val="20"/>
              </w:rPr>
              <w:t>SI</w:t>
            </w:r>
          </w:p>
        </w:tc>
        <w:tc>
          <w:tcPr>
            <w:tcW w:w="0" w:type="auto"/>
            <w:tcBorders>
              <w:top w:val="single" w:sz="0" w:space="0" w:color="D3D3D3"/>
              <w:left w:val="single" w:sz="0" w:space="0" w:color="D3D3D3"/>
              <w:bottom w:val="single" w:sz="0" w:space="0" w:color="D3D3D3"/>
              <w:right w:val="single" w:sz="0" w:space="0" w:color="D3D3D3"/>
            </w:tcBorders>
          </w:tcPr>
          <w:p w14:paraId="79A6EDF5" w14:textId="77777777" w:rsidR="00E2099A" w:rsidRDefault="00000000">
            <w:pPr>
              <w:keepNext/>
              <w:spacing w:after="60"/>
            </w:pPr>
            <w:r>
              <w:rPr>
                <w:rFonts w:ascii="Calibri" w:hAnsi="Calibri"/>
                <w:sz w:val="20"/>
              </w:rPr>
              <w:t>Spark ignition</w:t>
            </w:r>
          </w:p>
        </w:tc>
      </w:tr>
      <w:tr w:rsidR="00E2099A" w14:paraId="42B82EE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23D48A7" w14:textId="77777777" w:rsidR="00E2099A" w:rsidRDefault="00000000">
            <w:pPr>
              <w:keepNext/>
              <w:spacing w:after="60"/>
            </w:pPr>
            <w:r>
              <w:rPr>
                <w:rFonts w:ascii="Calibri" w:hAnsi="Calibri"/>
                <w:sz w:val="20"/>
              </w:rPr>
              <w:t>CI</w:t>
            </w:r>
          </w:p>
        </w:tc>
        <w:tc>
          <w:tcPr>
            <w:tcW w:w="0" w:type="auto"/>
            <w:tcBorders>
              <w:top w:val="single" w:sz="0" w:space="0" w:color="D3D3D3"/>
              <w:left w:val="single" w:sz="0" w:space="0" w:color="D3D3D3"/>
              <w:bottom w:val="single" w:sz="0" w:space="0" w:color="D3D3D3"/>
              <w:right w:val="single" w:sz="0" w:space="0" w:color="D3D3D3"/>
            </w:tcBorders>
          </w:tcPr>
          <w:p w14:paraId="34191E9D" w14:textId="77777777" w:rsidR="00E2099A" w:rsidRDefault="00000000">
            <w:pPr>
              <w:keepNext/>
              <w:spacing w:after="60"/>
            </w:pPr>
            <w:r>
              <w:rPr>
                <w:rFonts w:ascii="Calibri" w:hAnsi="Calibri"/>
                <w:sz w:val="20"/>
              </w:rPr>
              <w:t>Combustion Ignition</w:t>
            </w:r>
          </w:p>
        </w:tc>
      </w:tr>
      <w:tr w:rsidR="00E2099A" w14:paraId="66615D1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EBFA6F" w14:textId="77777777" w:rsidR="00E2099A" w:rsidRDefault="00000000">
            <w:pPr>
              <w:keepNext/>
              <w:spacing w:after="60"/>
            </w:pPr>
            <w:r>
              <w:rPr>
                <w:rFonts w:ascii="Calibri" w:hAnsi="Calibri"/>
                <w:sz w:val="20"/>
              </w:rPr>
              <w:t>BCI</w:t>
            </w:r>
          </w:p>
        </w:tc>
        <w:tc>
          <w:tcPr>
            <w:tcW w:w="0" w:type="auto"/>
            <w:tcBorders>
              <w:top w:val="single" w:sz="0" w:space="0" w:color="D3D3D3"/>
              <w:left w:val="single" w:sz="0" w:space="0" w:color="D3D3D3"/>
              <w:bottom w:val="single" w:sz="0" w:space="0" w:color="D3D3D3"/>
              <w:right w:val="single" w:sz="0" w:space="0" w:color="D3D3D3"/>
            </w:tcBorders>
          </w:tcPr>
          <w:p w14:paraId="2DF335BD" w14:textId="77777777" w:rsidR="00E2099A" w:rsidRDefault="00000000">
            <w:pPr>
              <w:keepNext/>
              <w:spacing w:after="60"/>
            </w:pPr>
            <w:r>
              <w:rPr>
                <w:rFonts w:ascii="Calibri" w:hAnsi="Calibri"/>
                <w:sz w:val="20"/>
              </w:rPr>
              <w:t>Biodiesel fuel consumed in thousands of gallons</w:t>
            </w:r>
          </w:p>
        </w:tc>
      </w:tr>
      <w:tr w:rsidR="00E2099A" w14:paraId="61D7C2B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03D157F" w14:textId="77777777" w:rsidR="00E2099A" w:rsidRDefault="00000000">
            <w:pPr>
              <w:keepNext/>
              <w:spacing w:after="60"/>
            </w:pPr>
            <w:r>
              <w:rPr>
                <w:rFonts w:ascii="Calibri" w:hAnsi="Calibri"/>
                <w:sz w:val="20"/>
              </w:rPr>
              <w:t>SUTCI</w:t>
            </w:r>
          </w:p>
        </w:tc>
        <w:tc>
          <w:tcPr>
            <w:tcW w:w="0" w:type="auto"/>
            <w:tcBorders>
              <w:top w:val="single" w:sz="0" w:space="0" w:color="D3D3D3"/>
              <w:left w:val="single" w:sz="0" w:space="0" w:color="D3D3D3"/>
              <w:bottom w:val="single" w:sz="0" w:space="0" w:color="D3D3D3"/>
              <w:right w:val="single" w:sz="0" w:space="0" w:color="D3D3D3"/>
            </w:tcBorders>
          </w:tcPr>
          <w:p w14:paraId="026E7053" w14:textId="77777777" w:rsidR="00E2099A" w:rsidRDefault="00000000">
            <w:pPr>
              <w:keepNext/>
              <w:spacing w:after="60"/>
            </w:pPr>
            <w:r>
              <w:rPr>
                <w:rFonts w:ascii="Calibri" w:hAnsi="Calibri"/>
                <w:sz w:val="20"/>
              </w:rPr>
              <w:t>Single-unit truck diesel fuel consumed in millions of gallons</w:t>
            </w:r>
          </w:p>
        </w:tc>
      </w:tr>
      <w:tr w:rsidR="00E2099A" w14:paraId="7080D03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D54F664" w14:textId="77777777" w:rsidR="00E2099A" w:rsidRDefault="00000000">
            <w:pPr>
              <w:keepNext/>
              <w:spacing w:after="60"/>
            </w:pPr>
            <w:r>
              <w:rPr>
                <w:rFonts w:ascii="Calibri" w:hAnsi="Calibri"/>
                <w:sz w:val="20"/>
              </w:rPr>
              <w:t>CUTCI</w:t>
            </w:r>
          </w:p>
        </w:tc>
        <w:tc>
          <w:tcPr>
            <w:tcW w:w="0" w:type="auto"/>
            <w:tcBorders>
              <w:top w:val="single" w:sz="0" w:space="0" w:color="D3D3D3"/>
              <w:left w:val="single" w:sz="0" w:space="0" w:color="D3D3D3"/>
              <w:bottom w:val="single" w:sz="0" w:space="0" w:color="D3D3D3"/>
              <w:right w:val="single" w:sz="0" w:space="0" w:color="D3D3D3"/>
            </w:tcBorders>
          </w:tcPr>
          <w:p w14:paraId="2F7D2F00" w14:textId="77777777" w:rsidR="00E2099A" w:rsidRDefault="00000000">
            <w:pPr>
              <w:keepNext/>
              <w:spacing w:after="60"/>
            </w:pPr>
            <w:r>
              <w:rPr>
                <w:rFonts w:ascii="Calibri" w:hAnsi="Calibri"/>
                <w:sz w:val="20"/>
              </w:rPr>
              <w:t>Combined-unit truck diesel fuel consumed in millions of gallons</w:t>
            </w:r>
          </w:p>
        </w:tc>
      </w:tr>
      <w:tr w:rsidR="00E2099A" w14:paraId="1F0F265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C0B72F" w14:textId="77777777" w:rsidR="00E2099A" w:rsidRDefault="00000000">
            <w:pPr>
              <w:keepNext/>
              <w:spacing w:after="60"/>
            </w:pPr>
            <w:r>
              <w:rPr>
                <w:rFonts w:ascii="Calibri" w:hAnsi="Calibri"/>
                <w:sz w:val="20"/>
              </w:rPr>
              <w:t>RCI</w:t>
            </w:r>
          </w:p>
        </w:tc>
        <w:tc>
          <w:tcPr>
            <w:tcW w:w="0" w:type="auto"/>
            <w:tcBorders>
              <w:top w:val="single" w:sz="0" w:space="0" w:color="D3D3D3"/>
              <w:left w:val="single" w:sz="0" w:space="0" w:color="D3D3D3"/>
              <w:bottom w:val="single" w:sz="0" w:space="0" w:color="D3D3D3"/>
              <w:right w:val="single" w:sz="0" w:space="0" w:color="D3D3D3"/>
            </w:tcBorders>
          </w:tcPr>
          <w:p w14:paraId="34403A73" w14:textId="77777777" w:rsidR="00E2099A" w:rsidRDefault="00000000">
            <w:pPr>
              <w:keepNext/>
              <w:spacing w:after="60"/>
            </w:pPr>
            <w:r>
              <w:rPr>
                <w:rFonts w:ascii="Calibri" w:hAnsi="Calibri"/>
                <w:sz w:val="20"/>
              </w:rPr>
              <w:t>Rail diesel fuel consumed in millions of gallons</w:t>
            </w:r>
          </w:p>
        </w:tc>
      </w:tr>
      <w:tr w:rsidR="00E2099A" w14:paraId="1F951E3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3ECC45" w14:textId="77777777" w:rsidR="00E2099A" w:rsidRDefault="00000000">
            <w:pPr>
              <w:keepNext/>
              <w:spacing w:after="60"/>
            </w:pPr>
            <w:r>
              <w:rPr>
                <w:rFonts w:ascii="Calibri" w:hAnsi="Calibri"/>
                <w:sz w:val="20"/>
              </w:rPr>
              <w:t>MMCI</w:t>
            </w:r>
          </w:p>
        </w:tc>
        <w:tc>
          <w:tcPr>
            <w:tcW w:w="0" w:type="auto"/>
            <w:tcBorders>
              <w:top w:val="single" w:sz="0" w:space="0" w:color="D3D3D3"/>
              <w:left w:val="single" w:sz="0" w:space="0" w:color="D3D3D3"/>
              <w:bottom w:val="single" w:sz="0" w:space="0" w:color="D3D3D3"/>
              <w:right w:val="single" w:sz="0" w:space="0" w:color="D3D3D3"/>
            </w:tcBorders>
          </w:tcPr>
          <w:p w14:paraId="3B2F45CA" w14:textId="77777777" w:rsidR="00E2099A" w:rsidRDefault="00000000">
            <w:pPr>
              <w:keepNext/>
              <w:spacing w:after="60"/>
            </w:pPr>
            <w:r>
              <w:rPr>
                <w:rFonts w:ascii="Calibri" w:hAnsi="Calibri"/>
                <w:sz w:val="20"/>
              </w:rPr>
              <w:t>Multi-modal diesel fuel consumed in millions of gallons</w:t>
            </w:r>
          </w:p>
        </w:tc>
      </w:tr>
      <w:tr w:rsidR="00E2099A" w14:paraId="5533840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B5EB6B" w14:textId="77777777" w:rsidR="00E2099A" w:rsidRDefault="00000000">
            <w:pPr>
              <w:keepNext/>
              <w:spacing w:after="60"/>
            </w:pPr>
            <w:r>
              <w:rPr>
                <w:rFonts w:ascii="Calibri" w:hAnsi="Calibri"/>
                <w:sz w:val="20"/>
              </w:rPr>
              <w:t>WCI</w:t>
            </w:r>
          </w:p>
        </w:tc>
        <w:tc>
          <w:tcPr>
            <w:tcW w:w="0" w:type="auto"/>
            <w:tcBorders>
              <w:top w:val="single" w:sz="0" w:space="0" w:color="D3D3D3"/>
              <w:left w:val="single" w:sz="0" w:space="0" w:color="D3D3D3"/>
              <w:bottom w:val="single" w:sz="0" w:space="0" w:color="D3D3D3"/>
              <w:right w:val="single" w:sz="0" w:space="0" w:color="D3D3D3"/>
            </w:tcBorders>
          </w:tcPr>
          <w:p w14:paraId="7C1538DE" w14:textId="77777777" w:rsidR="00E2099A" w:rsidRDefault="00000000">
            <w:pPr>
              <w:keepNext/>
              <w:spacing w:after="60"/>
            </w:pPr>
            <w:r>
              <w:rPr>
                <w:rFonts w:ascii="Calibri" w:hAnsi="Calibri"/>
                <w:sz w:val="20"/>
              </w:rPr>
              <w:t>Water diesel fuel consumed in millions of gallons</w:t>
            </w:r>
          </w:p>
        </w:tc>
      </w:tr>
      <w:tr w:rsidR="00E2099A" w14:paraId="0EBBE8B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5DB3AD" w14:textId="77777777" w:rsidR="00E2099A" w:rsidRDefault="00000000">
            <w:pPr>
              <w:keepNext/>
              <w:spacing w:after="60"/>
            </w:pPr>
            <w:r>
              <w:rPr>
                <w:rFonts w:ascii="Calibri" w:hAnsi="Calibri"/>
                <w:sz w:val="20"/>
              </w:rPr>
              <w:t>ASI</w:t>
            </w:r>
          </w:p>
        </w:tc>
        <w:tc>
          <w:tcPr>
            <w:tcW w:w="0" w:type="auto"/>
            <w:tcBorders>
              <w:top w:val="single" w:sz="0" w:space="0" w:color="D3D3D3"/>
              <w:left w:val="single" w:sz="0" w:space="0" w:color="D3D3D3"/>
              <w:bottom w:val="single" w:sz="0" w:space="0" w:color="D3D3D3"/>
              <w:right w:val="single" w:sz="0" w:space="0" w:color="D3D3D3"/>
            </w:tcBorders>
          </w:tcPr>
          <w:p w14:paraId="09C2BC3B" w14:textId="77777777" w:rsidR="00E2099A" w:rsidRDefault="00000000">
            <w:pPr>
              <w:keepNext/>
              <w:spacing w:after="60"/>
            </w:pPr>
            <w:r>
              <w:rPr>
                <w:rFonts w:ascii="Calibri" w:hAnsi="Calibri"/>
                <w:sz w:val="20"/>
              </w:rPr>
              <w:t>Air spark ignition (jet fuel) fuel consumed in millions of gallons</w:t>
            </w:r>
          </w:p>
        </w:tc>
      </w:tr>
      <w:tr w:rsidR="00E2099A" w14:paraId="7EBC066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DC9B89" w14:textId="77777777" w:rsidR="00E2099A" w:rsidRDefault="00000000">
            <w:pPr>
              <w:keepNext/>
              <w:spacing w:after="60"/>
            </w:pPr>
            <w:r>
              <w:rPr>
                <w:rFonts w:ascii="Calibri" w:hAnsi="Calibri"/>
                <w:sz w:val="20"/>
              </w:rPr>
              <w:t>SI-EMB</w:t>
            </w:r>
          </w:p>
        </w:tc>
        <w:tc>
          <w:tcPr>
            <w:tcW w:w="0" w:type="auto"/>
            <w:tcBorders>
              <w:top w:val="single" w:sz="0" w:space="0" w:color="D3D3D3"/>
              <w:left w:val="single" w:sz="0" w:space="0" w:color="D3D3D3"/>
              <w:bottom w:val="single" w:sz="0" w:space="0" w:color="D3D3D3"/>
              <w:right w:val="single" w:sz="0" w:space="0" w:color="D3D3D3"/>
            </w:tcBorders>
          </w:tcPr>
          <w:p w14:paraId="7F47C0CA" w14:textId="77777777" w:rsidR="00E2099A" w:rsidRDefault="00000000">
            <w:pPr>
              <w:keepNext/>
              <w:spacing w:after="60"/>
            </w:pPr>
            <w:r>
              <w:rPr>
                <w:rFonts w:ascii="Calibri" w:hAnsi="Calibri"/>
                <w:sz w:val="20"/>
              </w:rPr>
              <w:t>Spark ignition/gasoline embodied emissions from vehicle sales in thousands of mt CO2</w:t>
            </w:r>
          </w:p>
        </w:tc>
      </w:tr>
      <w:tr w:rsidR="00E2099A" w14:paraId="57AFAD6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4EBBE5" w14:textId="77777777" w:rsidR="00E2099A" w:rsidRDefault="00000000">
            <w:pPr>
              <w:keepNext/>
              <w:spacing w:after="60"/>
            </w:pPr>
            <w:r>
              <w:rPr>
                <w:rFonts w:ascii="Calibri" w:hAnsi="Calibri"/>
                <w:sz w:val="20"/>
              </w:rPr>
              <w:t>CI-EMB</w:t>
            </w:r>
          </w:p>
        </w:tc>
        <w:tc>
          <w:tcPr>
            <w:tcW w:w="0" w:type="auto"/>
            <w:tcBorders>
              <w:top w:val="single" w:sz="0" w:space="0" w:color="D3D3D3"/>
              <w:left w:val="single" w:sz="0" w:space="0" w:color="D3D3D3"/>
              <w:bottom w:val="single" w:sz="0" w:space="0" w:color="D3D3D3"/>
              <w:right w:val="single" w:sz="0" w:space="0" w:color="D3D3D3"/>
            </w:tcBorders>
          </w:tcPr>
          <w:p w14:paraId="7D8AFA42" w14:textId="77777777" w:rsidR="00E2099A" w:rsidRDefault="00000000">
            <w:pPr>
              <w:keepNext/>
              <w:spacing w:after="60"/>
            </w:pPr>
            <w:r>
              <w:rPr>
                <w:rFonts w:ascii="Calibri" w:hAnsi="Calibri"/>
                <w:sz w:val="20"/>
              </w:rPr>
              <w:t>Combustion ignition/diesel embodied emissions from vehicle sales in thousands of mt CO2</w:t>
            </w:r>
          </w:p>
        </w:tc>
      </w:tr>
      <w:tr w:rsidR="00E2099A" w14:paraId="7D85E68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9C83AB" w14:textId="77777777" w:rsidR="00E2099A" w:rsidRDefault="00000000">
            <w:pPr>
              <w:keepNext/>
              <w:spacing w:after="60"/>
            </w:pPr>
            <w:r>
              <w:rPr>
                <w:rFonts w:ascii="Calibri" w:hAnsi="Calibri"/>
                <w:sz w:val="20"/>
              </w:rPr>
              <w:t>HEV-EMB</w:t>
            </w:r>
          </w:p>
        </w:tc>
        <w:tc>
          <w:tcPr>
            <w:tcW w:w="0" w:type="auto"/>
            <w:tcBorders>
              <w:top w:val="single" w:sz="0" w:space="0" w:color="D3D3D3"/>
              <w:left w:val="single" w:sz="0" w:space="0" w:color="D3D3D3"/>
              <w:bottom w:val="single" w:sz="0" w:space="0" w:color="D3D3D3"/>
              <w:right w:val="single" w:sz="0" w:space="0" w:color="D3D3D3"/>
            </w:tcBorders>
          </w:tcPr>
          <w:p w14:paraId="5473E786" w14:textId="77777777" w:rsidR="00E2099A" w:rsidRDefault="00000000">
            <w:pPr>
              <w:keepNext/>
              <w:spacing w:after="60"/>
            </w:pPr>
            <w:r>
              <w:rPr>
                <w:rFonts w:ascii="Calibri" w:hAnsi="Calibri"/>
                <w:sz w:val="20"/>
              </w:rPr>
              <w:t>HEV embodied emissions from vehicle sales in thousands of mt CO2</w:t>
            </w:r>
          </w:p>
        </w:tc>
      </w:tr>
      <w:tr w:rsidR="00E2099A" w14:paraId="1E37E67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4EABE7D" w14:textId="77777777" w:rsidR="00E2099A" w:rsidRDefault="00000000">
            <w:pPr>
              <w:keepNext/>
              <w:spacing w:after="60"/>
            </w:pPr>
            <w:r>
              <w:rPr>
                <w:rFonts w:ascii="Calibri" w:hAnsi="Calibri"/>
                <w:sz w:val="20"/>
              </w:rPr>
              <w:t>PHEV-EMB</w:t>
            </w:r>
          </w:p>
        </w:tc>
        <w:tc>
          <w:tcPr>
            <w:tcW w:w="0" w:type="auto"/>
            <w:tcBorders>
              <w:top w:val="single" w:sz="0" w:space="0" w:color="D3D3D3"/>
              <w:left w:val="single" w:sz="0" w:space="0" w:color="D3D3D3"/>
              <w:bottom w:val="single" w:sz="0" w:space="0" w:color="D3D3D3"/>
              <w:right w:val="single" w:sz="0" w:space="0" w:color="D3D3D3"/>
            </w:tcBorders>
          </w:tcPr>
          <w:p w14:paraId="0C9A8047" w14:textId="77777777" w:rsidR="00E2099A" w:rsidRDefault="00000000">
            <w:pPr>
              <w:keepNext/>
              <w:spacing w:after="60"/>
            </w:pPr>
            <w:r>
              <w:rPr>
                <w:rFonts w:ascii="Calibri" w:hAnsi="Calibri"/>
                <w:sz w:val="20"/>
              </w:rPr>
              <w:t>PHEV embodied emissions from vehicle sales in thousands of mt CO2</w:t>
            </w:r>
          </w:p>
        </w:tc>
      </w:tr>
      <w:tr w:rsidR="00E2099A" w14:paraId="54D4F11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91C97C" w14:textId="77777777" w:rsidR="00E2099A" w:rsidRDefault="00000000">
            <w:pPr>
              <w:keepNext/>
              <w:spacing w:after="60"/>
            </w:pPr>
            <w:r>
              <w:rPr>
                <w:rFonts w:ascii="Calibri" w:hAnsi="Calibri"/>
                <w:sz w:val="20"/>
              </w:rPr>
              <w:t>BEV-EMB</w:t>
            </w:r>
          </w:p>
        </w:tc>
        <w:tc>
          <w:tcPr>
            <w:tcW w:w="0" w:type="auto"/>
            <w:tcBorders>
              <w:top w:val="single" w:sz="0" w:space="0" w:color="D3D3D3"/>
              <w:left w:val="single" w:sz="0" w:space="0" w:color="D3D3D3"/>
              <w:bottom w:val="single" w:sz="0" w:space="0" w:color="D3D3D3"/>
              <w:right w:val="single" w:sz="0" w:space="0" w:color="D3D3D3"/>
            </w:tcBorders>
          </w:tcPr>
          <w:p w14:paraId="30EB7ADB" w14:textId="77777777" w:rsidR="00E2099A" w:rsidRDefault="00000000">
            <w:pPr>
              <w:keepNext/>
              <w:spacing w:after="60"/>
            </w:pPr>
            <w:r>
              <w:rPr>
                <w:rFonts w:ascii="Calibri" w:hAnsi="Calibri"/>
                <w:sz w:val="20"/>
              </w:rPr>
              <w:t>BEV emodied emisisons from vehicle sales in thousands of mt CO2</w:t>
            </w:r>
          </w:p>
        </w:tc>
      </w:tr>
      <w:tr w:rsidR="00E2099A" w14:paraId="6A7C7D5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83298F1" w14:textId="77777777" w:rsidR="00E2099A" w:rsidRDefault="00000000">
            <w:pPr>
              <w:keepNext/>
              <w:spacing w:after="60"/>
            </w:pPr>
            <w:r>
              <w:rPr>
                <w:rFonts w:ascii="Calibri" w:hAnsi="Calibri"/>
                <w:sz w:val="20"/>
              </w:rPr>
              <w:t>BU-BCI-EMB</w:t>
            </w:r>
          </w:p>
        </w:tc>
        <w:tc>
          <w:tcPr>
            <w:tcW w:w="0" w:type="auto"/>
            <w:tcBorders>
              <w:top w:val="single" w:sz="0" w:space="0" w:color="D3D3D3"/>
              <w:left w:val="single" w:sz="0" w:space="0" w:color="D3D3D3"/>
              <w:bottom w:val="single" w:sz="0" w:space="0" w:color="D3D3D3"/>
              <w:right w:val="single" w:sz="0" w:space="0" w:color="D3D3D3"/>
            </w:tcBorders>
          </w:tcPr>
          <w:p w14:paraId="1821F9E5" w14:textId="77777777" w:rsidR="00E2099A" w:rsidRDefault="00000000">
            <w:pPr>
              <w:keepNext/>
              <w:spacing w:after="60"/>
            </w:pPr>
            <w:r>
              <w:rPr>
                <w:rFonts w:ascii="Calibri" w:hAnsi="Calibri"/>
                <w:sz w:val="20"/>
              </w:rPr>
              <w:t>Biodiesel bus embodied emissions from vehicle sales in thousands of mt CO2</w:t>
            </w:r>
          </w:p>
        </w:tc>
      </w:tr>
      <w:tr w:rsidR="00E2099A" w14:paraId="17358DE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E14075" w14:textId="77777777" w:rsidR="00E2099A" w:rsidRDefault="00000000">
            <w:pPr>
              <w:keepNext/>
              <w:spacing w:after="60"/>
            </w:pPr>
            <w:r>
              <w:rPr>
                <w:rFonts w:ascii="Calibri" w:hAnsi="Calibri"/>
                <w:sz w:val="20"/>
              </w:rPr>
              <w:t>BU-HEV-EMB</w:t>
            </w:r>
          </w:p>
        </w:tc>
        <w:tc>
          <w:tcPr>
            <w:tcW w:w="0" w:type="auto"/>
            <w:tcBorders>
              <w:top w:val="single" w:sz="0" w:space="0" w:color="D3D3D3"/>
              <w:left w:val="single" w:sz="0" w:space="0" w:color="D3D3D3"/>
              <w:bottom w:val="single" w:sz="0" w:space="0" w:color="D3D3D3"/>
              <w:right w:val="single" w:sz="0" w:space="0" w:color="D3D3D3"/>
            </w:tcBorders>
          </w:tcPr>
          <w:p w14:paraId="107297C8" w14:textId="77777777" w:rsidR="00E2099A" w:rsidRDefault="00000000">
            <w:pPr>
              <w:keepNext/>
              <w:spacing w:after="60"/>
            </w:pPr>
            <w:r>
              <w:rPr>
                <w:rFonts w:ascii="Calibri" w:hAnsi="Calibri"/>
                <w:sz w:val="20"/>
              </w:rPr>
              <w:t>HEV bus embodied emissions from vehicle sales in thousands of mt CO2</w:t>
            </w:r>
          </w:p>
        </w:tc>
      </w:tr>
      <w:tr w:rsidR="00E2099A" w14:paraId="3DA5A19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C90A961" w14:textId="77777777" w:rsidR="00E2099A" w:rsidRDefault="00000000">
            <w:pPr>
              <w:keepNext/>
              <w:spacing w:after="60"/>
            </w:pPr>
            <w:r>
              <w:rPr>
                <w:rFonts w:ascii="Calibri" w:hAnsi="Calibri"/>
                <w:sz w:val="20"/>
              </w:rPr>
              <w:t>BU-BEV-EMB</w:t>
            </w:r>
          </w:p>
        </w:tc>
        <w:tc>
          <w:tcPr>
            <w:tcW w:w="0" w:type="auto"/>
            <w:tcBorders>
              <w:top w:val="single" w:sz="0" w:space="0" w:color="D3D3D3"/>
              <w:left w:val="single" w:sz="0" w:space="0" w:color="D3D3D3"/>
              <w:bottom w:val="single" w:sz="0" w:space="0" w:color="D3D3D3"/>
              <w:right w:val="single" w:sz="0" w:space="0" w:color="D3D3D3"/>
            </w:tcBorders>
          </w:tcPr>
          <w:p w14:paraId="54BEFABA" w14:textId="77777777" w:rsidR="00E2099A" w:rsidRDefault="00000000">
            <w:pPr>
              <w:keepNext/>
              <w:spacing w:after="60"/>
            </w:pPr>
            <w:r>
              <w:rPr>
                <w:rFonts w:ascii="Calibri" w:hAnsi="Calibri"/>
                <w:sz w:val="20"/>
              </w:rPr>
              <w:t>BEV bus embodied emissions from vehicle sales in thousands of mt CO2</w:t>
            </w:r>
          </w:p>
        </w:tc>
      </w:tr>
      <w:tr w:rsidR="00E2099A" w14:paraId="031AB8A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34E68A" w14:textId="77777777" w:rsidR="00E2099A" w:rsidRDefault="00000000">
            <w:pPr>
              <w:keepNext/>
              <w:spacing w:after="60"/>
            </w:pPr>
            <w:r>
              <w:rPr>
                <w:rFonts w:ascii="Calibri" w:hAnsi="Calibri"/>
                <w:sz w:val="20"/>
              </w:rPr>
              <w:t>BS-CI-EMB</w:t>
            </w:r>
          </w:p>
        </w:tc>
        <w:tc>
          <w:tcPr>
            <w:tcW w:w="0" w:type="auto"/>
            <w:tcBorders>
              <w:top w:val="single" w:sz="0" w:space="0" w:color="D3D3D3"/>
              <w:left w:val="single" w:sz="0" w:space="0" w:color="D3D3D3"/>
              <w:bottom w:val="single" w:sz="0" w:space="0" w:color="D3D3D3"/>
              <w:right w:val="single" w:sz="0" w:space="0" w:color="D3D3D3"/>
            </w:tcBorders>
          </w:tcPr>
          <w:p w14:paraId="067CF6F5" w14:textId="77777777" w:rsidR="00E2099A" w:rsidRDefault="00000000">
            <w:pPr>
              <w:keepNext/>
              <w:spacing w:after="60"/>
            </w:pPr>
            <w:r>
              <w:rPr>
                <w:rFonts w:ascii="Calibri" w:hAnsi="Calibri"/>
                <w:sz w:val="20"/>
              </w:rPr>
              <w:t>Diesel school bus embodied emissions from vehicle sales in thousands of mt CO2</w:t>
            </w:r>
          </w:p>
        </w:tc>
      </w:tr>
      <w:tr w:rsidR="00E2099A" w14:paraId="1BCE3A3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32B63A5" w14:textId="77777777" w:rsidR="00E2099A" w:rsidRDefault="00000000">
            <w:pPr>
              <w:keepNext/>
              <w:spacing w:after="60"/>
            </w:pPr>
            <w:r>
              <w:rPr>
                <w:rFonts w:ascii="Calibri" w:hAnsi="Calibri"/>
                <w:sz w:val="20"/>
              </w:rPr>
              <w:t>BS-BEV-EMB</w:t>
            </w:r>
          </w:p>
        </w:tc>
        <w:tc>
          <w:tcPr>
            <w:tcW w:w="0" w:type="auto"/>
            <w:tcBorders>
              <w:top w:val="single" w:sz="0" w:space="0" w:color="D3D3D3"/>
              <w:left w:val="single" w:sz="0" w:space="0" w:color="D3D3D3"/>
              <w:bottom w:val="single" w:sz="0" w:space="0" w:color="D3D3D3"/>
              <w:right w:val="single" w:sz="0" w:space="0" w:color="D3D3D3"/>
            </w:tcBorders>
          </w:tcPr>
          <w:p w14:paraId="229A7D86" w14:textId="77777777" w:rsidR="00E2099A" w:rsidRDefault="00000000">
            <w:pPr>
              <w:keepNext/>
              <w:spacing w:after="60"/>
            </w:pPr>
            <w:r>
              <w:rPr>
                <w:rFonts w:ascii="Calibri" w:hAnsi="Calibri"/>
                <w:sz w:val="20"/>
              </w:rPr>
              <w:t>BEV school bus embodied emissions from vehicle sales in thousands of mt CO2</w:t>
            </w:r>
          </w:p>
        </w:tc>
      </w:tr>
    </w:tbl>
    <w:p w14:paraId="519C6D8E" w14:textId="77777777" w:rsidR="00E2099A" w:rsidRDefault="00000000">
      <w:pPr>
        <w:pStyle w:val="Heading2"/>
      </w:pPr>
      <w:bookmarkStart w:id="136" w:name="transportation-modes"/>
      <w:bookmarkStart w:id="137" w:name="_Toc124529459"/>
      <w:bookmarkEnd w:id="134"/>
      <w:r>
        <w:t>7.4</w:t>
      </w:r>
      <w:r>
        <w:tab/>
        <w:t>Transportation modes</w:t>
      </w:r>
      <w:bookmarkEnd w:id="137"/>
    </w:p>
    <w:tbl>
      <w:tblPr>
        <w:tblW w:w="5000" w:type="pct"/>
        <w:jc w:val="center"/>
        <w:tblCellMar>
          <w:left w:w="60" w:type="dxa"/>
          <w:right w:w="60" w:type="dxa"/>
        </w:tblCellMar>
        <w:tblLook w:val="0000" w:firstRow="0" w:lastRow="0" w:firstColumn="0" w:lastColumn="0" w:noHBand="0" w:noVBand="0"/>
      </w:tblPr>
      <w:tblGrid>
        <w:gridCol w:w="754"/>
        <w:gridCol w:w="5304"/>
        <w:gridCol w:w="4022"/>
      </w:tblGrid>
      <w:tr w:rsidR="00E2099A" w14:paraId="50E15696" w14:textId="77777777">
        <w:trPr>
          <w:cantSplit/>
          <w:tblHeader/>
          <w:jc w:val="center"/>
        </w:trPr>
        <w:tc>
          <w:tcPr>
            <w:tcW w:w="0" w:type="auto"/>
            <w:tcBorders>
              <w:top w:val="single" w:sz="16" w:space="0" w:color="D3D3D3"/>
              <w:left w:val="single" w:sz="0" w:space="0" w:color="D3D3D3"/>
              <w:bottom w:val="single" w:sz="16" w:space="0" w:color="D3D3D3"/>
            </w:tcBorders>
          </w:tcPr>
          <w:p w14:paraId="7923BA0C" w14:textId="77777777" w:rsidR="00E2099A" w:rsidRDefault="00000000">
            <w:pPr>
              <w:keepNext/>
              <w:spacing w:after="60"/>
            </w:pPr>
            <w:r>
              <w:rPr>
                <w:rFonts w:ascii="Calibri" w:hAnsi="Calibri"/>
                <w:sz w:val="20"/>
              </w:rPr>
              <w:lastRenderedPageBreak/>
              <w:t>Code</w:t>
            </w:r>
          </w:p>
        </w:tc>
        <w:tc>
          <w:tcPr>
            <w:tcW w:w="0" w:type="auto"/>
            <w:tcBorders>
              <w:top w:val="single" w:sz="16" w:space="0" w:color="D3D3D3"/>
              <w:bottom w:val="single" w:sz="16" w:space="0" w:color="D3D3D3"/>
            </w:tcBorders>
          </w:tcPr>
          <w:p w14:paraId="6AA559EA" w14:textId="77777777" w:rsidR="00E2099A" w:rsidRDefault="00000000">
            <w:pPr>
              <w:keepNext/>
              <w:spacing w:after="60"/>
            </w:pPr>
            <w:r>
              <w:rPr>
                <w:rFonts w:ascii="Calibri" w:hAnsi="Calibri"/>
                <w:sz w:val="20"/>
              </w:rPr>
              <w:t>Description</w:t>
            </w:r>
          </w:p>
        </w:tc>
        <w:tc>
          <w:tcPr>
            <w:tcW w:w="0" w:type="auto"/>
            <w:tcBorders>
              <w:top w:val="single" w:sz="16" w:space="0" w:color="D3D3D3"/>
              <w:bottom w:val="single" w:sz="16" w:space="0" w:color="D3D3D3"/>
              <w:right w:val="single" w:sz="0" w:space="0" w:color="D3D3D3"/>
            </w:tcBorders>
          </w:tcPr>
          <w:p w14:paraId="64775413" w14:textId="77777777" w:rsidR="00E2099A" w:rsidRDefault="00000000">
            <w:pPr>
              <w:keepNext/>
              <w:spacing w:after="60"/>
            </w:pPr>
            <w:r>
              <w:rPr>
                <w:rFonts w:ascii="Calibri" w:hAnsi="Calibri"/>
                <w:sz w:val="20"/>
              </w:rPr>
              <w:t>Note</w:t>
            </w:r>
          </w:p>
        </w:tc>
      </w:tr>
      <w:tr w:rsidR="00E2099A" w14:paraId="4D03BD6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C391BB" w14:textId="77777777" w:rsidR="00E2099A" w:rsidRDefault="00000000">
            <w:pPr>
              <w:keepNext/>
              <w:spacing w:after="60"/>
            </w:pPr>
            <w:r>
              <w:rPr>
                <w:rFonts w:ascii="Calibri" w:hAnsi="Calibri"/>
                <w:sz w:val="20"/>
              </w:rPr>
              <w:t>BUS</w:t>
            </w:r>
          </w:p>
        </w:tc>
        <w:tc>
          <w:tcPr>
            <w:tcW w:w="0" w:type="auto"/>
            <w:tcBorders>
              <w:top w:val="single" w:sz="0" w:space="0" w:color="D3D3D3"/>
              <w:left w:val="single" w:sz="0" w:space="0" w:color="D3D3D3"/>
              <w:bottom w:val="single" w:sz="0" w:space="0" w:color="D3D3D3"/>
              <w:right w:val="single" w:sz="0" w:space="0" w:color="D3D3D3"/>
            </w:tcBorders>
          </w:tcPr>
          <w:p w14:paraId="3CBA9996" w14:textId="77777777" w:rsidR="00E2099A" w:rsidRDefault="00000000">
            <w:pPr>
              <w:keepNext/>
              <w:spacing w:after="60"/>
            </w:pPr>
            <w:r>
              <w:rPr>
                <w:rFonts w:ascii="Calibri" w:hAnsi="Calibri"/>
                <w:sz w:val="20"/>
              </w:rPr>
              <w:t>Bus</w:t>
            </w:r>
          </w:p>
        </w:tc>
        <w:tc>
          <w:tcPr>
            <w:tcW w:w="0" w:type="auto"/>
            <w:tcBorders>
              <w:top w:val="single" w:sz="0" w:space="0" w:color="D3D3D3"/>
              <w:left w:val="single" w:sz="0" w:space="0" w:color="D3D3D3"/>
              <w:bottom w:val="single" w:sz="0" w:space="0" w:color="D3D3D3"/>
              <w:right w:val="single" w:sz="0" w:space="0" w:color="D3D3D3"/>
            </w:tcBorders>
          </w:tcPr>
          <w:p w14:paraId="5DA2E3A3" w14:textId="77777777" w:rsidR="00E2099A" w:rsidRDefault="00000000">
            <w:pPr>
              <w:keepNext/>
              <w:spacing w:after="60"/>
            </w:pPr>
            <w:r>
              <w:rPr>
                <w:rFonts w:ascii="Calibri" w:hAnsi="Calibri"/>
                <w:sz w:val="20"/>
              </w:rPr>
              <w:t>bus</w:t>
            </w:r>
          </w:p>
        </w:tc>
      </w:tr>
      <w:tr w:rsidR="00E2099A" w14:paraId="5EF287C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38511EC" w14:textId="77777777" w:rsidR="00E2099A" w:rsidRDefault="00000000">
            <w:pPr>
              <w:keepNext/>
              <w:spacing w:after="60"/>
            </w:pPr>
            <w:r>
              <w:rPr>
                <w:rFonts w:ascii="Calibri" w:hAnsi="Calibri"/>
                <w:sz w:val="20"/>
              </w:rPr>
              <w:t>FRAIL</w:t>
            </w:r>
          </w:p>
        </w:tc>
        <w:tc>
          <w:tcPr>
            <w:tcW w:w="0" w:type="auto"/>
            <w:tcBorders>
              <w:top w:val="single" w:sz="0" w:space="0" w:color="D3D3D3"/>
              <w:left w:val="single" w:sz="0" w:space="0" w:color="D3D3D3"/>
              <w:bottom w:val="single" w:sz="0" w:space="0" w:color="D3D3D3"/>
              <w:right w:val="single" w:sz="0" w:space="0" w:color="D3D3D3"/>
            </w:tcBorders>
          </w:tcPr>
          <w:p w14:paraId="430D62DA" w14:textId="77777777" w:rsidR="00E2099A" w:rsidRDefault="00000000">
            <w:pPr>
              <w:keepNext/>
              <w:spacing w:after="60"/>
            </w:pPr>
            <w:r>
              <w:rPr>
                <w:rFonts w:ascii="Calibri" w:hAnsi="Calibri"/>
                <w:sz w:val="20"/>
              </w:rPr>
              <w:t>Freight rail</w:t>
            </w:r>
          </w:p>
        </w:tc>
        <w:tc>
          <w:tcPr>
            <w:tcW w:w="0" w:type="auto"/>
            <w:tcBorders>
              <w:top w:val="single" w:sz="0" w:space="0" w:color="D3D3D3"/>
              <w:left w:val="single" w:sz="0" w:space="0" w:color="D3D3D3"/>
              <w:bottom w:val="single" w:sz="0" w:space="0" w:color="D3D3D3"/>
              <w:right w:val="single" w:sz="0" w:space="0" w:color="D3D3D3"/>
            </w:tcBorders>
          </w:tcPr>
          <w:p w14:paraId="7396100C" w14:textId="77777777" w:rsidR="00E2099A" w:rsidRDefault="00000000">
            <w:pPr>
              <w:keepNext/>
              <w:spacing w:after="60"/>
            </w:pPr>
            <w:r>
              <w:rPr>
                <w:rFonts w:ascii="Calibri" w:hAnsi="Calibri"/>
                <w:sz w:val="20"/>
              </w:rPr>
              <w:t>freight_rail</w:t>
            </w:r>
          </w:p>
        </w:tc>
      </w:tr>
      <w:tr w:rsidR="00E2099A" w14:paraId="75F3A77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50D5F6" w14:textId="77777777" w:rsidR="00E2099A" w:rsidRDefault="00000000">
            <w:pPr>
              <w:keepNext/>
              <w:spacing w:after="60"/>
            </w:pPr>
            <w:r>
              <w:rPr>
                <w:rFonts w:ascii="Calibri" w:hAnsi="Calibri"/>
                <w:sz w:val="20"/>
              </w:rPr>
              <w:t>FSHIP</w:t>
            </w:r>
          </w:p>
        </w:tc>
        <w:tc>
          <w:tcPr>
            <w:tcW w:w="0" w:type="auto"/>
            <w:tcBorders>
              <w:top w:val="single" w:sz="0" w:space="0" w:color="D3D3D3"/>
              <w:left w:val="single" w:sz="0" w:space="0" w:color="D3D3D3"/>
              <w:bottom w:val="single" w:sz="0" w:space="0" w:color="D3D3D3"/>
              <w:right w:val="single" w:sz="0" w:space="0" w:color="D3D3D3"/>
            </w:tcBorders>
          </w:tcPr>
          <w:p w14:paraId="4D2CF5F7" w14:textId="77777777" w:rsidR="00E2099A" w:rsidRDefault="00000000">
            <w:pPr>
              <w:keepNext/>
              <w:spacing w:after="60"/>
            </w:pPr>
            <w:r>
              <w:rPr>
                <w:rFonts w:ascii="Calibri" w:hAnsi="Calibri"/>
                <w:sz w:val="20"/>
              </w:rPr>
              <w:t>Freight ship</w:t>
            </w:r>
          </w:p>
        </w:tc>
        <w:tc>
          <w:tcPr>
            <w:tcW w:w="0" w:type="auto"/>
            <w:tcBorders>
              <w:top w:val="single" w:sz="0" w:space="0" w:color="D3D3D3"/>
              <w:left w:val="single" w:sz="0" w:space="0" w:color="D3D3D3"/>
              <w:bottom w:val="single" w:sz="0" w:space="0" w:color="D3D3D3"/>
              <w:right w:val="single" w:sz="0" w:space="0" w:color="D3D3D3"/>
            </w:tcBorders>
          </w:tcPr>
          <w:p w14:paraId="50E4D607" w14:textId="77777777" w:rsidR="00E2099A" w:rsidRDefault="00000000">
            <w:pPr>
              <w:keepNext/>
              <w:spacing w:after="60"/>
            </w:pPr>
            <w:r>
              <w:rPr>
                <w:rFonts w:ascii="Calibri" w:hAnsi="Calibri"/>
                <w:sz w:val="20"/>
              </w:rPr>
              <w:t>Mostly barges going to port in St. Paul</w:t>
            </w:r>
          </w:p>
        </w:tc>
      </w:tr>
      <w:tr w:rsidR="00E2099A" w14:paraId="5EA9D8B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F6BEFF9" w14:textId="77777777" w:rsidR="00E2099A" w:rsidRDefault="00000000">
            <w:pPr>
              <w:keepNext/>
              <w:spacing w:after="60"/>
            </w:pPr>
            <w:r>
              <w:rPr>
                <w:rFonts w:ascii="Calibri" w:hAnsi="Calibri"/>
                <w:sz w:val="20"/>
              </w:rPr>
              <w:t>HDT</w:t>
            </w:r>
          </w:p>
        </w:tc>
        <w:tc>
          <w:tcPr>
            <w:tcW w:w="0" w:type="auto"/>
            <w:tcBorders>
              <w:top w:val="single" w:sz="0" w:space="0" w:color="D3D3D3"/>
              <w:left w:val="single" w:sz="0" w:space="0" w:color="D3D3D3"/>
              <w:bottom w:val="single" w:sz="0" w:space="0" w:color="D3D3D3"/>
              <w:right w:val="single" w:sz="0" w:space="0" w:color="D3D3D3"/>
            </w:tcBorders>
          </w:tcPr>
          <w:p w14:paraId="0AE1ED6A" w14:textId="77777777" w:rsidR="00E2099A" w:rsidRDefault="00000000">
            <w:pPr>
              <w:keepNext/>
              <w:spacing w:after="60"/>
            </w:pPr>
            <w:r>
              <w:rPr>
                <w:rFonts w:ascii="Calibri" w:hAnsi="Calibri"/>
                <w:sz w:val="20"/>
              </w:rPr>
              <w:t>Heavy duty vehicle</w:t>
            </w:r>
          </w:p>
        </w:tc>
        <w:tc>
          <w:tcPr>
            <w:tcW w:w="0" w:type="auto"/>
            <w:tcBorders>
              <w:top w:val="single" w:sz="0" w:space="0" w:color="D3D3D3"/>
              <w:left w:val="single" w:sz="0" w:space="0" w:color="D3D3D3"/>
              <w:bottom w:val="single" w:sz="0" w:space="0" w:color="D3D3D3"/>
              <w:right w:val="single" w:sz="0" w:space="0" w:color="D3D3D3"/>
            </w:tcBorders>
          </w:tcPr>
          <w:p w14:paraId="185DB9B3" w14:textId="77777777" w:rsidR="00E2099A" w:rsidRDefault="00000000">
            <w:pPr>
              <w:keepNext/>
              <w:spacing w:after="60"/>
            </w:pPr>
            <w:r>
              <w:rPr>
                <w:rFonts w:ascii="Calibri" w:hAnsi="Calibri"/>
                <w:sz w:val="20"/>
              </w:rPr>
              <w:t>heavy_duty_veh</w:t>
            </w:r>
          </w:p>
        </w:tc>
      </w:tr>
      <w:tr w:rsidR="00E2099A" w14:paraId="14FF63E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EC2319" w14:textId="77777777" w:rsidR="00E2099A" w:rsidRDefault="00000000">
            <w:pPr>
              <w:keepNext/>
              <w:spacing w:after="60"/>
            </w:pPr>
            <w:r>
              <w:rPr>
                <w:rFonts w:ascii="Calibri" w:hAnsi="Calibri"/>
                <w:sz w:val="20"/>
              </w:rPr>
              <w:t>LDV</w:t>
            </w:r>
          </w:p>
        </w:tc>
        <w:tc>
          <w:tcPr>
            <w:tcW w:w="0" w:type="auto"/>
            <w:tcBorders>
              <w:top w:val="single" w:sz="0" w:space="0" w:color="D3D3D3"/>
              <w:left w:val="single" w:sz="0" w:space="0" w:color="D3D3D3"/>
              <w:bottom w:val="single" w:sz="0" w:space="0" w:color="D3D3D3"/>
              <w:right w:val="single" w:sz="0" w:space="0" w:color="D3D3D3"/>
            </w:tcBorders>
          </w:tcPr>
          <w:p w14:paraId="620B5384" w14:textId="77777777" w:rsidR="00E2099A" w:rsidRDefault="00000000">
            <w:pPr>
              <w:keepNext/>
              <w:spacing w:after="60"/>
            </w:pPr>
            <w:r>
              <w:rPr>
                <w:rFonts w:ascii="Calibri" w:hAnsi="Calibri"/>
                <w:sz w:val="20"/>
              </w:rPr>
              <w:t>Light duty vehicle</w:t>
            </w:r>
          </w:p>
        </w:tc>
        <w:tc>
          <w:tcPr>
            <w:tcW w:w="0" w:type="auto"/>
            <w:tcBorders>
              <w:top w:val="single" w:sz="0" w:space="0" w:color="D3D3D3"/>
              <w:left w:val="single" w:sz="0" w:space="0" w:color="D3D3D3"/>
              <w:bottom w:val="single" w:sz="0" w:space="0" w:color="D3D3D3"/>
              <w:right w:val="single" w:sz="0" w:space="0" w:color="D3D3D3"/>
            </w:tcBorders>
          </w:tcPr>
          <w:p w14:paraId="678FDC32" w14:textId="77777777" w:rsidR="00E2099A" w:rsidRDefault="00000000">
            <w:pPr>
              <w:keepNext/>
              <w:spacing w:after="60"/>
            </w:pPr>
            <w:r>
              <w:rPr>
                <w:rFonts w:ascii="Calibri" w:hAnsi="Calibri"/>
                <w:sz w:val="20"/>
              </w:rPr>
              <w:t>light_duty_veh</w:t>
            </w:r>
          </w:p>
        </w:tc>
      </w:tr>
      <w:tr w:rsidR="00E2099A" w14:paraId="195D9DB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4A934F2" w14:textId="77777777" w:rsidR="00E2099A" w:rsidRDefault="00000000">
            <w:pPr>
              <w:keepNext/>
              <w:spacing w:after="60"/>
            </w:pPr>
            <w:r>
              <w:rPr>
                <w:rFonts w:ascii="Calibri" w:hAnsi="Calibri"/>
                <w:sz w:val="20"/>
              </w:rPr>
              <w:t>MDT</w:t>
            </w:r>
          </w:p>
        </w:tc>
        <w:tc>
          <w:tcPr>
            <w:tcW w:w="0" w:type="auto"/>
            <w:tcBorders>
              <w:top w:val="single" w:sz="0" w:space="0" w:color="D3D3D3"/>
              <w:left w:val="single" w:sz="0" w:space="0" w:color="D3D3D3"/>
              <w:bottom w:val="single" w:sz="0" w:space="0" w:color="D3D3D3"/>
              <w:right w:val="single" w:sz="0" w:space="0" w:color="D3D3D3"/>
            </w:tcBorders>
          </w:tcPr>
          <w:p w14:paraId="0A60E416" w14:textId="77777777" w:rsidR="00E2099A" w:rsidRDefault="00000000">
            <w:pPr>
              <w:keepNext/>
              <w:spacing w:after="60"/>
            </w:pPr>
            <w:r>
              <w:rPr>
                <w:rFonts w:ascii="Calibri" w:hAnsi="Calibri"/>
                <w:sz w:val="20"/>
              </w:rPr>
              <w:t>Medium duty vehicle</w:t>
            </w:r>
          </w:p>
        </w:tc>
        <w:tc>
          <w:tcPr>
            <w:tcW w:w="0" w:type="auto"/>
            <w:tcBorders>
              <w:top w:val="single" w:sz="0" w:space="0" w:color="D3D3D3"/>
              <w:left w:val="single" w:sz="0" w:space="0" w:color="D3D3D3"/>
              <w:bottom w:val="single" w:sz="0" w:space="0" w:color="D3D3D3"/>
              <w:right w:val="single" w:sz="0" w:space="0" w:color="D3D3D3"/>
            </w:tcBorders>
          </w:tcPr>
          <w:p w14:paraId="421ACE00" w14:textId="77777777" w:rsidR="00E2099A" w:rsidRDefault="00000000">
            <w:pPr>
              <w:keepNext/>
              <w:spacing w:after="60"/>
            </w:pPr>
            <w:r>
              <w:rPr>
                <w:rFonts w:ascii="Calibri" w:hAnsi="Calibri"/>
                <w:sz w:val="20"/>
              </w:rPr>
              <w:t>medium_duty_veh</w:t>
            </w:r>
          </w:p>
        </w:tc>
      </w:tr>
      <w:tr w:rsidR="00E2099A" w14:paraId="51E4C6E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777FC13" w14:textId="77777777" w:rsidR="00E2099A" w:rsidRDefault="00000000">
            <w:pPr>
              <w:keepNext/>
              <w:spacing w:after="60"/>
            </w:pPr>
            <w:r>
              <w:rPr>
                <w:rFonts w:ascii="Calibri" w:hAnsi="Calibri"/>
                <w:sz w:val="20"/>
              </w:rPr>
              <w:t>RAIL</w:t>
            </w:r>
          </w:p>
        </w:tc>
        <w:tc>
          <w:tcPr>
            <w:tcW w:w="0" w:type="auto"/>
            <w:tcBorders>
              <w:top w:val="single" w:sz="0" w:space="0" w:color="D3D3D3"/>
              <w:left w:val="single" w:sz="0" w:space="0" w:color="D3D3D3"/>
              <w:bottom w:val="single" w:sz="0" w:space="0" w:color="D3D3D3"/>
              <w:right w:val="single" w:sz="0" w:space="0" w:color="D3D3D3"/>
            </w:tcBorders>
          </w:tcPr>
          <w:p w14:paraId="110E3E25" w14:textId="77777777" w:rsidR="00E2099A" w:rsidRDefault="00000000">
            <w:pPr>
              <w:keepNext/>
              <w:spacing w:after="60"/>
            </w:pPr>
            <w:r>
              <w:rPr>
                <w:rFonts w:ascii="Calibri" w:hAnsi="Calibri"/>
                <w:sz w:val="20"/>
              </w:rPr>
              <w:t>Rail</w:t>
            </w:r>
          </w:p>
        </w:tc>
        <w:tc>
          <w:tcPr>
            <w:tcW w:w="0" w:type="auto"/>
            <w:tcBorders>
              <w:top w:val="single" w:sz="0" w:space="0" w:color="D3D3D3"/>
              <w:left w:val="single" w:sz="0" w:space="0" w:color="D3D3D3"/>
              <w:bottom w:val="single" w:sz="0" w:space="0" w:color="D3D3D3"/>
              <w:right w:val="single" w:sz="0" w:space="0" w:color="D3D3D3"/>
            </w:tcBorders>
          </w:tcPr>
          <w:p w14:paraId="6A72D1BA" w14:textId="77777777" w:rsidR="00E2099A" w:rsidRDefault="00000000">
            <w:pPr>
              <w:keepNext/>
              <w:spacing w:after="60"/>
            </w:pPr>
            <w:r>
              <w:rPr>
                <w:rFonts w:ascii="Calibri" w:hAnsi="Calibri"/>
                <w:sz w:val="20"/>
              </w:rPr>
              <w:t>rail</w:t>
            </w:r>
          </w:p>
        </w:tc>
      </w:tr>
      <w:tr w:rsidR="00E2099A" w14:paraId="1141879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B063B0" w14:textId="77777777" w:rsidR="00E2099A" w:rsidRDefault="00000000">
            <w:pPr>
              <w:keepNext/>
              <w:spacing w:after="60"/>
            </w:pPr>
            <w:r>
              <w:rPr>
                <w:rFonts w:ascii="Calibri" w:hAnsi="Calibri"/>
                <w:sz w:val="20"/>
              </w:rPr>
              <w:t>CUT</w:t>
            </w:r>
          </w:p>
        </w:tc>
        <w:tc>
          <w:tcPr>
            <w:tcW w:w="0" w:type="auto"/>
            <w:tcBorders>
              <w:top w:val="single" w:sz="0" w:space="0" w:color="D3D3D3"/>
              <w:left w:val="single" w:sz="0" w:space="0" w:color="D3D3D3"/>
              <w:bottom w:val="single" w:sz="0" w:space="0" w:color="D3D3D3"/>
              <w:right w:val="single" w:sz="0" w:space="0" w:color="D3D3D3"/>
            </w:tcBorders>
          </w:tcPr>
          <w:p w14:paraId="19ED3EDE" w14:textId="77777777" w:rsidR="00E2099A" w:rsidRDefault="00000000">
            <w:pPr>
              <w:keepNext/>
              <w:spacing w:after="60"/>
            </w:pPr>
            <w:r>
              <w:rPr>
                <w:rFonts w:ascii="Calibri" w:hAnsi="Calibri"/>
                <w:sz w:val="20"/>
              </w:rPr>
              <w:t>Combined unit truck</w:t>
            </w:r>
          </w:p>
        </w:tc>
        <w:tc>
          <w:tcPr>
            <w:tcW w:w="0" w:type="auto"/>
            <w:tcBorders>
              <w:top w:val="single" w:sz="0" w:space="0" w:color="D3D3D3"/>
              <w:left w:val="single" w:sz="0" w:space="0" w:color="D3D3D3"/>
              <w:bottom w:val="single" w:sz="0" w:space="0" w:color="D3D3D3"/>
              <w:right w:val="single" w:sz="0" w:space="0" w:color="D3D3D3"/>
            </w:tcBorders>
          </w:tcPr>
          <w:p w14:paraId="3D917BA7" w14:textId="77777777" w:rsidR="00E2099A" w:rsidRDefault="00000000">
            <w:pPr>
              <w:keepNext/>
              <w:spacing w:after="60"/>
            </w:pPr>
            <w:r>
              <w:rPr>
                <w:rFonts w:ascii="Calibri" w:hAnsi="Calibri"/>
                <w:sz w:val="20"/>
              </w:rPr>
              <w:t>Eqivalent to HDT</w:t>
            </w:r>
          </w:p>
        </w:tc>
      </w:tr>
      <w:tr w:rsidR="00E2099A" w14:paraId="3A3E98B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FA8D9C" w14:textId="77777777" w:rsidR="00E2099A" w:rsidRDefault="00000000">
            <w:pPr>
              <w:keepNext/>
              <w:spacing w:after="60"/>
            </w:pPr>
            <w:r>
              <w:rPr>
                <w:rFonts w:ascii="Calibri" w:hAnsi="Calibri"/>
                <w:sz w:val="20"/>
              </w:rPr>
              <w:t>SUT</w:t>
            </w:r>
          </w:p>
        </w:tc>
        <w:tc>
          <w:tcPr>
            <w:tcW w:w="0" w:type="auto"/>
            <w:tcBorders>
              <w:top w:val="single" w:sz="0" w:space="0" w:color="D3D3D3"/>
              <w:left w:val="single" w:sz="0" w:space="0" w:color="D3D3D3"/>
              <w:bottom w:val="single" w:sz="0" w:space="0" w:color="D3D3D3"/>
              <w:right w:val="single" w:sz="0" w:space="0" w:color="D3D3D3"/>
            </w:tcBorders>
          </w:tcPr>
          <w:p w14:paraId="3C175B89" w14:textId="77777777" w:rsidR="00E2099A" w:rsidRDefault="00000000">
            <w:pPr>
              <w:keepNext/>
              <w:spacing w:after="60"/>
            </w:pPr>
            <w:r>
              <w:rPr>
                <w:rFonts w:ascii="Calibri" w:hAnsi="Calibri"/>
                <w:sz w:val="20"/>
              </w:rPr>
              <w:t>Single unit truck</w:t>
            </w:r>
          </w:p>
        </w:tc>
        <w:tc>
          <w:tcPr>
            <w:tcW w:w="0" w:type="auto"/>
            <w:tcBorders>
              <w:top w:val="single" w:sz="0" w:space="0" w:color="D3D3D3"/>
              <w:left w:val="single" w:sz="0" w:space="0" w:color="D3D3D3"/>
              <w:bottom w:val="single" w:sz="0" w:space="0" w:color="D3D3D3"/>
              <w:right w:val="single" w:sz="0" w:space="0" w:color="D3D3D3"/>
            </w:tcBorders>
          </w:tcPr>
          <w:p w14:paraId="671F63A5" w14:textId="77777777" w:rsidR="00E2099A" w:rsidRDefault="00000000">
            <w:pPr>
              <w:keepNext/>
              <w:spacing w:after="60"/>
            </w:pPr>
            <w:r>
              <w:rPr>
                <w:rFonts w:ascii="Calibri" w:hAnsi="Calibri"/>
                <w:sz w:val="20"/>
              </w:rPr>
              <w:t>Equivalent to MDT</w:t>
            </w:r>
          </w:p>
        </w:tc>
      </w:tr>
      <w:tr w:rsidR="00E2099A" w14:paraId="25168E9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E759447" w14:textId="77777777" w:rsidR="00E2099A" w:rsidRDefault="00000000">
            <w:pPr>
              <w:keepNext/>
              <w:spacing w:after="60"/>
            </w:pPr>
            <w:r>
              <w:rPr>
                <w:rFonts w:ascii="Calibri" w:hAnsi="Calibri"/>
                <w:sz w:val="20"/>
              </w:rPr>
              <w:t>FR</w:t>
            </w:r>
          </w:p>
        </w:tc>
        <w:tc>
          <w:tcPr>
            <w:tcW w:w="0" w:type="auto"/>
            <w:tcBorders>
              <w:top w:val="single" w:sz="0" w:space="0" w:color="D3D3D3"/>
              <w:left w:val="single" w:sz="0" w:space="0" w:color="D3D3D3"/>
              <w:bottom w:val="single" w:sz="0" w:space="0" w:color="D3D3D3"/>
              <w:right w:val="single" w:sz="0" w:space="0" w:color="D3D3D3"/>
            </w:tcBorders>
          </w:tcPr>
          <w:p w14:paraId="4FC61B91" w14:textId="77777777" w:rsidR="00E2099A" w:rsidRDefault="00000000">
            <w:pPr>
              <w:keepNext/>
              <w:spacing w:after="60"/>
            </w:pPr>
            <w:r>
              <w:rPr>
                <w:rFonts w:ascii="Calibri" w:hAnsi="Calibri"/>
                <w:sz w:val="20"/>
              </w:rPr>
              <w:t>Freight rail</w:t>
            </w:r>
          </w:p>
        </w:tc>
        <w:tc>
          <w:tcPr>
            <w:tcW w:w="0" w:type="auto"/>
            <w:tcBorders>
              <w:top w:val="single" w:sz="0" w:space="0" w:color="D3D3D3"/>
              <w:left w:val="single" w:sz="0" w:space="0" w:color="D3D3D3"/>
              <w:bottom w:val="single" w:sz="0" w:space="0" w:color="D3D3D3"/>
              <w:right w:val="single" w:sz="0" w:space="0" w:color="D3D3D3"/>
            </w:tcBorders>
          </w:tcPr>
          <w:p w14:paraId="7E1C7738" w14:textId="77777777" w:rsidR="00E2099A" w:rsidRDefault="00000000">
            <w:pPr>
              <w:keepNext/>
              <w:spacing w:after="60"/>
            </w:pPr>
            <w:r>
              <w:rPr>
                <w:rFonts w:ascii="Calibri" w:hAnsi="Calibri"/>
                <w:sz w:val="20"/>
              </w:rPr>
              <w:t>NA</w:t>
            </w:r>
          </w:p>
        </w:tc>
      </w:tr>
      <w:tr w:rsidR="00E2099A" w14:paraId="02CC12C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69ECD5" w14:textId="77777777" w:rsidR="00E2099A" w:rsidRDefault="00000000">
            <w:pPr>
              <w:keepNext/>
              <w:spacing w:after="60"/>
            </w:pPr>
            <w:r>
              <w:rPr>
                <w:rFonts w:ascii="Calibri" w:hAnsi="Calibri"/>
                <w:sz w:val="20"/>
              </w:rPr>
              <w:t>MM</w:t>
            </w:r>
          </w:p>
        </w:tc>
        <w:tc>
          <w:tcPr>
            <w:tcW w:w="0" w:type="auto"/>
            <w:tcBorders>
              <w:top w:val="single" w:sz="0" w:space="0" w:color="D3D3D3"/>
              <w:left w:val="single" w:sz="0" w:space="0" w:color="D3D3D3"/>
              <w:bottom w:val="single" w:sz="0" w:space="0" w:color="D3D3D3"/>
              <w:right w:val="single" w:sz="0" w:space="0" w:color="D3D3D3"/>
            </w:tcBorders>
          </w:tcPr>
          <w:p w14:paraId="13AF9261" w14:textId="77777777" w:rsidR="00E2099A" w:rsidRDefault="00000000">
            <w:pPr>
              <w:keepNext/>
              <w:spacing w:after="60"/>
            </w:pPr>
            <w:r>
              <w:rPr>
                <w:rFonts w:ascii="Calibri" w:hAnsi="Calibri"/>
                <w:sz w:val="20"/>
              </w:rPr>
              <w:t>Multi-modal freight (combination of truck and rail)</w:t>
            </w:r>
          </w:p>
        </w:tc>
        <w:tc>
          <w:tcPr>
            <w:tcW w:w="0" w:type="auto"/>
            <w:tcBorders>
              <w:top w:val="single" w:sz="0" w:space="0" w:color="D3D3D3"/>
              <w:left w:val="single" w:sz="0" w:space="0" w:color="D3D3D3"/>
              <w:bottom w:val="single" w:sz="0" w:space="0" w:color="D3D3D3"/>
              <w:right w:val="single" w:sz="0" w:space="0" w:color="D3D3D3"/>
            </w:tcBorders>
          </w:tcPr>
          <w:p w14:paraId="518F5566" w14:textId="77777777" w:rsidR="00E2099A" w:rsidRDefault="00000000">
            <w:pPr>
              <w:keepNext/>
              <w:spacing w:after="60"/>
            </w:pPr>
            <w:r>
              <w:rPr>
                <w:rFonts w:ascii="Calibri" w:hAnsi="Calibri"/>
                <w:sz w:val="20"/>
              </w:rPr>
              <w:t>NA</w:t>
            </w:r>
          </w:p>
        </w:tc>
      </w:tr>
      <w:tr w:rsidR="00E2099A" w14:paraId="100E826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FA4020" w14:textId="77777777" w:rsidR="00E2099A" w:rsidRDefault="00000000">
            <w:pPr>
              <w:keepNext/>
              <w:spacing w:after="60"/>
            </w:pPr>
            <w:r>
              <w:rPr>
                <w:rFonts w:ascii="Calibri" w:hAnsi="Calibri"/>
                <w:sz w:val="20"/>
              </w:rPr>
              <w:t>AIR</w:t>
            </w:r>
          </w:p>
        </w:tc>
        <w:tc>
          <w:tcPr>
            <w:tcW w:w="0" w:type="auto"/>
            <w:tcBorders>
              <w:top w:val="single" w:sz="0" w:space="0" w:color="D3D3D3"/>
              <w:left w:val="single" w:sz="0" w:space="0" w:color="D3D3D3"/>
              <w:bottom w:val="single" w:sz="0" w:space="0" w:color="D3D3D3"/>
              <w:right w:val="single" w:sz="0" w:space="0" w:color="D3D3D3"/>
            </w:tcBorders>
          </w:tcPr>
          <w:p w14:paraId="407AFCEB" w14:textId="77777777" w:rsidR="00E2099A" w:rsidRDefault="00000000">
            <w:pPr>
              <w:keepNext/>
              <w:spacing w:after="60"/>
            </w:pPr>
            <w:r>
              <w:rPr>
                <w:rFonts w:ascii="Calibri" w:hAnsi="Calibri"/>
                <w:sz w:val="20"/>
              </w:rPr>
              <w:t>Air freight</w:t>
            </w:r>
          </w:p>
        </w:tc>
        <w:tc>
          <w:tcPr>
            <w:tcW w:w="0" w:type="auto"/>
            <w:tcBorders>
              <w:top w:val="single" w:sz="0" w:space="0" w:color="D3D3D3"/>
              <w:left w:val="single" w:sz="0" w:space="0" w:color="D3D3D3"/>
              <w:bottom w:val="single" w:sz="0" w:space="0" w:color="D3D3D3"/>
              <w:right w:val="single" w:sz="0" w:space="0" w:color="D3D3D3"/>
            </w:tcBorders>
          </w:tcPr>
          <w:p w14:paraId="4945A66D" w14:textId="77777777" w:rsidR="00E2099A" w:rsidRDefault="00000000">
            <w:pPr>
              <w:keepNext/>
              <w:spacing w:after="60"/>
            </w:pPr>
            <w:r>
              <w:rPr>
                <w:rFonts w:ascii="Calibri" w:hAnsi="Calibri"/>
                <w:sz w:val="20"/>
              </w:rPr>
              <w:t>NA</w:t>
            </w:r>
          </w:p>
        </w:tc>
      </w:tr>
      <w:tr w:rsidR="00E2099A" w14:paraId="2C184D7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7ACBAD4" w14:textId="77777777" w:rsidR="00E2099A" w:rsidRDefault="00000000">
            <w:pPr>
              <w:keepNext/>
              <w:spacing w:after="60"/>
            </w:pPr>
            <w:r>
              <w:rPr>
                <w:rFonts w:ascii="Calibri" w:hAnsi="Calibri"/>
                <w:sz w:val="20"/>
              </w:rPr>
              <w:t>WAT</w:t>
            </w:r>
          </w:p>
        </w:tc>
        <w:tc>
          <w:tcPr>
            <w:tcW w:w="0" w:type="auto"/>
            <w:tcBorders>
              <w:top w:val="single" w:sz="0" w:space="0" w:color="D3D3D3"/>
              <w:left w:val="single" w:sz="0" w:space="0" w:color="D3D3D3"/>
              <w:bottom w:val="single" w:sz="0" w:space="0" w:color="D3D3D3"/>
              <w:right w:val="single" w:sz="0" w:space="0" w:color="D3D3D3"/>
            </w:tcBorders>
          </w:tcPr>
          <w:p w14:paraId="58880698" w14:textId="77777777" w:rsidR="00E2099A" w:rsidRDefault="00000000">
            <w:pPr>
              <w:keepNext/>
              <w:spacing w:after="60"/>
            </w:pPr>
            <w:r>
              <w:rPr>
                <w:rFonts w:ascii="Calibri" w:hAnsi="Calibri"/>
                <w:sz w:val="20"/>
              </w:rPr>
              <w:t>Water freight</w:t>
            </w:r>
          </w:p>
        </w:tc>
        <w:tc>
          <w:tcPr>
            <w:tcW w:w="0" w:type="auto"/>
            <w:tcBorders>
              <w:top w:val="single" w:sz="0" w:space="0" w:color="D3D3D3"/>
              <w:left w:val="single" w:sz="0" w:space="0" w:color="D3D3D3"/>
              <w:bottom w:val="single" w:sz="0" w:space="0" w:color="D3D3D3"/>
              <w:right w:val="single" w:sz="0" w:space="0" w:color="D3D3D3"/>
            </w:tcBorders>
          </w:tcPr>
          <w:p w14:paraId="7571DC2B" w14:textId="77777777" w:rsidR="00E2099A" w:rsidRDefault="00000000">
            <w:pPr>
              <w:keepNext/>
              <w:spacing w:after="60"/>
            </w:pPr>
            <w:r>
              <w:rPr>
                <w:rFonts w:ascii="Calibri" w:hAnsi="Calibri"/>
                <w:sz w:val="20"/>
              </w:rPr>
              <w:t>Equivalent to FSHIP</w:t>
            </w:r>
          </w:p>
        </w:tc>
      </w:tr>
      <w:tr w:rsidR="00E2099A" w14:paraId="382DB6B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B619598" w14:textId="77777777" w:rsidR="00E2099A" w:rsidRDefault="00000000">
            <w:pPr>
              <w:keepNext/>
              <w:spacing w:after="60"/>
            </w:pPr>
            <w:r>
              <w:rPr>
                <w:rFonts w:ascii="Calibri" w:hAnsi="Calibri"/>
                <w:sz w:val="20"/>
              </w:rPr>
              <w:t>PLDV</w:t>
            </w:r>
          </w:p>
        </w:tc>
        <w:tc>
          <w:tcPr>
            <w:tcW w:w="0" w:type="auto"/>
            <w:tcBorders>
              <w:top w:val="single" w:sz="0" w:space="0" w:color="D3D3D3"/>
              <w:left w:val="single" w:sz="0" w:space="0" w:color="D3D3D3"/>
              <w:bottom w:val="single" w:sz="0" w:space="0" w:color="D3D3D3"/>
              <w:right w:val="single" w:sz="0" w:space="0" w:color="D3D3D3"/>
            </w:tcBorders>
          </w:tcPr>
          <w:p w14:paraId="29B4B240" w14:textId="77777777" w:rsidR="00E2099A" w:rsidRDefault="00000000">
            <w:pPr>
              <w:keepNext/>
              <w:spacing w:after="60"/>
            </w:pPr>
            <w:r>
              <w:rPr>
                <w:rFonts w:ascii="Calibri" w:hAnsi="Calibri"/>
                <w:sz w:val="20"/>
              </w:rPr>
              <w:t>Passenger light duty vehicle</w:t>
            </w:r>
          </w:p>
        </w:tc>
        <w:tc>
          <w:tcPr>
            <w:tcW w:w="0" w:type="auto"/>
            <w:tcBorders>
              <w:top w:val="single" w:sz="0" w:space="0" w:color="D3D3D3"/>
              <w:left w:val="single" w:sz="0" w:space="0" w:color="D3D3D3"/>
              <w:bottom w:val="single" w:sz="0" w:space="0" w:color="D3D3D3"/>
              <w:right w:val="single" w:sz="0" w:space="0" w:color="D3D3D3"/>
            </w:tcBorders>
          </w:tcPr>
          <w:p w14:paraId="14270669" w14:textId="77777777" w:rsidR="00E2099A" w:rsidRDefault="00000000">
            <w:pPr>
              <w:keepNext/>
              <w:spacing w:after="60"/>
            </w:pPr>
            <w:r>
              <w:rPr>
                <w:rFonts w:ascii="Calibri" w:hAnsi="Calibri"/>
                <w:sz w:val="20"/>
              </w:rPr>
              <w:t>NA</w:t>
            </w:r>
          </w:p>
        </w:tc>
      </w:tr>
      <w:tr w:rsidR="00E2099A" w14:paraId="6FD6CB1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C7A31C" w14:textId="77777777" w:rsidR="00E2099A" w:rsidRDefault="00000000">
            <w:pPr>
              <w:keepNext/>
              <w:spacing w:after="60"/>
            </w:pPr>
            <w:r>
              <w:rPr>
                <w:rFonts w:ascii="Calibri" w:hAnsi="Calibri"/>
                <w:sz w:val="20"/>
              </w:rPr>
              <w:t>BU</w:t>
            </w:r>
          </w:p>
        </w:tc>
        <w:tc>
          <w:tcPr>
            <w:tcW w:w="0" w:type="auto"/>
            <w:tcBorders>
              <w:top w:val="single" w:sz="0" w:space="0" w:color="D3D3D3"/>
              <w:left w:val="single" w:sz="0" w:space="0" w:color="D3D3D3"/>
              <w:bottom w:val="single" w:sz="0" w:space="0" w:color="D3D3D3"/>
              <w:right w:val="single" w:sz="0" w:space="0" w:color="D3D3D3"/>
            </w:tcBorders>
          </w:tcPr>
          <w:p w14:paraId="21C94317" w14:textId="77777777" w:rsidR="00E2099A" w:rsidRDefault="00000000">
            <w:pPr>
              <w:keepNext/>
              <w:spacing w:after="60"/>
            </w:pPr>
            <w:r>
              <w:rPr>
                <w:rFonts w:ascii="Calibri" w:hAnsi="Calibri"/>
                <w:sz w:val="20"/>
              </w:rPr>
              <w:t>Urban bus (standard, non-BRT bus)</w:t>
            </w:r>
          </w:p>
        </w:tc>
        <w:tc>
          <w:tcPr>
            <w:tcW w:w="0" w:type="auto"/>
            <w:tcBorders>
              <w:top w:val="single" w:sz="0" w:space="0" w:color="D3D3D3"/>
              <w:left w:val="single" w:sz="0" w:space="0" w:color="D3D3D3"/>
              <w:bottom w:val="single" w:sz="0" w:space="0" w:color="D3D3D3"/>
              <w:right w:val="single" w:sz="0" w:space="0" w:color="D3D3D3"/>
            </w:tcBorders>
          </w:tcPr>
          <w:p w14:paraId="411F7BA2" w14:textId="77777777" w:rsidR="00E2099A" w:rsidRDefault="00000000">
            <w:pPr>
              <w:keepNext/>
              <w:spacing w:after="60"/>
            </w:pPr>
            <w:r>
              <w:rPr>
                <w:rFonts w:ascii="Calibri" w:hAnsi="Calibri"/>
                <w:sz w:val="20"/>
              </w:rPr>
              <w:t>NA</w:t>
            </w:r>
          </w:p>
        </w:tc>
      </w:tr>
      <w:tr w:rsidR="00E2099A" w14:paraId="1CD72D9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E3B32DD" w14:textId="77777777" w:rsidR="00E2099A" w:rsidRDefault="00000000">
            <w:pPr>
              <w:keepNext/>
              <w:spacing w:after="60"/>
            </w:pPr>
            <w:r>
              <w:rPr>
                <w:rFonts w:ascii="Calibri" w:hAnsi="Calibri"/>
                <w:sz w:val="20"/>
              </w:rPr>
              <w:t>BRT</w:t>
            </w:r>
          </w:p>
        </w:tc>
        <w:tc>
          <w:tcPr>
            <w:tcW w:w="0" w:type="auto"/>
            <w:tcBorders>
              <w:top w:val="single" w:sz="0" w:space="0" w:color="D3D3D3"/>
              <w:left w:val="single" w:sz="0" w:space="0" w:color="D3D3D3"/>
              <w:bottom w:val="single" w:sz="0" w:space="0" w:color="D3D3D3"/>
              <w:right w:val="single" w:sz="0" w:space="0" w:color="D3D3D3"/>
            </w:tcBorders>
          </w:tcPr>
          <w:p w14:paraId="601B1097" w14:textId="77777777" w:rsidR="00E2099A" w:rsidRDefault="00000000">
            <w:pPr>
              <w:keepNext/>
              <w:spacing w:after="60"/>
            </w:pPr>
            <w:r>
              <w:rPr>
                <w:rFonts w:ascii="Calibri" w:hAnsi="Calibri"/>
                <w:sz w:val="20"/>
              </w:rPr>
              <w:t>Bus rapid transit</w:t>
            </w:r>
          </w:p>
        </w:tc>
        <w:tc>
          <w:tcPr>
            <w:tcW w:w="0" w:type="auto"/>
            <w:tcBorders>
              <w:top w:val="single" w:sz="0" w:space="0" w:color="D3D3D3"/>
              <w:left w:val="single" w:sz="0" w:space="0" w:color="D3D3D3"/>
              <w:bottom w:val="single" w:sz="0" w:space="0" w:color="D3D3D3"/>
              <w:right w:val="single" w:sz="0" w:space="0" w:color="D3D3D3"/>
            </w:tcBorders>
          </w:tcPr>
          <w:p w14:paraId="09585590" w14:textId="77777777" w:rsidR="00E2099A" w:rsidRDefault="00000000">
            <w:pPr>
              <w:keepNext/>
              <w:spacing w:after="60"/>
            </w:pPr>
            <w:r>
              <w:rPr>
                <w:rFonts w:ascii="Calibri" w:hAnsi="Calibri"/>
                <w:sz w:val="20"/>
              </w:rPr>
              <w:t>NA</w:t>
            </w:r>
          </w:p>
        </w:tc>
      </w:tr>
      <w:tr w:rsidR="00E2099A" w14:paraId="53DBB93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5FC96C8" w14:textId="77777777" w:rsidR="00E2099A" w:rsidRDefault="00000000">
            <w:pPr>
              <w:keepNext/>
              <w:spacing w:after="60"/>
            </w:pPr>
            <w:r>
              <w:rPr>
                <w:rFonts w:ascii="Calibri" w:hAnsi="Calibri"/>
                <w:sz w:val="20"/>
              </w:rPr>
              <w:t>RU</w:t>
            </w:r>
          </w:p>
        </w:tc>
        <w:tc>
          <w:tcPr>
            <w:tcW w:w="0" w:type="auto"/>
            <w:tcBorders>
              <w:top w:val="single" w:sz="0" w:space="0" w:color="D3D3D3"/>
              <w:left w:val="single" w:sz="0" w:space="0" w:color="D3D3D3"/>
              <w:bottom w:val="single" w:sz="0" w:space="0" w:color="D3D3D3"/>
              <w:right w:val="single" w:sz="0" w:space="0" w:color="D3D3D3"/>
            </w:tcBorders>
          </w:tcPr>
          <w:p w14:paraId="46312E7A" w14:textId="77777777" w:rsidR="00E2099A" w:rsidRDefault="00000000">
            <w:pPr>
              <w:keepNext/>
              <w:spacing w:after="60"/>
            </w:pPr>
            <w:r>
              <w:rPr>
                <w:rFonts w:ascii="Calibri" w:hAnsi="Calibri"/>
                <w:sz w:val="20"/>
              </w:rPr>
              <w:t>Urban rail</w:t>
            </w:r>
          </w:p>
        </w:tc>
        <w:tc>
          <w:tcPr>
            <w:tcW w:w="0" w:type="auto"/>
            <w:tcBorders>
              <w:top w:val="single" w:sz="0" w:space="0" w:color="D3D3D3"/>
              <w:left w:val="single" w:sz="0" w:space="0" w:color="D3D3D3"/>
              <w:bottom w:val="single" w:sz="0" w:space="0" w:color="D3D3D3"/>
              <w:right w:val="single" w:sz="0" w:space="0" w:color="D3D3D3"/>
            </w:tcBorders>
          </w:tcPr>
          <w:p w14:paraId="67D0E485" w14:textId="77777777" w:rsidR="00E2099A" w:rsidRDefault="00000000">
            <w:pPr>
              <w:keepNext/>
              <w:spacing w:after="60"/>
            </w:pPr>
            <w:r>
              <w:rPr>
                <w:rFonts w:ascii="Calibri" w:hAnsi="Calibri"/>
                <w:sz w:val="20"/>
              </w:rPr>
              <w:t>LRT</w:t>
            </w:r>
          </w:p>
        </w:tc>
      </w:tr>
      <w:tr w:rsidR="00E2099A" w14:paraId="57394E8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5DCA07" w14:textId="77777777" w:rsidR="00E2099A" w:rsidRDefault="00000000">
            <w:pPr>
              <w:keepNext/>
              <w:spacing w:after="60"/>
            </w:pPr>
            <w:r>
              <w:rPr>
                <w:rFonts w:ascii="Calibri" w:hAnsi="Calibri"/>
                <w:sz w:val="20"/>
              </w:rPr>
              <w:t>RI</w:t>
            </w:r>
          </w:p>
        </w:tc>
        <w:tc>
          <w:tcPr>
            <w:tcW w:w="0" w:type="auto"/>
            <w:tcBorders>
              <w:top w:val="single" w:sz="0" w:space="0" w:color="D3D3D3"/>
              <w:left w:val="single" w:sz="0" w:space="0" w:color="D3D3D3"/>
              <w:bottom w:val="single" w:sz="0" w:space="0" w:color="D3D3D3"/>
              <w:right w:val="single" w:sz="0" w:space="0" w:color="D3D3D3"/>
            </w:tcBorders>
          </w:tcPr>
          <w:p w14:paraId="3C1C2DDC" w14:textId="77777777" w:rsidR="00E2099A" w:rsidRDefault="00000000">
            <w:pPr>
              <w:keepNext/>
              <w:spacing w:after="60"/>
            </w:pPr>
            <w:r>
              <w:rPr>
                <w:rFonts w:ascii="Calibri" w:hAnsi="Calibri"/>
                <w:sz w:val="20"/>
              </w:rPr>
              <w:t>Intercity rail</w:t>
            </w:r>
          </w:p>
        </w:tc>
        <w:tc>
          <w:tcPr>
            <w:tcW w:w="0" w:type="auto"/>
            <w:tcBorders>
              <w:top w:val="single" w:sz="0" w:space="0" w:color="D3D3D3"/>
              <w:left w:val="single" w:sz="0" w:space="0" w:color="D3D3D3"/>
              <w:bottom w:val="single" w:sz="0" w:space="0" w:color="D3D3D3"/>
              <w:right w:val="single" w:sz="0" w:space="0" w:color="D3D3D3"/>
            </w:tcBorders>
          </w:tcPr>
          <w:p w14:paraId="2018170F" w14:textId="77777777" w:rsidR="00E2099A" w:rsidRDefault="00000000">
            <w:pPr>
              <w:keepNext/>
              <w:spacing w:after="60"/>
            </w:pPr>
            <w:r>
              <w:rPr>
                <w:rFonts w:ascii="Calibri" w:hAnsi="Calibri"/>
                <w:sz w:val="20"/>
              </w:rPr>
              <w:t>Northstar commuter rail</w:t>
            </w:r>
          </w:p>
        </w:tc>
      </w:tr>
      <w:tr w:rsidR="00E2099A" w14:paraId="059E032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864DBC" w14:textId="77777777" w:rsidR="00E2099A" w:rsidRDefault="00000000">
            <w:pPr>
              <w:keepNext/>
              <w:spacing w:after="60"/>
            </w:pPr>
            <w:r>
              <w:rPr>
                <w:rFonts w:ascii="Calibri" w:hAnsi="Calibri"/>
                <w:sz w:val="20"/>
              </w:rPr>
              <w:t>BS</w:t>
            </w:r>
          </w:p>
        </w:tc>
        <w:tc>
          <w:tcPr>
            <w:tcW w:w="0" w:type="auto"/>
            <w:tcBorders>
              <w:top w:val="single" w:sz="0" w:space="0" w:color="D3D3D3"/>
              <w:left w:val="single" w:sz="0" w:space="0" w:color="D3D3D3"/>
              <w:bottom w:val="single" w:sz="0" w:space="0" w:color="D3D3D3"/>
              <w:right w:val="single" w:sz="0" w:space="0" w:color="D3D3D3"/>
            </w:tcBorders>
          </w:tcPr>
          <w:p w14:paraId="57610414" w14:textId="77777777" w:rsidR="00E2099A" w:rsidRDefault="00000000">
            <w:pPr>
              <w:keepNext/>
              <w:spacing w:after="60"/>
            </w:pPr>
            <w:r>
              <w:rPr>
                <w:rFonts w:ascii="Calibri" w:hAnsi="Calibri"/>
                <w:sz w:val="20"/>
              </w:rPr>
              <w:t>School bus</w:t>
            </w:r>
          </w:p>
        </w:tc>
        <w:tc>
          <w:tcPr>
            <w:tcW w:w="0" w:type="auto"/>
            <w:tcBorders>
              <w:top w:val="single" w:sz="0" w:space="0" w:color="D3D3D3"/>
              <w:left w:val="single" w:sz="0" w:space="0" w:color="D3D3D3"/>
              <w:bottom w:val="single" w:sz="0" w:space="0" w:color="D3D3D3"/>
              <w:right w:val="single" w:sz="0" w:space="0" w:color="D3D3D3"/>
            </w:tcBorders>
          </w:tcPr>
          <w:p w14:paraId="3FE66ADA" w14:textId="77777777" w:rsidR="00E2099A" w:rsidRDefault="00000000">
            <w:pPr>
              <w:keepNext/>
              <w:spacing w:after="60"/>
            </w:pPr>
            <w:r>
              <w:rPr>
                <w:rFonts w:ascii="Calibri" w:hAnsi="Calibri"/>
                <w:sz w:val="20"/>
              </w:rPr>
              <w:t>NA</w:t>
            </w:r>
          </w:p>
        </w:tc>
      </w:tr>
      <w:tr w:rsidR="00E2099A" w14:paraId="3020ECD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EB3CAB" w14:textId="77777777" w:rsidR="00E2099A" w:rsidRDefault="00000000">
            <w:pPr>
              <w:keepNext/>
              <w:spacing w:after="60"/>
            </w:pPr>
            <w:r>
              <w:rPr>
                <w:rFonts w:ascii="Calibri" w:hAnsi="Calibri"/>
                <w:sz w:val="20"/>
              </w:rPr>
              <w:t>DRS</w:t>
            </w:r>
          </w:p>
        </w:tc>
        <w:tc>
          <w:tcPr>
            <w:tcW w:w="0" w:type="auto"/>
            <w:tcBorders>
              <w:top w:val="single" w:sz="0" w:space="0" w:color="D3D3D3"/>
              <w:left w:val="single" w:sz="0" w:space="0" w:color="D3D3D3"/>
              <w:bottom w:val="single" w:sz="0" w:space="0" w:color="D3D3D3"/>
              <w:right w:val="single" w:sz="0" w:space="0" w:color="D3D3D3"/>
            </w:tcBorders>
          </w:tcPr>
          <w:p w14:paraId="708335A0" w14:textId="77777777" w:rsidR="00E2099A" w:rsidRDefault="00000000">
            <w:pPr>
              <w:keepNext/>
              <w:spacing w:after="60"/>
            </w:pPr>
            <w:r>
              <w:rPr>
                <w:rFonts w:ascii="Calibri" w:hAnsi="Calibri"/>
                <w:sz w:val="20"/>
              </w:rPr>
              <w:t>Dynamic ride sharing</w:t>
            </w:r>
          </w:p>
        </w:tc>
        <w:tc>
          <w:tcPr>
            <w:tcW w:w="0" w:type="auto"/>
            <w:tcBorders>
              <w:top w:val="single" w:sz="0" w:space="0" w:color="D3D3D3"/>
              <w:left w:val="single" w:sz="0" w:space="0" w:color="D3D3D3"/>
              <w:bottom w:val="single" w:sz="0" w:space="0" w:color="D3D3D3"/>
              <w:right w:val="single" w:sz="0" w:space="0" w:color="D3D3D3"/>
            </w:tcBorders>
          </w:tcPr>
          <w:p w14:paraId="74AD1C3B" w14:textId="77777777" w:rsidR="00E2099A" w:rsidRDefault="00000000">
            <w:pPr>
              <w:keepNext/>
              <w:spacing w:after="60"/>
            </w:pPr>
            <w:r>
              <w:rPr>
                <w:rFonts w:ascii="Calibri" w:hAnsi="Calibri"/>
                <w:sz w:val="20"/>
              </w:rPr>
              <w:t>NA</w:t>
            </w:r>
          </w:p>
        </w:tc>
      </w:tr>
      <w:tr w:rsidR="00E2099A" w14:paraId="65F12B9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2B7D46" w14:textId="77777777" w:rsidR="00E2099A" w:rsidRDefault="00000000">
            <w:pPr>
              <w:keepNext/>
              <w:spacing w:after="60"/>
            </w:pPr>
            <w:r>
              <w:rPr>
                <w:rFonts w:ascii="Calibri" w:hAnsi="Calibri"/>
                <w:sz w:val="20"/>
              </w:rPr>
              <w:t>AT</w:t>
            </w:r>
          </w:p>
        </w:tc>
        <w:tc>
          <w:tcPr>
            <w:tcW w:w="0" w:type="auto"/>
            <w:tcBorders>
              <w:top w:val="single" w:sz="0" w:space="0" w:color="D3D3D3"/>
              <w:left w:val="single" w:sz="0" w:space="0" w:color="D3D3D3"/>
              <w:bottom w:val="single" w:sz="0" w:space="0" w:color="D3D3D3"/>
              <w:right w:val="single" w:sz="0" w:space="0" w:color="D3D3D3"/>
            </w:tcBorders>
          </w:tcPr>
          <w:p w14:paraId="7171DFF6" w14:textId="77777777" w:rsidR="00E2099A" w:rsidRDefault="00000000">
            <w:pPr>
              <w:keepNext/>
              <w:spacing w:after="60"/>
            </w:pPr>
            <w:r>
              <w:rPr>
                <w:rFonts w:ascii="Calibri" w:hAnsi="Calibri"/>
                <w:sz w:val="20"/>
              </w:rPr>
              <w:t>Active transportation (walk and bike)</w:t>
            </w:r>
          </w:p>
        </w:tc>
        <w:tc>
          <w:tcPr>
            <w:tcW w:w="0" w:type="auto"/>
            <w:tcBorders>
              <w:top w:val="single" w:sz="0" w:space="0" w:color="D3D3D3"/>
              <w:left w:val="single" w:sz="0" w:space="0" w:color="D3D3D3"/>
              <w:bottom w:val="single" w:sz="0" w:space="0" w:color="D3D3D3"/>
              <w:right w:val="single" w:sz="0" w:space="0" w:color="D3D3D3"/>
            </w:tcBorders>
          </w:tcPr>
          <w:p w14:paraId="38A9D22F" w14:textId="77777777" w:rsidR="00E2099A" w:rsidRDefault="00000000">
            <w:pPr>
              <w:keepNext/>
              <w:spacing w:after="60"/>
            </w:pPr>
            <w:r>
              <w:rPr>
                <w:rFonts w:ascii="Calibri" w:hAnsi="Calibri"/>
                <w:sz w:val="20"/>
              </w:rPr>
              <w:t>NA</w:t>
            </w:r>
          </w:p>
        </w:tc>
      </w:tr>
      <w:tr w:rsidR="00E2099A" w14:paraId="02B99D6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0231E5E" w14:textId="77777777" w:rsidR="00E2099A" w:rsidRDefault="00000000">
            <w:pPr>
              <w:keepNext/>
              <w:spacing w:after="60"/>
            </w:pPr>
            <w:r>
              <w:rPr>
                <w:rFonts w:ascii="Calibri" w:hAnsi="Calibri"/>
                <w:sz w:val="20"/>
              </w:rPr>
              <w:t>WALK</w:t>
            </w:r>
          </w:p>
        </w:tc>
        <w:tc>
          <w:tcPr>
            <w:tcW w:w="0" w:type="auto"/>
            <w:tcBorders>
              <w:top w:val="single" w:sz="0" w:space="0" w:color="D3D3D3"/>
              <w:left w:val="single" w:sz="0" w:space="0" w:color="D3D3D3"/>
              <w:bottom w:val="single" w:sz="0" w:space="0" w:color="D3D3D3"/>
              <w:right w:val="single" w:sz="0" w:space="0" w:color="D3D3D3"/>
            </w:tcBorders>
          </w:tcPr>
          <w:p w14:paraId="0E50F16A" w14:textId="77777777" w:rsidR="00E2099A" w:rsidRDefault="00000000">
            <w:pPr>
              <w:keepNext/>
              <w:spacing w:after="60"/>
            </w:pPr>
            <w:r>
              <w:rPr>
                <w:rFonts w:ascii="Calibri" w:hAnsi="Calibri"/>
                <w:sz w:val="20"/>
              </w:rPr>
              <w:t>Walk</w:t>
            </w:r>
          </w:p>
        </w:tc>
        <w:tc>
          <w:tcPr>
            <w:tcW w:w="0" w:type="auto"/>
            <w:tcBorders>
              <w:top w:val="single" w:sz="0" w:space="0" w:color="D3D3D3"/>
              <w:left w:val="single" w:sz="0" w:space="0" w:color="D3D3D3"/>
              <w:bottom w:val="single" w:sz="0" w:space="0" w:color="D3D3D3"/>
              <w:right w:val="single" w:sz="0" w:space="0" w:color="D3D3D3"/>
            </w:tcBorders>
          </w:tcPr>
          <w:p w14:paraId="524A2D53" w14:textId="77777777" w:rsidR="00E2099A" w:rsidRDefault="00000000">
            <w:pPr>
              <w:keepNext/>
              <w:spacing w:after="60"/>
            </w:pPr>
            <w:r>
              <w:rPr>
                <w:rFonts w:ascii="Calibri" w:hAnsi="Calibri"/>
                <w:sz w:val="20"/>
              </w:rPr>
              <w:t>NA</w:t>
            </w:r>
          </w:p>
        </w:tc>
      </w:tr>
      <w:tr w:rsidR="00E2099A" w14:paraId="4B89F1B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D725A6" w14:textId="77777777" w:rsidR="00E2099A" w:rsidRDefault="00000000">
            <w:pPr>
              <w:keepNext/>
              <w:spacing w:after="60"/>
            </w:pPr>
            <w:r>
              <w:rPr>
                <w:rFonts w:ascii="Calibri" w:hAnsi="Calibri"/>
                <w:sz w:val="20"/>
              </w:rPr>
              <w:t>BIKE</w:t>
            </w:r>
          </w:p>
        </w:tc>
        <w:tc>
          <w:tcPr>
            <w:tcW w:w="0" w:type="auto"/>
            <w:tcBorders>
              <w:top w:val="single" w:sz="0" w:space="0" w:color="D3D3D3"/>
              <w:left w:val="single" w:sz="0" w:space="0" w:color="D3D3D3"/>
              <w:bottom w:val="single" w:sz="0" w:space="0" w:color="D3D3D3"/>
              <w:right w:val="single" w:sz="0" w:space="0" w:color="D3D3D3"/>
            </w:tcBorders>
          </w:tcPr>
          <w:p w14:paraId="49CC0681" w14:textId="77777777" w:rsidR="00E2099A" w:rsidRDefault="00000000">
            <w:pPr>
              <w:keepNext/>
              <w:spacing w:after="60"/>
            </w:pPr>
            <w:r>
              <w:rPr>
                <w:rFonts w:ascii="Calibri" w:hAnsi="Calibri"/>
                <w:sz w:val="20"/>
              </w:rPr>
              <w:t>Bike</w:t>
            </w:r>
          </w:p>
        </w:tc>
        <w:tc>
          <w:tcPr>
            <w:tcW w:w="0" w:type="auto"/>
            <w:tcBorders>
              <w:top w:val="single" w:sz="0" w:space="0" w:color="D3D3D3"/>
              <w:left w:val="single" w:sz="0" w:space="0" w:color="D3D3D3"/>
              <w:bottom w:val="single" w:sz="0" w:space="0" w:color="D3D3D3"/>
              <w:right w:val="single" w:sz="0" w:space="0" w:color="D3D3D3"/>
            </w:tcBorders>
          </w:tcPr>
          <w:p w14:paraId="3322725C" w14:textId="77777777" w:rsidR="00E2099A" w:rsidRDefault="00000000">
            <w:pPr>
              <w:keepNext/>
              <w:spacing w:after="60"/>
            </w:pPr>
            <w:r>
              <w:rPr>
                <w:rFonts w:ascii="Calibri" w:hAnsi="Calibri"/>
                <w:sz w:val="20"/>
              </w:rPr>
              <w:t>NA</w:t>
            </w:r>
          </w:p>
        </w:tc>
      </w:tr>
      <w:tr w:rsidR="00E2099A" w14:paraId="62097F9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609C49C" w14:textId="77777777" w:rsidR="00E2099A" w:rsidRDefault="00000000">
            <w:pPr>
              <w:keepNext/>
              <w:spacing w:after="60"/>
            </w:pPr>
            <w:r>
              <w:rPr>
                <w:rFonts w:ascii="Calibri" w:hAnsi="Calibri"/>
                <w:sz w:val="20"/>
              </w:rPr>
              <w:t>AV</w:t>
            </w:r>
          </w:p>
        </w:tc>
        <w:tc>
          <w:tcPr>
            <w:tcW w:w="0" w:type="auto"/>
            <w:tcBorders>
              <w:top w:val="single" w:sz="0" w:space="0" w:color="D3D3D3"/>
              <w:left w:val="single" w:sz="0" w:space="0" w:color="D3D3D3"/>
              <w:bottom w:val="single" w:sz="0" w:space="0" w:color="D3D3D3"/>
              <w:right w:val="single" w:sz="0" w:space="0" w:color="D3D3D3"/>
            </w:tcBorders>
          </w:tcPr>
          <w:p w14:paraId="3FC835B7" w14:textId="77777777" w:rsidR="00E2099A" w:rsidRDefault="00000000">
            <w:pPr>
              <w:keepNext/>
              <w:spacing w:after="60"/>
            </w:pPr>
            <w:r>
              <w:rPr>
                <w:rFonts w:ascii="Calibri" w:hAnsi="Calibri"/>
                <w:sz w:val="20"/>
              </w:rPr>
              <w:t>Autonomous vehicle</w:t>
            </w:r>
          </w:p>
        </w:tc>
        <w:tc>
          <w:tcPr>
            <w:tcW w:w="0" w:type="auto"/>
            <w:tcBorders>
              <w:top w:val="single" w:sz="0" w:space="0" w:color="D3D3D3"/>
              <w:left w:val="single" w:sz="0" w:space="0" w:color="D3D3D3"/>
              <w:bottom w:val="single" w:sz="0" w:space="0" w:color="D3D3D3"/>
              <w:right w:val="single" w:sz="0" w:space="0" w:color="D3D3D3"/>
            </w:tcBorders>
          </w:tcPr>
          <w:p w14:paraId="7EC18B4A" w14:textId="77777777" w:rsidR="00E2099A" w:rsidRDefault="00000000">
            <w:pPr>
              <w:keepNext/>
              <w:spacing w:after="60"/>
            </w:pPr>
            <w:r>
              <w:rPr>
                <w:rFonts w:ascii="Calibri" w:hAnsi="Calibri"/>
                <w:sz w:val="20"/>
              </w:rPr>
              <w:t>autonomous_vehicle</w:t>
            </w:r>
          </w:p>
        </w:tc>
      </w:tr>
    </w:tbl>
    <w:p w14:paraId="2171428A" w14:textId="77777777" w:rsidR="00E2099A" w:rsidRDefault="00000000">
      <w:pPr>
        <w:pStyle w:val="Heading2"/>
      </w:pPr>
      <w:bookmarkStart w:id="138" w:name="future-costs-per-mile"/>
      <w:bookmarkStart w:id="139" w:name="_Toc124529460"/>
      <w:bookmarkEnd w:id="136"/>
      <w:r>
        <w:t>7.5</w:t>
      </w:r>
      <w:r>
        <w:tab/>
        <w:t>Future costs per mile</w:t>
      </w:r>
      <w:bookmarkEnd w:id="139"/>
    </w:p>
    <w:tbl>
      <w:tblPr>
        <w:tblW w:w="5000" w:type="pct"/>
        <w:jc w:val="center"/>
        <w:tblCellMar>
          <w:left w:w="60" w:type="dxa"/>
          <w:right w:w="60" w:type="dxa"/>
        </w:tblCellMar>
        <w:tblLook w:val="0000" w:firstRow="0" w:lastRow="0" w:firstColumn="0" w:lastColumn="0" w:noHBand="0" w:noVBand="0"/>
      </w:tblPr>
      <w:tblGrid>
        <w:gridCol w:w="7010"/>
        <w:gridCol w:w="3070"/>
      </w:tblGrid>
      <w:tr w:rsidR="00E2099A" w14:paraId="221A9E2A" w14:textId="77777777">
        <w:trPr>
          <w:cantSplit/>
          <w:tblHeader/>
          <w:jc w:val="center"/>
        </w:trPr>
        <w:tc>
          <w:tcPr>
            <w:tcW w:w="0" w:type="auto"/>
            <w:tcBorders>
              <w:top w:val="single" w:sz="16" w:space="0" w:color="D3D3D3"/>
              <w:left w:val="single" w:sz="0" w:space="0" w:color="D3D3D3"/>
              <w:bottom w:val="single" w:sz="16" w:space="0" w:color="D3D3D3"/>
              <w:right w:val="single" w:sz="0" w:space="0" w:color="D3D3D3"/>
            </w:tcBorders>
          </w:tcPr>
          <w:p w14:paraId="11126AD2" w14:textId="77777777" w:rsidR="00E2099A" w:rsidRDefault="00E2099A">
            <w:pPr>
              <w:keepNext/>
              <w:spacing w:after="60"/>
            </w:pPr>
          </w:p>
        </w:tc>
        <w:tc>
          <w:tcPr>
            <w:tcW w:w="0" w:type="auto"/>
            <w:tcBorders>
              <w:top w:val="single" w:sz="16" w:space="0" w:color="D3D3D3"/>
              <w:left w:val="single" w:sz="0" w:space="0" w:color="D3D3D3"/>
              <w:bottom w:val="single" w:sz="16" w:space="0" w:color="D3D3D3"/>
              <w:right w:val="single" w:sz="0" w:space="0" w:color="D3D3D3"/>
            </w:tcBorders>
          </w:tcPr>
          <w:p w14:paraId="0A98C718" w14:textId="77777777" w:rsidR="00E2099A" w:rsidRDefault="00000000">
            <w:pPr>
              <w:keepNext/>
              <w:spacing w:after="60"/>
            </w:pPr>
            <w:r>
              <w:rPr>
                <w:rFonts w:ascii="Calibri" w:hAnsi="Calibri"/>
                <w:sz w:val="20"/>
              </w:rPr>
              <w:t>Cost per mile</w:t>
            </w:r>
            <w:r>
              <w:rPr>
                <w:rFonts w:ascii="Calibri" w:hAnsi="Calibri"/>
                <w:i/>
                <w:sz w:val="20"/>
                <w:vertAlign w:val="superscript"/>
              </w:rPr>
              <w:t>1</w:t>
            </w:r>
          </w:p>
        </w:tc>
      </w:tr>
      <w:tr w:rsidR="00E2099A" w14:paraId="1637A4F7"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72327ECE" w14:textId="77777777" w:rsidR="00E2099A" w:rsidRDefault="00000000">
            <w:pPr>
              <w:keepNext/>
              <w:spacing w:after="60"/>
            </w:pPr>
            <w:r>
              <w:rPr>
                <w:rFonts w:ascii="Calibri" w:hAnsi="Calibri"/>
                <w:sz w:val="20"/>
              </w:rPr>
              <w:t>Passenger</w:t>
            </w:r>
          </w:p>
        </w:tc>
      </w:tr>
      <w:tr w:rsidR="00E2099A" w14:paraId="16B1C88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FC06295" w14:textId="77777777" w:rsidR="00E2099A" w:rsidRDefault="00000000">
            <w:pPr>
              <w:keepNext/>
              <w:spacing w:after="60"/>
            </w:pPr>
            <w:r>
              <w:rPr>
                <w:rFonts w:ascii="Calibri" w:hAnsi="Calibri"/>
                <w:sz w:val="20"/>
              </w:rPr>
              <w:t>Light duty vehicle, gasoline</w:t>
            </w:r>
          </w:p>
        </w:tc>
        <w:tc>
          <w:tcPr>
            <w:tcW w:w="0" w:type="auto"/>
            <w:tcBorders>
              <w:top w:val="single" w:sz="0" w:space="0" w:color="D3D3D3"/>
              <w:left w:val="single" w:sz="0" w:space="0" w:color="D3D3D3"/>
              <w:bottom w:val="single" w:sz="0" w:space="0" w:color="D3D3D3"/>
              <w:right w:val="single" w:sz="0" w:space="0" w:color="D3D3D3"/>
            </w:tcBorders>
          </w:tcPr>
          <w:p w14:paraId="4292D994" w14:textId="77777777" w:rsidR="00E2099A" w:rsidRDefault="00000000">
            <w:pPr>
              <w:keepNext/>
              <w:spacing w:after="60"/>
            </w:pPr>
            <w:r>
              <w:rPr>
                <w:rFonts w:ascii="Calibri" w:hAnsi="Calibri"/>
                <w:sz w:val="20"/>
              </w:rPr>
              <w:t>$0.62</w:t>
            </w:r>
          </w:p>
        </w:tc>
      </w:tr>
      <w:tr w:rsidR="00E2099A" w14:paraId="5FDCAC4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69AA4" w14:textId="77777777" w:rsidR="00E2099A" w:rsidRDefault="00000000">
            <w:pPr>
              <w:keepNext/>
              <w:spacing w:after="60"/>
            </w:pPr>
            <w:r>
              <w:rPr>
                <w:rFonts w:ascii="Calibri" w:hAnsi="Calibri"/>
                <w:sz w:val="20"/>
              </w:rPr>
              <w:t>Light duty vehicle, diesel</w:t>
            </w:r>
          </w:p>
        </w:tc>
        <w:tc>
          <w:tcPr>
            <w:tcW w:w="0" w:type="auto"/>
            <w:tcBorders>
              <w:top w:val="single" w:sz="0" w:space="0" w:color="D3D3D3"/>
              <w:left w:val="single" w:sz="0" w:space="0" w:color="D3D3D3"/>
              <w:bottom w:val="single" w:sz="0" w:space="0" w:color="D3D3D3"/>
              <w:right w:val="single" w:sz="0" w:space="0" w:color="D3D3D3"/>
            </w:tcBorders>
          </w:tcPr>
          <w:p w14:paraId="244756E1" w14:textId="77777777" w:rsidR="00E2099A" w:rsidRDefault="00000000">
            <w:pPr>
              <w:keepNext/>
              <w:spacing w:after="60"/>
            </w:pPr>
            <w:r>
              <w:rPr>
                <w:rFonts w:ascii="Calibri" w:hAnsi="Calibri"/>
                <w:sz w:val="20"/>
              </w:rPr>
              <w:t>$0.62</w:t>
            </w:r>
          </w:p>
        </w:tc>
      </w:tr>
      <w:tr w:rsidR="00E2099A" w14:paraId="2D3D59F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FCA4F5A" w14:textId="77777777" w:rsidR="00E2099A" w:rsidRDefault="00000000">
            <w:pPr>
              <w:keepNext/>
              <w:spacing w:after="60"/>
            </w:pPr>
            <w:r>
              <w:rPr>
                <w:rFonts w:ascii="Calibri" w:hAnsi="Calibri"/>
                <w:sz w:val="20"/>
              </w:rPr>
              <w:t>Light duty vehicle, hybrid</w:t>
            </w:r>
          </w:p>
        </w:tc>
        <w:tc>
          <w:tcPr>
            <w:tcW w:w="0" w:type="auto"/>
            <w:tcBorders>
              <w:top w:val="single" w:sz="0" w:space="0" w:color="D3D3D3"/>
              <w:left w:val="single" w:sz="0" w:space="0" w:color="D3D3D3"/>
              <w:bottom w:val="single" w:sz="0" w:space="0" w:color="D3D3D3"/>
              <w:right w:val="single" w:sz="0" w:space="0" w:color="D3D3D3"/>
            </w:tcBorders>
          </w:tcPr>
          <w:p w14:paraId="7F52F992" w14:textId="77777777" w:rsidR="00E2099A" w:rsidRDefault="00000000">
            <w:pPr>
              <w:keepNext/>
              <w:spacing w:after="60"/>
            </w:pPr>
            <w:r>
              <w:rPr>
                <w:rFonts w:ascii="Calibri" w:hAnsi="Calibri"/>
                <w:sz w:val="20"/>
              </w:rPr>
              <w:t>$0.55</w:t>
            </w:r>
          </w:p>
        </w:tc>
      </w:tr>
      <w:tr w:rsidR="00E2099A" w14:paraId="34086ED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5B213CE" w14:textId="77777777" w:rsidR="00E2099A" w:rsidRDefault="00000000">
            <w:pPr>
              <w:keepNext/>
              <w:spacing w:after="60"/>
            </w:pPr>
            <w:r>
              <w:rPr>
                <w:rFonts w:ascii="Calibri" w:hAnsi="Calibri"/>
                <w:sz w:val="20"/>
              </w:rPr>
              <w:t>Light duty vehicle, plug-in hybrid</w:t>
            </w:r>
          </w:p>
        </w:tc>
        <w:tc>
          <w:tcPr>
            <w:tcW w:w="0" w:type="auto"/>
            <w:tcBorders>
              <w:top w:val="single" w:sz="0" w:space="0" w:color="D3D3D3"/>
              <w:left w:val="single" w:sz="0" w:space="0" w:color="D3D3D3"/>
              <w:bottom w:val="single" w:sz="0" w:space="0" w:color="D3D3D3"/>
              <w:right w:val="single" w:sz="0" w:space="0" w:color="D3D3D3"/>
            </w:tcBorders>
          </w:tcPr>
          <w:p w14:paraId="3BAE97F5" w14:textId="77777777" w:rsidR="00E2099A" w:rsidRDefault="00000000">
            <w:pPr>
              <w:keepNext/>
              <w:spacing w:after="60"/>
            </w:pPr>
            <w:r>
              <w:rPr>
                <w:rFonts w:ascii="Calibri" w:hAnsi="Calibri"/>
                <w:sz w:val="20"/>
              </w:rPr>
              <w:t>$0.49</w:t>
            </w:r>
          </w:p>
        </w:tc>
      </w:tr>
      <w:tr w:rsidR="00E2099A" w14:paraId="758C9EE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29109F8" w14:textId="77777777" w:rsidR="00E2099A" w:rsidRDefault="00000000">
            <w:pPr>
              <w:keepNext/>
              <w:spacing w:after="60"/>
            </w:pPr>
            <w:r>
              <w:rPr>
                <w:rFonts w:ascii="Calibri" w:hAnsi="Calibri"/>
                <w:sz w:val="20"/>
              </w:rPr>
              <w:t>Light duty vehicle, battery electric</w:t>
            </w:r>
          </w:p>
        </w:tc>
        <w:tc>
          <w:tcPr>
            <w:tcW w:w="0" w:type="auto"/>
            <w:tcBorders>
              <w:top w:val="single" w:sz="0" w:space="0" w:color="D3D3D3"/>
              <w:left w:val="single" w:sz="0" w:space="0" w:color="D3D3D3"/>
              <w:bottom w:val="single" w:sz="0" w:space="0" w:color="D3D3D3"/>
              <w:right w:val="single" w:sz="0" w:space="0" w:color="D3D3D3"/>
            </w:tcBorders>
          </w:tcPr>
          <w:p w14:paraId="51383D18" w14:textId="77777777" w:rsidR="00E2099A" w:rsidRDefault="00000000">
            <w:pPr>
              <w:keepNext/>
              <w:spacing w:after="60"/>
            </w:pPr>
            <w:r>
              <w:rPr>
                <w:rFonts w:ascii="Calibri" w:hAnsi="Calibri"/>
                <w:sz w:val="20"/>
              </w:rPr>
              <w:t>$0.55</w:t>
            </w:r>
          </w:p>
        </w:tc>
      </w:tr>
      <w:tr w:rsidR="00E2099A" w14:paraId="2D24E04F"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2EB9E8CE" w14:textId="77777777" w:rsidR="00E2099A" w:rsidRDefault="00000000">
            <w:pPr>
              <w:keepNext/>
              <w:spacing w:after="60"/>
            </w:pPr>
            <w:r>
              <w:rPr>
                <w:rFonts w:ascii="Calibri" w:hAnsi="Calibri"/>
                <w:sz w:val="20"/>
              </w:rPr>
              <w:t>Transit, bus</w:t>
            </w:r>
          </w:p>
        </w:tc>
      </w:tr>
      <w:tr w:rsidR="00E2099A" w14:paraId="3A3D0F7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BDF663" w14:textId="77777777" w:rsidR="00E2099A" w:rsidRDefault="00000000">
            <w:pPr>
              <w:keepNext/>
              <w:spacing w:after="60"/>
            </w:pPr>
            <w:r>
              <w:rPr>
                <w:rFonts w:ascii="Calibri" w:hAnsi="Calibri"/>
                <w:sz w:val="20"/>
              </w:rPr>
              <w:t>Bus, diesel</w:t>
            </w:r>
          </w:p>
        </w:tc>
        <w:tc>
          <w:tcPr>
            <w:tcW w:w="0" w:type="auto"/>
            <w:tcBorders>
              <w:top w:val="single" w:sz="0" w:space="0" w:color="D3D3D3"/>
              <w:left w:val="single" w:sz="0" w:space="0" w:color="D3D3D3"/>
              <w:bottom w:val="single" w:sz="0" w:space="0" w:color="D3D3D3"/>
              <w:right w:val="single" w:sz="0" w:space="0" w:color="D3D3D3"/>
            </w:tcBorders>
          </w:tcPr>
          <w:p w14:paraId="64A21CF0" w14:textId="77777777" w:rsidR="00E2099A" w:rsidRDefault="00000000">
            <w:pPr>
              <w:keepNext/>
              <w:spacing w:after="60"/>
            </w:pPr>
            <w:r>
              <w:rPr>
                <w:rFonts w:ascii="Calibri" w:hAnsi="Calibri"/>
                <w:sz w:val="20"/>
              </w:rPr>
              <w:t>$2.91</w:t>
            </w:r>
          </w:p>
        </w:tc>
      </w:tr>
      <w:tr w:rsidR="00E2099A" w14:paraId="2B25B69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386E766" w14:textId="77777777" w:rsidR="00E2099A" w:rsidRDefault="00000000">
            <w:pPr>
              <w:keepNext/>
              <w:spacing w:after="60"/>
            </w:pPr>
            <w:r>
              <w:rPr>
                <w:rFonts w:ascii="Calibri" w:hAnsi="Calibri"/>
                <w:sz w:val="20"/>
              </w:rPr>
              <w:t>Bus, hybrid</w:t>
            </w:r>
          </w:p>
        </w:tc>
        <w:tc>
          <w:tcPr>
            <w:tcW w:w="0" w:type="auto"/>
            <w:tcBorders>
              <w:top w:val="single" w:sz="0" w:space="0" w:color="D3D3D3"/>
              <w:left w:val="single" w:sz="0" w:space="0" w:color="D3D3D3"/>
              <w:bottom w:val="single" w:sz="0" w:space="0" w:color="D3D3D3"/>
              <w:right w:val="single" w:sz="0" w:space="0" w:color="D3D3D3"/>
            </w:tcBorders>
          </w:tcPr>
          <w:p w14:paraId="79682378" w14:textId="77777777" w:rsidR="00E2099A" w:rsidRDefault="00000000">
            <w:pPr>
              <w:keepNext/>
              <w:spacing w:after="60"/>
            </w:pPr>
            <w:r>
              <w:rPr>
                <w:rFonts w:ascii="Calibri" w:hAnsi="Calibri"/>
                <w:sz w:val="20"/>
              </w:rPr>
              <w:t>$2.82</w:t>
            </w:r>
          </w:p>
        </w:tc>
      </w:tr>
      <w:tr w:rsidR="00E2099A" w14:paraId="147DE7B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0DBA755" w14:textId="77777777" w:rsidR="00E2099A" w:rsidRDefault="00000000">
            <w:pPr>
              <w:keepNext/>
              <w:spacing w:after="60"/>
            </w:pPr>
            <w:r>
              <w:rPr>
                <w:rFonts w:ascii="Calibri" w:hAnsi="Calibri"/>
                <w:sz w:val="20"/>
              </w:rPr>
              <w:t>Bus, battery electric</w:t>
            </w:r>
          </w:p>
        </w:tc>
        <w:tc>
          <w:tcPr>
            <w:tcW w:w="0" w:type="auto"/>
            <w:tcBorders>
              <w:top w:val="single" w:sz="0" w:space="0" w:color="D3D3D3"/>
              <w:left w:val="single" w:sz="0" w:space="0" w:color="D3D3D3"/>
              <w:bottom w:val="single" w:sz="0" w:space="0" w:color="D3D3D3"/>
              <w:right w:val="single" w:sz="0" w:space="0" w:color="D3D3D3"/>
            </w:tcBorders>
          </w:tcPr>
          <w:p w14:paraId="65AF6335" w14:textId="77777777" w:rsidR="00E2099A" w:rsidRDefault="00000000">
            <w:pPr>
              <w:keepNext/>
              <w:spacing w:after="60"/>
            </w:pPr>
            <w:r>
              <w:rPr>
                <w:rFonts w:ascii="Calibri" w:hAnsi="Calibri"/>
                <w:sz w:val="20"/>
              </w:rPr>
              <w:t>$2.73</w:t>
            </w:r>
          </w:p>
        </w:tc>
      </w:tr>
      <w:tr w:rsidR="00E2099A" w14:paraId="0DB20BD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2EE378" w14:textId="77777777" w:rsidR="00E2099A" w:rsidRDefault="00000000">
            <w:pPr>
              <w:keepNext/>
              <w:spacing w:after="60"/>
            </w:pPr>
            <w:r>
              <w:rPr>
                <w:rFonts w:ascii="Calibri" w:hAnsi="Calibri"/>
                <w:sz w:val="20"/>
              </w:rPr>
              <w:t>Bus rapid transit, diesel</w:t>
            </w:r>
          </w:p>
        </w:tc>
        <w:tc>
          <w:tcPr>
            <w:tcW w:w="0" w:type="auto"/>
            <w:tcBorders>
              <w:top w:val="single" w:sz="0" w:space="0" w:color="D3D3D3"/>
              <w:left w:val="single" w:sz="0" w:space="0" w:color="D3D3D3"/>
              <w:bottom w:val="single" w:sz="0" w:space="0" w:color="D3D3D3"/>
              <w:right w:val="single" w:sz="0" w:space="0" w:color="D3D3D3"/>
            </w:tcBorders>
          </w:tcPr>
          <w:p w14:paraId="4AD94ED5" w14:textId="77777777" w:rsidR="00E2099A" w:rsidRDefault="00000000">
            <w:pPr>
              <w:keepNext/>
              <w:spacing w:after="60"/>
            </w:pPr>
            <w:r>
              <w:rPr>
                <w:rFonts w:ascii="Calibri" w:hAnsi="Calibri"/>
                <w:sz w:val="20"/>
              </w:rPr>
              <w:t>$4.01</w:t>
            </w:r>
          </w:p>
        </w:tc>
      </w:tr>
      <w:tr w:rsidR="00E2099A" w14:paraId="2AF74A2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7DBF88" w14:textId="77777777" w:rsidR="00E2099A" w:rsidRDefault="00000000">
            <w:pPr>
              <w:keepNext/>
              <w:spacing w:after="60"/>
            </w:pPr>
            <w:r>
              <w:rPr>
                <w:rFonts w:ascii="Calibri" w:hAnsi="Calibri"/>
                <w:sz w:val="20"/>
              </w:rPr>
              <w:t>Bus rapid transit, hybrid</w:t>
            </w:r>
          </w:p>
        </w:tc>
        <w:tc>
          <w:tcPr>
            <w:tcW w:w="0" w:type="auto"/>
            <w:tcBorders>
              <w:top w:val="single" w:sz="0" w:space="0" w:color="D3D3D3"/>
              <w:left w:val="single" w:sz="0" w:space="0" w:color="D3D3D3"/>
              <w:bottom w:val="single" w:sz="0" w:space="0" w:color="D3D3D3"/>
              <w:right w:val="single" w:sz="0" w:space="0" w:color="D3D3D3"/>
            </w:tcBorders>
          </w:tcPr>
          <w:p w14:paraId="2D297842" w14:textId="77777777" w:rsidR="00E2099A" w:rsidRDefault="00000000">
            <w:pPr>
              <w:keepNext/>
              <w:spacing w:after="60"/>
            </w:pPr>
            <w:r>
              <w:rPr>
                <w:rFonts w:ascii="Calibri" w:hAnsi="Calibri"/>
                <w:sz w:val="20"/>
              </w:rPr>
              <w:t>$3.88</w:t>
            </w:r>
          </w:p>
        </w:tc>
      </w:tr>
      <w:tr w:rsidR="00E2099A" w14:paraId="2B404D7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BE3AFC6" w14:textId="77777777" w:rsidR="00E2099A" w:rsidRDefault="00000000">
            <w:pPr>
              <w:keepNext/>
              <w:spacing w:after="60"/>
            </w:pPr>
            <w:r>
              <w:rPr>
                <w:rFonts w:ascii="Calibri" w:hAnsi="Calibri"/>
                <w:sz w:val="20"/>
              </w:rPr>
              <w:t>Bus rapid transit, battery electric</w:t>
            </w:r>
          </w:p>
        </w:tc>
        <w:tc>
          <w:tcPr>
            <w:tcW w:w="0" w:type="auto"/>
            <w:tcBorders>
              <w:top w:val="single" w:sz="0" w:space="0" w:color="D3D3D3"/>
              <w:left w:val="single" w:sz="0" w:space="0" w:color="D3D3D3"/>
              <w:bottom w:val="single" w:sz="0" w:space="0" w:color="D3D3D3"/>
              <w:right w:val="single" w:sz="0" w:space="0" w:color="D3D3D3"/>
            </w:tcBorders>
          </w:tcPr>
          <w:p w14:paraId="18DB2C54" w14:textId="77777777" w:rsidR="00E2099A" w:rsidRDefault="00000000">
            <w:pPr>
              <w:keepNext/>
              <w:spacing w:after="60"/>
            </w:pPr>
            <w:r>
              <w:rPr>
                <w:rFonts w:ascii="Calibri" w:hAnsi="Calibri"/>
                <w:sz w:val="20"/>
              </w:rPr>
              <w:t>$3.76</w:t>
            </w:r>
          </w:p>
        </w:tc>
      </w:tr>
      <w:tr w:rsidR="00E2099A" w14:paraId="00FB6460"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5CE96603" w14:textId="77777777" w:rsidR="00E2099A" w:rsidRDefault="00000000">
            <w:pPr>
              <w:keepNext/>
              <w:spacing w:after="60"/>
            </w:pPr>
            <w:r>
              <w:rPr>
                <w:rFonts w:ascii="Calibri" w:hAnsi="Calibri"/>
                <w:sz w:val="20"/>
              </w:rPr>
              <w:t>Transit, rail</w:t>
            </w:r>
          </w:p>
        </w:tc>
      </w:tr>
      <w:tr w:rsidR="00E2099A" w14:paraId="73D9774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465DD6" w14:textId="77777777" w:rsidR="00E2099A" w:rsidRDefault="00000000">
            <w:pPr>
              <w:keepNext/>
              <w:spacing w:after="60"/>
            </w:pPr>
            <w:r>
              <w:rPr>
                <w:rFonts w:ascii="Calibri" w:hAnsi="Calibri"/>
                <w:sz w:val="20"/>
              </w:rPr>
              <w:t>Light-rail, electric</w:t>
            </w:r>
          </w:p>
        </w:tc>
        <w:tc>
          <w:tcPr>
            <w:tcW w:w="0" w:type="auto"/>
            <w:tcBorders>
              <w:top w:val="single" w:sz="0" w:space="0" w:color="D3D3D3"/>
              <w:left w:val="single" w:sz="0" w:space="0" w:color="D3D3D3"/>
              <w:bottom w:val="single" w:sz="0" w:space="0" w:color="D3D3D3"/>
              <w:right w:val="single" w:sz="0" w:space="0" w:color="D3D3D3"/>
            </w:tcBorders>
          </w:tcPr>
          <w:p w14:paraId="718AC5F7" w14:textId="77777777" w:rsidR="00E2099A" w:rsidRDefault="00000000">
            <w:pPr>
              <w:keepNext/>
              <w:spacing w:after="60"/>
            </w:pPr>
            <w:r>
              <w:rPr>
                <w:rFonts w:ascii="Calibri" w:hAnsi="Calibri"/>
                <w:sz w:val="20"/>
              </w:rPr>
              <w:t>$4.45</w:t>
            </w:r>
          </w:p>
        </w:tc>
      </w:tr>
      <w:tr w:rsidR="00E2099A" w14:paraId="5F0215C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C119C8" w14:textId="77777777" w:rsidR="00E2099A" w:rsidRDefault="00000000">
            <w:pPr>
              <w:keepNext/>
              <w:spacing w:after="60"/>
            </w:pPr>
            <w:r>
              <w:rPr>
                <w:rFonts w:ascii="Calibri" w:hAnsi="Calibri"/>
                <w:sz w:val="20"/>
              </w:rPr>
              <w:t>Passenger rail, diesel</w:t>
            </w:r>
          </w:p>
        </w:tc>
        <w:tc>
          <w:tcPr>
            <w:tcW w:w="0" w:type="auto"/>
            <w:tcBorders>
              <w:top w:val="single" w:sz="0" w:space="0" w:color="D3D3D3"/>
              <w:left w:val="single" w:sz="0" w:space="0" w:color="D3D3D3"/>
              <w:bottom w:val="single" w:sz="0" w:space="0" w:color="D3D3D3"/>
              <w:right w:val="single" w:sz="0" w:space="0" w:color="D3D3D3"/>
            </w:tcBorders>
          </w:tcPr>
          <w:p w14:paraId="230702C5" w14:textId="77777777" w:rsidR="00E2099A" w:rsidRDefault="00000000">
            <w:pPr>
              <w:keepNext/>
              <w:spacing w:after="60"/>
            </w:pPr>
            <w:r>
              <w:rPr>
                <w:rFonts w:ascii="Calibri" w:hAnsi="Calibri"/>
                <w:sz w:val="20"/>
              </w:rPr>
              <w:t>$4.43</w:t>
            </w:r>
          </w:p>
        </w:tc>
      </w:tr>
      <w:tr w:rsidR="00E2099A" w14:paraId="0779F0F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0B82A9" w14:textId="77777777" w:rsidR="00E2099A" w:rsidRDefault="00000000">
            <w:pPr>
              <w:keepNext/>
              <w:spacing w:after="60"/>
            </w:pPr>
            <w:r>
              <w:rPr>
                <w:rFonts w:ascii="Calibri" w:hAnsi="Calibri"/>
                <w:sz w:val="20"/>
              </w:rPr>
              <w:t>Passenger rail, electric</w:t>
            </w:r>
          </w:p>
        </w:tc>
        <w:tc>
          <w:tcPr>
            <w:tcW w:w="0" w:type="auto"/>
            <w:tcBorders>
              <w:top w:val="single" w:sz="0" w:space="0" w:color="D3D3D3"/>
              <w:left w:val="single" w:sz="0" w:space="0" w:color="D3D3D3"/>
              <w:bottom w:val="single" w:sz="0" w:space="0" w:color="D3D3D3"/>
              <w:right w:val="single" w:sz="0" w:space="0" w:color="D3D3D3"/>
            </w:tcBorders>
          </w:tcPr>
          <w:p w14:paraId="4AA06CC7" w14:textId="77777777" w:rsidR="00E2099A" w:rsidRDefault="00000000">
            <w:pPr>
              <w:keepNext/>
              <w:spacing w:after="60"/>
            </w:pPr>
            <w:r>
              <w:rPr>
                <w:rFonts w:ascii="Calibri" w:hAnsi="Calibri"/>
                <w:sz w:val="20"/>
              </w:rPr>
              <w:t>$4.21</w:t>
            </w:r>
          </w:p>
        </w:tc>
      </w:tr>
      <w:tr w:rsidR="00E2099A" w14:paraId="64BFB8AA"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6C1E62C3" w14:textId="77777777" w:rsidR="00E2099A" w:rsidRDefault="00000000">
            <w:pPr>
              <w:keepNext/>
              <w:spacing w:after="60"/>
            </w:pPr>
            <w:r>
              <w:rPr>
                <w:rFonts w:ascii="Calibri" w:hAnsi="Calibri"/>
                <w:sz w:val="20"/>
              </w:rPr>
              <w:t>School bus</w:t>
            </w:r>
          </w:p>
        </w:tc>
      </w:tr>
      <w:tr w:rsidR="00E2099A" w14:paraId="0636155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1C4C44" w14:textId="77777777" w:rsidR="00E2099A" w:rsidRDefault="00000000">
            <w:pPr>
              <w:keepNext/>
              <w:spacing w:after="60"/>
            </w:pPr>
            <w:r>
              <w:rPr>
                <w:rFonts w:ascii="Calibri" w:hAnsi="Calibri"/>
                <w:sz w:val="20"/>
              </w:rPr>
              <w:t>Diesel</w:t>
            </w:r>
          </w:p>
        </w:tc>
        <w:tc>
          <w:tcPr>
            <w:tcW w:w="0" w:type="auto"/>
            <w:tcBorders>
              <w:top w:val="single" w:sz="0" w:space="0" w:color="D3D3D3"/>
              <w:left w:val="single" w:sz="0" w:space="0" w:color="D3D3D3"/>
              <w:bottom w:val="single" w:sz="0" w:space="0" w:color="D3D3D3"/>
              <w:right w:val="single" w:sz="0" w:space="0" w:color="D3D3D3"/>
            </w:tcBorders>
          </w:tcPr>
          <w:p w14:paraId="1AA6A5DF" w14:textId="77777777" w:rsidR="00E2099A" w:rsidRDefault="00000000">
            <w:pPr>
              <w:keepNext/>
              <w:spacing w:after="60"/>
            </w:pPr>
            <w:r>
              <w:rPr>
                <w:rFonts w:ascii="Calibri" w:hAnsi="Calibri"/>
                <w:sz w:val="20"/>
              </w:rPr>
              <w:t>$2.43</w:t>
            </w:r>
          </w:p>
        </w:tc>
      </w:tr>
      <w:tr w:rsidR="00E2099A" w14:paraId="529CA0D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DD35FE" w14:textId="77777777" w:rsidR="00E2099A" w:rsidRDefault="00000000">
            <w:pPr>
              <w:keepNext/>
              <w:spacing w:after="60"/>
            </w:pPr>
            <w:r>
              <w:rPr>
                <w:rFonts w:ascii="Calibri" w:hAnsi="Calibri"/>
                <w:sz w:val="20"/>
              </w:rPr>
              <w:t>Battery electric</w:t>
            </w:r>
          </w:p>
        </w:tc>
        <w:tc>
          <w:tcPr>
            <w:tcW w:w="0" w:type="auto"/>
            <w:tcBorders>
              <w:top w:val="single" w:sz="0" w:space="0" w:color="D3D3D3"/>
              <w:left w:val="single" w:sz="0" w:space="0" w:color="D3D3D3"/>
              <w:bottom w:val="single" w:sz="0" w:space="0" w:color="D3D3D3"/>
              <w:right w:val="single" w:sz="0" w:space="0" w:color="D3D3D3"/>
            </w:tcBorders>
          </w:tcPr>
          <w:p w14:paraId="386D427E" w14:textId="77777777" w:rsidR="00E2099A" w:rsidRDefault="00000000">
            <w:pPr>
              <w:keepNext/>
              <w:spacing w:after="60"/>
            </w:pPr>
            <w:r>
              <w:rPr>
                <w:rFonts w:ascii="Calibri" w:hAnsi="Calibri"/>
                <w:sz w:val="20"/>
              </w:rPr>
              <w:t>$2.28</w:t>
            </w:r>
          </w:p>
        </w:tc>
      </w:tr>
      <w:tr w:rsidR="00E2099A" w14:paraId="23E67A6F" w14:textId="77777777">
        <w:trPr>
          <w:cantSplit/>
          <w:jc w:val="center"/>
        </w:trPr>
        <w:tc>
          <w:tcPr>
            <w:tcW w:w="0" w:type="auto"/>
            <w:gridSpan w:val="2"/>
            <w:tcBorders>
              <w:top w:val="single" w:sz="16" w:space="0" w:color="D3D3D3"/>
              <w:left w:val="single" w:sz="0" w:space="0" w:color="D3D3D3"/>
              <w:bottom w:val="single" w:sz="16" w:space="0" w:color="D3D3D3"/>
              <w:right w:val="single" w:sz="0" w:space="0" w:color="D3D3D3"/>
            </w:tcBorders>
            <w:tcMar>
              <w:top w:w="25" w:type="dxa"/>
            </w:tcMar>
          </w:tcPr>
          <w:p w14:paraId="5DD3DD87" w14:textId="77777777" w:rsidR="00E2099A" w:rsidRDefault="00000000">
            <w:pPr>
              <w:keepNext/>
              <w:spacing w:after="60"/>
            </w:pPr>
            <w:r>
              <w:rPr>
                <w:rFonts w:ascii="Calibri" w:hAnsi="Calibri"/>
                <w:sz w:val="20"/>
              </w:rPr>
              <w:t>Dynamic ride-sharing</w:t>
            </w:r>
          </w:p>
        </w:tc>
      </w:tr>
      <w:tr w:rsidR="00E2099A" w14:paraId="64DEFE4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BF3A780" w14:textId="77777777" w:rsidR="00E2099A" w:rsidRDefault="00000000">
            <w:pPr>
              <w:keepNext/>
              <w:spacing w:after="60"/>
            </w:pPr>
            <w:r>
              <w:rPr>
                <w:rFonts w:ascii="Calibri" w:hAnsi="Calibri"/>
                <w:sz w:val="20"/>
              </w:rPr>
              <w:t>Hybrid</w:t>
            </w:r>
          </w:p>
        </w:tc>
        <w:tc>
          <w:tcPr>
            <w:tcW w:w="0" w:type="auto"/>
            <w:tcBorders>
              <w:top w:val="single" w:sz="0" w:space="0" w:color="D3D3D3"/>
              <w:left w:val="single" w:sz="0" w:space="0" w:color="D3D3D3"/>
              <w:bottom w:val="single" w:sz="0" w:space="0" w:color="D3D3D3"/>
              <w:right w:val="single" w:sz="0" w:space="0" w:color="D3D3D3"/>
            </w:tcBorders>
          </w:tcPr>
          <w:p w14:paraId="2D6DB5AA" w14:textId="77777777" w:rsidR="00E2099A" w:rsidRDefault="00000000">
            <w:pPr>
              <w:keepNext/>
              <w:spacing w:after="60"/>
            </w:pPr>
            <w:r>
              <w:rPr>
                <w:rFonts w:ascii="Calibri" w:hAnsi="Calibri"/>
                <w:sz w:val="20"/>
              </w:rPr>
              <w:t>$0.58</w:t>
            </w:r>
          </w:p>
        </w:tc>
      </w:tr>
      <w:tr w:rsidR="00E2099A" w14:paraId="65E5CE2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9CD69CB" w14:textId="77777777" w:rsidR="00E2099A" w:rsidRDefault="00000000">
            <w:pPr>
              <w:keepNext/>
              <w:spacing w:after="60"/>
            </w:pPr>
            <w:r>
              <w:rPr>
                <w:rFonts w:ascii="Calibri" w:hAnsi="Calibri"/>
                <w:sz w:val="20"/>
              </w:rPr>
              <w:t>Plug-in hybrid</w:t>
            </w:r>
          </w:p>
        </w:tc>
        <w:tc>
          <w:tcPr>
            <w:tcW w:w="0" w:type="auto"/>
            <w:tcBorders>
              <w:top w:val="single" w:sz="0" w:space="0" w:color="D3D3D3"/>
              <w:left w:val="single" w:sz="0" w:space="0" w:color="D3D3D3"/>
              <w:bottom w:val="single" w:sz="0" w:space="0" w:color="D3D3D3"/>
              <w:right w:val="single" w:sz="0" w:space="0" w:color="D3D3D3"/>
            </w:tcBorders>
          </w:tcPr>
          <w:p w14:paraId="38606A96" w14:textId="77777777" w:rsidR="00E2099A" w:rsidRDefault="00000000">
            <w:pPr>
              <w:keepNext/>
              <w:spacing w:after="60"/>
            </w:pPr>
            <w:r>
              <w:rPr>
                <w:rFonts w:ascii="Calibri" w:hAnsi="Calibri"/>
                <w:sz w:val="20"/>
              </w:rPr>
              <w:t>$0.52</w:t>
            </w:r>
          </w:p>
        </w:tc>
      </w:tr>
      <w:tr w:rsidR="00E2099A" w14:paraId="1FADAD2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C22FAA6" w14:textId="77777777" w:rsidR="00E2099A" w:rsidRDefault="00000000">
            <w:pPr>
              <w:keepNext/>
              <w:spacing w:after="60"/>
            </w:pPr>
            <w:r>
              <w:rPr>
                <w:rFonts w:ascii="Calibri" w:hAnsi="Calibri"/>
                <w:sz w:val="20"/>
              </w:rPr>
              <w:t>Battery electric</w:t>
            </w:r>
          </w:p>
        </w:tc>
        <w:tc>
          <w:tcPr>
            <w:tcW w:w="0" w:type="auto"/>
            <w:tcBorders>
              <w:top w:val="single" w:sz="0" w:space="0" w:color="D3D3D3"/>
              <w:left w:val="single" w:sz="0" w:space="0" w:color="D3D3D3"/>
              <w:bottom w:val="single" w:sz="0" w:space="0" w:color="D3D3D3"/>
              <w:right w:val="single" w:sz="0" w:space="0" w:color="D3D3D3"/>
            </w:tcBorders>
          </w:tcPr>
          <w:p w14:paraId="24F68088" w14:textId="77777777" w:rsidR="00E2099A" w:rsidRDefault="00000000">
            <w:pPr>
              <w:keepNext/>
              <w:spacing w:after="60"/>
            </w:pPr>
            <w:r>
              <w:rPr>
                <w:rFonts w:ascii="Calibri" w:hAnsi="Calibri"/>
                <w:sz w:val="20"/>
              </w:rPr>
              <w:t>$0.59</w:t>
            </w:r>
          </w:p>
        </w:tc>
      </w:tr>
      <w:tr w:rsidR="00E2099A" w14:paraId="6BC550E4" w14:textId="77777777">
        <w:trPr>
          <w:cantSplit/>
          <w:jc w:val="center"/>
        </w:trPr>
        <w:tc>
          <w:tcPr>
            <w:tcW w:w="0" w:type="auto"/>
            <w:gridSpan w:val="2"/>
          </w:tcPr>
          <w:p w14:paraId="64D8C9DF" w14:textId="77777777" w:rsidR="00E2099A" w:rsidRDefault="00000000">
            <w:pPr>
              <w:keepNext/>
              <w:spacing w:after="60"/>
            </w:pPr>
            <w:r>
              <w:rPr>
                <w:rFonts w:ascii="Calibri" w:hAnsi="Calibri"/>
                <w:i/>
                <w:sz w:val="20"/>
                <w:vertAlign w:val="superscript"/>
              </w:rPr>
              <w:t>1</w:t>
            </w:r>
            <w:r>
              <w:rPr>
                <w:rFonts w:ascii="Calibri" w:hAnsi="Calibri"/>
                <w:sz w:val="20"/>
              </w:rPr>
              <w:t>2020 dollars</w:t>
            </w:r>
          </w:p>
        </w:tc>
      </w:tr>
    </w:tbl>
    <w:p w14:paraId="0BBD35B7" w14:textId="77777777" w:rsidR="00E2099A" w:rsidRDefault="00000000">
      <w:pPr>
        <w:pStyle w:val="Heading1"/>
      </w:pPr>
      <w:bookmarkStart w:id="140" w:name="references"/>
      <w:bookmarkStart w:id="141" w:name="_Toc124529461"/>
      <w:bookmarkEnd w:id="113"/>
      <w:bookmarkEnd w:id="138"/>
      <w:r>
        <w:t>8</w:t>
      </w:r>
      <w:r>
        <w:tab/>
        <w:t>References</w:t>
      </w:r>
      <w:bookmarkEnd w:id="141"/>
    </w:p>
    <w:p w14:paraId="74C25CC2" w14:textId="77777777" w:rsidR="00E2099A" w:rsidRDefault="00000000">
      <w:bookmarkStart w:id="142" w:name="ref-eiaAnnualEnergyOutlook2021"/>
      <w:bookmarkStart w:id="143" w:name="refs"/>
      <w:r>
        <w:t xml:space="preserve">“Annual Energy Outlook.” 2021. Government. Washington DC: US Energy Information Administration. </w:t>
      </w:r>
      <w:hyperlink r:id="rId51">
        <w:r>
          <w:rPr>
            <w:rStyle w:val="Hyperlink"/>
          </w:rPr>
          <w:t>https://doi.org/10.1128/AAC.03728-14</w:t>
        </w:r>
      </w:hyperlink>
      <w:r>
        <w:t>.</w:t>
      </w:r>
    </w:p>
    <w:p w14:paraId="5F6D6FEB" w14:textId="77777777" w:rsidR="00E2099A" w:rsidRDefault="00000000">
      <w:bookmarkStart w:id="144" w:name="ref-brookerFASTSimModelEstimate2015"/>
      <w:bookmarkEnd w:id="142"/>
      <w:r>
        <w:t xml:space="preserve">Brooker, Aaron, Jeffrey Gonder, Lijuan Wang, Eric Wood, Sean Lopp, and Laurie Ramroth. 2015. “FASTSim: A Model to Estimate Vehicle Efficiency, Cost and Performance.” SAE Technical Paper 2015-01-0973. Warrendale, PA: SAE International. </w:t>
      </w:r>
      <w:hyperlink r:id="rId52">
        <w:r>
          <w:rPr>
            <w:rStyle w:val="Hyperlink"/>
          </w:rPr>
          <w:t>https://doi.org/10.4271/2015-01-0973</w:t>
        </w:r>
      </w:hyperlink>
      <w:r>
        <w:t>.</w:t>
      </w:r>
    </w:p>
    <w:p w14:paraId="046B6484" w14:textId="77777777" w:rsidR="00E2099A" w:rsidRDefault="00000000">
      <w:bookmarkStart w:id="145" w:name="ref-Chester_Horvath_2009"/>
      <w:bookmarkEnd w:id="144"/>
      <w:r>
        <w:t xml:space="preserve">Chester, Mikhail V., and Arpad Horvath. 2009. </w:t>
      </w:r>
      <w:r>
        <w:rPr>
          <w:i/>
          <w:iCs/>
        </w:rPr>
        <w:t>Life-Cycle Energy and Emissions Inventories for Motorcycles, Diesel Automobiles, School Buses, Electric Buses, Chicago Rail, and New York City Rail</w:t>
      </w:r>
      <w:r>
        <w:t xml:space="preserve">. </w:t>
      </w:r>
      <w:hyperlink r:id="rId53">
        <w:r>
          <w:rPr>
            <w:rStyle w:val="Hyperlink"/>
          </w:rPr>
          <w:t>https://doi.org/10.11436/mssj.15.250</w:t>
        </w:r>
      </w:hyperlink>
      <w:r>
        <w:t>.</w:t>
      </w:r>
    </w:p>
    <w:p w14:paraId="26FBBCC6" w14:textId="77777777" w:rsidR="00E2099A" w:rsidRDefault="00000000">
      <w:bookmarkStart w:id="146" w:name="Xd47a04a2bf6982281dfd8d7e3bb5a318cbca06c"/>
      <w:bookmarkEnd w:id="145"/>
      <w:r>
        <w:t xml:space="preserve">Federal Highway Administration (FHWA). 2018. “Average Vehicle Occupancy Factors for Computing Travel Time Reliability Measures and Total Peak Hour Excessive Delay Metrics.” Government. Washington DC. </w:t>
      </w:r>
      <w:hyperlink r:id="rId54">
        <w:r>
          <w:rPr>
            <w:rStyle w:val="Hyperlink"/>
          </w:rPr>
          <w:t>https://www.fhwa.dot.gov/tpm/guidance/avo_factors.pdf</w:t>
        </w:r>
      </w:hyperlink>
      <w:r>
        <w:t>.</w:t>
      </w:r>
    </w:p>
    <w:p w14:paraId="2285C0D6" w14:textId="77777777" w:rsidR="00E2099A" w:rsidRDefault="00000000">
      <w:bookmarkStart w:id="147" w:name="ref-huangHowWillSelfdriving2020"/>
      <w:bookmarkEnd w:id="146"/>
      <w:r>
        <w:t xml:space="preserve">Huang, Yantao, Kara M. Kockelman, and Neil Quarles. 2020. “How Will Self-Driving Vehicles Affect U.S. Megaregion Traffic? The Case of the Texas Triangle.” </w:t>
      </w:r>
      <w:r>
        <w:rPr>
          <w:i/>
          <w:iCs/>
        </w:rPr>
        <w:t>Research in Transportation Economics</w:t>
      </w:r>
      <w:r>
        <w:t xml:space="preserve"> 84: 1–18. </w:t>
      </w:r>
      <w:hyperlink r:id="rId55">
        <w:r>
          <w:rPr>
            <w:rStyle w:val="Hyperlink"/>
          </w:rPr>
          <w:t>https://doi.org/10.1016/j.retrec.2020.101003</w:t>
        </w:r>
      </w:hyperlink>
      <w:r>
        <w:t>.</w:t>
      </w:r>
    </w:p>
    <w:p w14:paraId="0043A178" w14:textId="77777777" w:rsidR="00E2099A" w:rsidRDefault="00000000">
      <w:bookmarkStart w:id="148" w:name="ref-khaniStudyBusRapid2018"/>
      <w:bookmarkEnd w:id="147"/>
      <w:r>
        <w:lastRenderedPageBreak/>
        <w:t xml:space="preserve">Khani, Alireza, Jason Cao, Benjamin Tomhave, Yufeng Zhang, John Hourdos, Peter Dirks, Jack Olsson, Tao Tao, and Xinyi Wu. 2018. “After Study of the Bus Rapid Transit ’A Line’ Impacts.” Government 2018001. Transitway Impacts Research Program. Center for Transportation Studies: University of Minnesota. </w:t>
      </w:r>
      <w:hyperlink r:id="rId56">
        <w:r>
          <w:rPr>
            <w:rStyle w:val="Hyperlink"/>
          </w:rPr>
          <w:t>http://cts-d8resmod-prd.oit.umn.edu:8080/pdf/cts-18-24-mndot-2018-35.pdf</w:t>
        </w:r>
      </w:hyperlink>
      <w:r>
        <w:t>.</w:t>
      </w:r>
    </w:p>
    <w:p w14:paraId="3D963643" w14:textId="77777777" w:rsidR="00E2099A" w:rsidRDefault="00000000">
      <w:bookmarkStart w:id="149" w:name="ref-lehnerPriceElasticityParking2019"/>
      <w:bookmarkEnd w:id="148"/>
      <w:r>
        <w:t xml:space="preserve">Lehner, Stephan, and Stefanie Peer. 2019. “The Price Elasticity of Parking: A Meta-Analysis.” </w:t>
      </w:r>
      <w:r>
        <w:rPr>
          <w:i/>
          <w:iCs/>
        </w:rPr>
        <w:t>Transportation Research Part A: Policy and Practice</w:t>
      </w:r>
      <w:r>
        <w:t xml:space="preserve"> 121 (March): 177–91. </w:t>
      </w:r>
      <w:hyperlink r:id="rId57">
        <w:r>
          <w:rPr>
            <w:rStyle w:val="Hyperlink"/>
          </w:rPr>
          <w:t>https://doi.org/10.1016/j.tra.2019.01.014</w:t>
        </w:r>
      </w:hyperlink>
      <w:r>
        <w:t>.</w:t>
      </w:r>
    </w:p>
    <w:p w14:paraId="46AC6EA0" w14:textId="77777777" w:rsidR="00E2099A" w:rsidRDefault="00000000">
      <w:bookmarkStart w:id="150" w:name="ref-linMA3TModel2013"/>
      <w:bookmarkEnd w:id="149"/>
      <w:r>
        <w:t xml:space="preserve">Lin, Zhenhong, and Davaid Greene. 2013. </w:t>
      </w:r>
      <w:r>
        <w:rPr>
          <w:i/>
          <w:iCs/>
        </w:rPr>
        <w:t>MA3T Model</w:t>
      </w:r>
      <w:r>
        <w:t>.</w:t>
      </w:r>
    </w:p>
    <w:p w14:paraId="601CC085" w14:textId="77777777" w:rsidR="00E2099A" w:rsidRDefault="00000000">
      <w:bookmarkStart w:id="151" w:name="Xca29d0c241b3153ef21734036b90a9f22e87098"/>
      <w:bookmarkEnd w:id="150"/>
      <w:r>
        <w:t xml:space="preserve">Litman, Todd. 2021. “Understanding Transport Demands and Elasticities: How Prices and Other Factors Affect Travel Behavior.” Victoria, BC: Victoria Transport Policy Institute. </w:t>
      </w:r>
      <w:hyperlink r:id="rId58">
        <w:r>
          <w:rPr>
            <w:rStyle w:val="Hyperlink"/>
          </w:rPr>
          <w:t>http://www.vtpi.org/elasticities.pdf</w:t>
        </w:r>
      </w:hyperlink>
      <w:r>
        <w:t>.</w:t>
      </w:r>
    </w:p>
    <w:p w14:paraId="4A12AAB2" w14:textId="77777777" w:rsidR="00E2099A" w:rsidRDefault="00000000">
      <w:bookmarkStart w:id="152" w:name="ref-lovedayTopPlugInHybrid2019"/>
      <w:bookmarkEnd w:id="151"/>
      <w:r>
        <w:t xml:space="preserve">Loveday, Steven. 2019. “Top 8 Plug-In Hybrid Vehicles With The Longest Electric Range.” </w:t>
      </w:r>
      <w:r>
        <w:rPr>
          <w:i/>
          <w:iCs/>
        </w:rPr>
        <w:t>Inside EVs</w:t>
      </w:r>
      <w:r>
        <w:t xml:space="preserve">. </w:t>
      </w:r>
      <w:hyperlink r:id="rId59">
        <w:r>
          <w:rPr>
            <w:rStyle w:val="Hyperlink"/>
          </w:rPr>
          <w:t>https://insideevs.com/features/377286/top-phevs-longest-electric-range/</w:t>
        </w:r>
      </w:hyperlink>
      <w:r>
        <w:t>.</w:t>
      </w:r>
    </w:p>
    <w:p w14:paraId="492B5C95" w14:textId="77777777" w:rsidR="00E2099A" w:rsidRDefault="00000000">
      <w:bookmarkStart w:id="153" w:name="X52aee35de2dcfc22e255b807d81f0835b505a3b"/>
      <w:bookmarkEnd w:id="152"/>
      <w:r>
        <w:t xml:space="preserve">Millard-Ball, Adam. 2019. “The Autonomous Vehicle Parking Problem.” </w:t>
      </w:r>
      <w:r>
        <w:rPr>
          <w:i/>
          <w:iCs/>
        </w:rPr>
        <w:t>Transport Policy</w:t>
      </w:r>
      <w:r>
        <w:t xml:space="preserve"> 75 (March): 99–108. </w:t>
      </w:r>
      <w:hyperlink r:id="rId60">
        <w:r>
          <w:rPr>
            <w:rStyle w:val="Hyperlink"/>
          </w:rPr>
          <w:t>https://doi.org/10.1016/j.tranpol.2019.01.003</w:t>
        </w:r>
      </w:hyperlink>
      <w:r>
        <w:t>.</w:t>
      </w:r>
    </w:p>
    <w:p w14:paraId="1F8BABE1" w14:textId="77777777" w:rsidR="00E2099A" w:rsidRDefault="00000000">
      <w:bookmarkStart w:id="154" w:name="ref-Milnar_Ramaswami_2020"/>
      <w:bookmarkEnd w:id="153"/>
      <w:r>
        <w:t xml:space="preserve">Milnar, Michael, and Anu Ramaswami. 2020. “Impact of Urban Expansion and in Situ Greenery on Community-Wide Carbon Emissions: Method Development and Insights from 11 US Cities.” </w:t>
      </w:r>
      <w:r>
        <w:rPr>
          <w:i/>
          <w:iCs/>
        </w:rPr>
        <w:t>Environmental Science &amp; Technology</w:t>
      </w:r>
      <w:r>
        <w:t xml:space="preserve"> 54 (24): 16086–96. </w:t>
      </w:r>
      <w:hyperlink r:id="rId61">
        <w:r>
          <w:rPr>
            <w:rStyle w:val="Hyperlink"/>
          </w:rPr>
          <w:t>https://doi.org/10.1021/acs.est.0c02723</w:t>
        </w:r>
      </w:hyperlink>
      <w:r>
        <w:t>.</w:t>
      </w:r>
    </w:p>
    <w:p w14:paraId="4C4D91DB" w14:textId="77777777" w:rsidR="00E2099A" w:rsidRDefault="00000000">
      <w:bookmarkStart w:id="155" w:name="ref-odeaElectricVsDiesel2018"/>
      <w:bookmarkEnd w:id="154"/>
      <w:r>
        <w:t xml:space="preserve">O’Dea, Jimmy. 2018. “Electric Vs. Diesel Vs. Natural Gas: Which Bus Is Best for the Climate?” The Equation. July 19, 2018. </w:t>
      </w:r>
      <w:hyperlink r:id="rId62" w:anchor=":~:text=Battery electric buses range from,is getting cleaner every year.">
        <w:r>
          <w:rPr>
            <w:rStyle w:val="Hyperlink"/>
          </w:rPr>
          <w:t>https://blog.ucsusa.org/jimmy-odea/electric-vs-diesel-vs-natural-gas-which-bus-is-best-for-the-climate#:~:text=Battery electric buses range from,is getting cleaner every year.</w:t>
        </w:r>
      </w:hyperlink>
    </w:p>
    <w:p w14:paraId="56E16476" w14:textId="77777777" w:rsidR="00E2099A" w:rsidRDefault="00000000">
      <w:bookmarkStart w:id="156" w:name="ref-plotzRealworldUsagePlugin2020"/>
      <w:bookmarkEnd w:id="155"/>
      <w:r>
        <w:t xml:space="preserve">Plötz, Patrick, Cornelius Moll, Yaoming Li, Georg Bieker, and Peter Mock. 2020. “Real-World Usage of Plug-in Hybrid Electric Vehicles: Fuel Consumption, Electric Driving, and CO2 Emissions.” The International Council on Clean Transportation. </w:t>
      </w:r>
      <w:hyperlink r:id="rId63">
        <w:r>
          <w:rPr>
            <w:rStyle w:val="Hyperlink"/>
          </w:rPr>
          <w:t>https://theicct.org/sites/default/files/publications/PHEV-white%20paper-sept2020-0.pdf</w:t>
        </w:r>
      </w:hyperlink>
      <w:r>
        <w:t>.</w:t>
      </w:r>
    </w:p>
    <w:p w14:paraId="1FD7DDE8" w14:textId="77777777" w:rsidR="00E2099A" w:rsidRDefault="00000000">
      <w:bookmarkStart w:id="157" w:name="ref-porterCarbonFreeBoston2019"/>
      <w:bookmarkEnd w:id="156"/>
      <w:r>
        <w:t xml:space="preserve">Porter, Christopher, Xiao Yun (Jane) Chang, Cutler J Cleveland, Peter Fox-Penner, Michael J Walsh, Margaret Cherne-hendrick, Taylor Perez, Janet Atkins, Christopher Cook, and et al. 2019. “Transportation Technical Report 2019.” Carbon Free Boston. Boston, MA, USA: Boston University Institute for Sustainable Energy. </w:t>
      </w:r>
      <w:hyperlink r:id="rId64">
        <w:r>
          <w:rPr>
            <w:rStyle w:val="Hyperlink"/>
          </w:rPr>
          <w:t>https://sites.bu.edu/cfb/carbon-free-boston-report-released/technical-reports/</w:t>
        </w:r>
      </w:hyperlink>
      <w:r>
        <w:t>.</w:t>
      </w:r>
    </w:p>
    <w:p w14:paraId="3768DB5B" w14:textId="77777777" w:rsidR="00E2099A" w:rsidRDefault="00000000">
      <w:bookmarkStart w:id="158" w:name="ref-ramaswamiReviewIntegratedUrban2020"/>
      <w:bookmarkEnd w:id="157"/>
      <w:r>
        <w:t xml:space="preserve">Ramaswami, Anu, Andrew Fang, and Samuel Tabory. 2020. “A Review of Integrated Urban Planning Tools for Greenhouse Gas Mitigation.” Washington DC: Global Platform for Sustainable Cities. </w:t>
      </w:r>
      <w:hyperlink r:id="rId65">
        <w:r>
          <w:rPr>
            <w:rStyle w:val="Hyperlink"/>
          </w:rPr>
          <w:t>https://doi.org/10.1596/33784</w:t>
        </w:r>
      </w:hyperlink>
      <w:r>
        <w:t>.</w:t>
      </w:r>
    </w:p>
    <w:p w14:paraId="4CB4163D" w14:textId="77777777" w:rsidR="00E2099A" w:rsidRDefault="00000000">
      <w:bookmarkStart w:id="159" w:name="X70a2c0fb42104b6a4a9969ba1470c6a9382ef2d"/>
      <w:bookmarkEnd w:id="158"/>
      <w:r>
        <w:t xml:space="preserve">Santasieri, Colette. 2014. </w:t>
      </w:r>
      <w:r>
        <w:rPr>
          <w:i/>
          <w:iCs/>
        </w:rPr>
        <w:t>Planning for Transit-Supportive Development: A Practitioner’s Guide Section 5: Local Planning and Transit-Supportive Development</w:t>
      </w:r>
      <w:r>
        <w:t>.</w:t>
      </w:r>
    </w:p>
    <w:p w14:paraId="33C5F661" w14:textId="77777777" w:rsidR="00E2099A" w:rsidRDefault="00000000">
      <w:bookmarkStart w:id="160" w:name="ref-shoupCruisingParking2006"/>
      <w:bookmarkEnd w:id="159"/>
      <w:r>
        <w:t xml:space="preserve">Shoup, Donald C. 2006. “Cruising for Parking.” </w:t>
      </w:r>
      <w:r>
        <w:rPr>
          <w:i/>
          <w:iCs/>
        </w:rPr>
        <w:t>Transport Policy</w:t>
      </w:r>
      <w:r>
        <w:t xml:space="preserve"> 13 (6): 479–86. </w:t>
      </w:r>
      <w:hyperlink r:id="rId66">
        <w:r>
          <w:rPr>
            <w:rStyle w:val="Hyperlink"/>
          </w:rPr>
          <w:t>https://doi.org/10.1016/j.tranpol.2006.05.005</w:t>
        </w:r>
      </w:hyperlink>
      <w:r>
        <w:t>.</w:t>
      </w:r>
    </w:p>
    <w:p w14:paraId="4C89C75F" w14:textId="77777777" w:rsidR="00E2099A" w:rsidRDefault="00000000">
      <w:bookmarkStart w:id="161" w:name="ref-swillingWeightCitiesResource2018"/>
      <w:bookmarkEnd w:id="160"/>
      <w:r>
        <w:t xml:space="preserve">Swilling, Mark, Maarten Hajer, Joe Bergesen, Françoise Labbé, Josephine Kaviti Musango, Anu Ramaswami, Blake Robinson, Serge Salat, and Sangwon Suh. 2018. “The Weight of Cities: Resource Requirements of Future Urbanization.” Nairobi, Kenya: International Resource Panel (IRP). </w:t>
      </w:r>
      <w:hyperlink r:id="rId67">
        <w:r>
          <w:rPr>
            <w:rStyle w:val="Hyperlink"/>
          </w:rPr>
          <w:t>https://www.resourcepanel.org/reports/weight-cities</w:t>
        </w:r>
      </w:hyperlink>
      <w:r>
        <w:t>.</w:t>
      </w:r>
    </w:p>
    <w:p w14:paraId="5CB26313" w14:textId="77777777" w:rsidR="00E2099A" w:rsidRDefault="00000000">
      <w:bookmarkStart w:id="162" w:name="X66c5ee4a27a7bb646c1587ccc1da305efbeac31"/>
      <w:bookmarkEnd w:id="161"/>
      <w:r>
        <w:t xml:space="preserve">Taiebat, Morteza, Samuel Stolper, and Ming Xu. 2019. “Forecasting the Impact of Connected and Automated Vehicles on Energy Use A Microeconomic Study of Induced Travel and Energy Rebound.” </w:t>
      </w:r>
      <w:r>
        <w:rPr>
          <w:i/>
          <w:iCs/>
        </w:rPr>
        <w:t>Applied Energy</w:t>
      </w:r>
      <w:r>
        <w:t xml:space="preserve"> 247 (August): 297–308. </w:t>
      </w:r>
      <w:hyperlink r:id="rId68">
        <w:r>
          <w:rPr>
            <w:rStyle w:val="Hyperlink"/>
          </w:rPr>
          <w:t>https://doi.org/10.1016/j.apenergy.2019.03.174</w:t>
        </w:r>
      </w:hyperlink>
      <w:r>
        <w:t>.</w:t>
      </w:r>
    </w:p>
    <w:p w14:paraId="428FA865" w14:textId="77777777" w:rsidR="00E2099A" w:rsidRDefault="00000000">
      <w:bookmarkStart w:id="163" w:name="Xaa1c59d2eaef7c84a81650c0f1569d53cf66825"/>
      <w:bookmarkEnd w:id="162"/>
      <w:r>
        <w:t xml:space="preserve">The World Resources Institute. 2012. “WRI Annual Report 2011-2012.” Washington DC: World Resources Institute. </w:t>
      </w:r>
      <w:hyperlink r:id="rId69">
        <w:r>
          <w:rPr>
            <w:rStyle w:val="Hyperlink"/>
          </w:rPr>
          <w:t>https://www.wri.org/research/wri-annual-report-2011-2012</w:t>
        </w:r>
      </w:hyperlink>
      <w:r>
        <w:t>.</w:t>
      </w:r>
    </w:p>
    <w:p w14:paraId="1C3BF207" w14:textId="77777777" w:rsidR="00E2099A" w:rsidRDefault="00000000">
      <w:bookmarkStart w:id="164" w:name="ref-TRACE_1999"/>
      <w:bookmarkEnd w:id="163"/>
      <w:r>
        <w:lastRenderedPageBreak/>
        <w:t xml:space="preserve">TRACE. 1999. </w:t>
      </w:r>
      <w:r>
        <w:rPr>
          <w:i/>
          <w:iCs/>
        </w:rPr>
        <w:t>Elasticity Handbook: Elasticities for Prototypical Contexts, TRACE; Costs of Private Road Travel and Their Effects on Demand, Including Short and Long Term Elasticities</w:t>
      </w:r>
      <w:r>
        <w:t xml:space="preserve">. </w:t>
      </w:r>
      <w:hyperlink r:id="rId70">
        <w:r>
          <w:rPr>
            <w:rStyle w:val="Hyperlink"/>
          </w:rPr>
          <w:t>https://trimis.ec.europa.eu/sites/default/files/project/documents/trace.pdf</w:t>
        </w:r>
      </w:hyperlink>
      <w:r>
        <w:t>.</w:t>
      </w:r>
    </w:p>
    <w:p w14:paraId="42C0A706" w14:textId="77777777" w:rsidR="00E2099A" w:rsidRDefault="00000000">
      <w:bookmarkStart w:id="165" w:name="ref-energyUpperMidwestIntegrated2020"/>
      <w:bookmarkEnd w:id="164"/>
      <w:r>
        <w:t xml:space="preserve">Xcel Energy. 2020. “Upper Midwest Integrated Resource Plan.” Docket No. E002/RP-19-368. Minneapolis, MN: Northern States Power Company. </w:t>
      </w:r>
      <w:hyperlink r:id="rId71">
        <w:r>
          <w:rPr>
            <w:rStyle w:val="Hyperlink"/>
          </w:rPr>
          <w:t>https://www.xcelenergy.com/staticfiles/xe-responsive/Company/Rates%20&amp;%20Regulations/The-Resource-Plan-No-Appendices.pdf</w:t>
        </w:r>
      </w:hyperlink>
      <w:r>
        <w:t>.</w:t>
      </w:r>
    </w:p>
    <w:p w14:paraId="73D458A9" w14:textId="77777777" w:rsidR="00E2099A" w:rsidRDefault="00000000">
      <w:bookmarkStart w:id="166" w:name="ref-yanSharedAutonomousVehicle2020"/>
      <w:bookmarkEnd w:id="165"/>
      <w:r>
        <w:t xml:space="preserve">Yan, Haonan, Kara M. Kockelman, and Krishna Murthy Gurumurthy. 2020. “Shared Autonomous Vehicle Fleet Performance: Impacts of Trip Densities and Parking Limitations.” </w:t>
      </w:r>
      <w:r>
        <w:rPr>
          <w:i/>
          <w:iCs/>
        </w:rPr>
        <w:t>Transportation Research Part D: Transport and Environment</w:t>
      </w:r>
      <w:r>
        <w:t xml:space="preserve"> 89: 1–19. </w:t>
      </w:r>
      <w:hyperlink r:id="rId72">
        <w:r>
          <w:rPr>
            <w:rStyle w:val="Hyperlink"/>
          </w:rPr>
          <w:t>https://doi.org/10.1016/j.trd.2020.102577</w:t>
        </w:r>
      </w:hyperlink>
      <w:r>
        <w:t>.</w:t>
      </w:r>
      <w:bookmarkEnd w:id="140"/>
      <w:bookmarkEnd w:id="143"/>
      <w:bookmarkEnd w:id="166"/>
    </w:p>
    <w:sectPr w:rsidR="00E2099A" w:rsidSect="0075296C">
      <w:headerReference w:type="even" r:id="rId73"/>
      <w:headerReference w:type="default" r:id="rId74"/>
      <w:footerReference w:type="even" r:id="rId75"/>
      <w:footerReference w:type="default" r:id="rId76"/>
      <w:headerReference w:type="first" r:id="rId77"/>
      <w:footerReference w:type="first" r:id="rId78"/>
      <w:type w:val="continuous"/>
      <w:pgSz w:w="12240" w:h="15840"/>
      <w:pgMar w:top="837" w:right="1080" w:bottom="1440" w:left="1080" w:header="576" w:footer="576" w:gutter="0"/>
      <w:pgNumType w:start="1" w:chapStyle="1" w:chapSep="e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E5F02" w14:textId="77777777" w:rsidR="00F47372" w:rsidRDefault="00F47372">
      <w:pPr>
        <w:spacing w:after="0"/>
      </w:pPr>
      <w:r>
        <w:separator/>
      </w:r>
    </w:p>
  </w:endnote>
  <w:endnote w:type="continuationSeparator" w:id="0">
    <w:p w14:paraId="72BBFCBA" w14:textId="77777777" w:rsidR="00F47372" w:rsidRDefault="00F473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93B79" w14:textId="77777777" w:rsidR="00785C9E" w:rsidRDefault="00000000" w:rsidP="007737C3">
    <w:pPr>
      <w:pStyle w:val="Footer"/>
      <w:framePr w:wrap="around" w:vAnchor="text" w:hAnchor="margin" w:y="1"/>
      <w:rPr>
        <w:rStyle w:val="PageNumber"/>
      </w:rPr>
    </w:pPr>
    <w:r>
      <w:rPr>
        <w:rStyle w:val="PageNumber"/>
        <w:rFonts w:hint="eastAsia"/>
      </w:rPr>
      <w:fldChar w:fldCharType="begin"/>
    </w:r>
    <w:r>
      <w:rPr>
        <w:rStyle w:val="PageNumber"/>
        <w:rFonts w:hint="eastAsia"/>
      </w:rPr>
      <w:instrText xml:space="preserve">PAGE  </w:instrText>
    </w:r>
    <w:r>
      <w:rPr>
        <w:rStyle w:val="PageNumber"/>
        <w:rFonts w:hint="eastAsia"/>
      </w:rPr>
      <w:fldChar w:fldCharType="separate"/>
    </w:r>
    <w:r>
      <w:rPr>
        <w:rStyle w:val="PageNumber"/>
        <w:rFonts w:hint="eastAsia"/>
        <w:noProof/>
      </w:rPr>
      <w:t>2</w:t>
    </w:r>
    <w:r>
      <w:rPr>
        <w:rStyle w:val="PageNumber"/>
        <w:rFonts w:hint="eastAsia"/>
      </w:rPr>
      <w:fldChar w:fldCharType="end"/>
    </w:r>
  </w:p>
  <w:p w14:paraId="287B4482" w14:textId="77777777" w:rsidR="00785C9E" w:rsidRDefault="00000000" w:rsidP="009B2F9C">
    <w:pPr>
      <w:pStyle w:val="Footer"/>
      <w:ind w:firstLine="360"/>
    </w:pPr>
  </w:p>
  <w:p w14:paraId="1C0007DF" w14:textId="77777777" w:rsidR="00785C9E" w:rsidRDefault="00000000"/>
  <w:p w14:paraId="483AA4EB" w14:textId="77777777" w:rsidR="00FE3AD2" w:rsidRDefault="00000000"/>
  <w:p w14:paraId="0CD599F9" w14:textId="77777777" w:rsidR="008D2EE3"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416AC" w14:textId="77777777" w:rsidR="008D2EE3" w:rsidRDefault="00000000">
    <w:r w:rsidRPr="00C66982">
      <w:rPr>
        <w:rStyle w:val="FooterChar"/>
        <w:color w:val="161616" w:themeColor="background2" w:themeShade="1A"/>
        <w:szCs w:val="16"/>
      </w:rPr>
      <w:t xml:space="preserve">Page - </w:t>
    </w:r>
    <w:r w:rsidRPr="00C66982">
      <w:rPr>
        <w:rStyle w:val="FooterChar"/>
        <w:color w:val="161616" w:themeColor="background2" w:themeShade="1A"/>
        <w:szCs w:val="16"/>
      </w:rPr>
      <w:fldChar w:fldCharType="begin"/>
    </w:r>
    <w:r w:rsidRPr="00C66982">
      <w:rPr>
        <w:rStyle w:val="FooterChar"/>
        <w:color w:val="161616" w:themeColor="background2" w:themeShade="1A"/>
        <w:szCs w:val="16"/>
      </w:rPr>
      <w:instrText xml:space="preserve"> PAGE </w:instrText>
    </w:r>
    <w:r w:rsidRPr="00C66982">
      <w:rPr>
        <w:rStyle w:val="FooterChar"/>
        <w:color w:val="161616" w:themeColor="background2" w:themeShade="1A"/>
        <w:szCs w:val="16"/>
      </w:rPr>
      <w:fldChar w:fldCharType="separate"/>
    </w:r>
    <w:r w:rsidRPr="00C66982">
      <w:rPr>
        <w:rStyle w:val="FooterChar"/>
        <w:noProof/>
        <w:color w:val="161616" w:themeColor="background2" w:themeShade="1A"/>
        <w:szCs w:val="16"/>
      </w:rPr>
      <w:t>2</w:t>
    </w:r>
    <w:r w:rsidRPr="00C66982">
      <w:rPr>
        <w:rStyle w:val="FooterChar"/>
        <w:color w:val="161616" w:themeColor="background2" w:themeShade="1A"/>
        <w:szCs w:val="16"/>
      </w:rPr>
      <w:fldChar w:fldCharType="end"/>
    </w:r>
    <w:r w:rsidRPr="00C66982">
      <w:rPr>
        <w:rStyle w:val="FooterChar"/>
        <w:color w:val="161616" w:themeColor="background2" w:themeShade="1A"/>
        <w:szCs w:val="16"/>
      </w:rPr>
      <w:t xml:space="preserve"> </w:t>
    </w:r>
    <w:r>
      <w:rPr>
        <w:rStyle w:val="FooterChar"/>
        <w:color w:val="161616" w:themeColor="background2" w:themeShade="1A"/>
        <w:szCs w:val="16"/>
      </w:rPr>
      <w:t xml:space="preserve">| </w:t>
    </w:r>
    <w:r w:rsidRPr="00C66982">
      <w:rPr>
        <w:rFonts w:hint="eastAsia"/>
        <w:sz w:val="16"/>
        <w:szCs w:val="16"/>
      </w:rPr>
      <w:t>METROPOLITAN COUNCIL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DC3A1" w14:textId="77777777" w:rsidR="00FE3AD2" w:rsidRDefault="00000000" w:rsidP="000112CD">
    <w:pPr>
      <w:pStyle w:val="Footer"/>
    </w:pPr>
    <w:r w:rsidRPr="00501C82">
      <w:t xml:space="preserve">Page - </w:t>
    </w:r>
    <w:r>
      <w:fldChar w:fldCharType="begin"/>
    </w:r>
    <w:r>
      <w:instrText xml:space="preserve"> PAGE </w:instrText>
    </w:r>
    <w:r>
      <w:fldChar w:fldCharType="separate"/>
    </w:r>
    <w:r>
      <w:rPr>
        <w:noProof/>
      </w:rPr>
      <w:t>1</w:t>
    </w:r>
    <w:r>
      <w:rPr>
        <w:noProof/>
      </w:rPr>
      <w:fldChar w:fldCharType="end"/>
    </w:r>
  </w:p>
  <w:p w14:paraId="21E6C99D" w14:textId="77777777" w:rsidR="008D2EE3"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43F01" w14:textId="77777777" w:rsidR="00F47372" w:rsidRDefault="00F47372">
      <w:r>
        <w:separator/>
      </w:r>
    </w:p>
  </w:footnote>
  <w:footnote w:type="continuationSeparator" w:id="0">
    <w:p w14:paraId="574DB003" w14:textId="77777777" w:rsidR="00F47372" w:rsidRDefault="00F47372">
      <w:r>
        <w:continuationSeparator/>
      </w:r>
    </w:p>
  </w:footnote>
  <w:footnote w:id="1">
    <w:p w14:paraId="77C0AD5A" w14:textId="77777777" w:rsidR="00E2099A" w:rsidRDefault="00000000">
      <w:r>
        <w:footnoteRef/>
      </w:r>
      <w:r>
        <w:t xml:space="preserve"> The Minnesota Statute section 216B.1691 was amended in 2003 and 2007 to allow for the establishment of a program for tradable Renewable Energy Credits (RECs). The Public Utilities Commission was required to establish this program by 2008 and to require all electric utilities to participate in a Commission-approved REC tracking system. In 2007, the Commission approved the use of the </w:t>
      </w:r>
      <w:hyperlink r:id="rId1">
        <w:r>
          <w:rPr>
            <w:rStyle w:val="Hyperlink"/>
          </w:rPr>
          <w:t>Midwest Renewable Energy Tracking System</w:t>
        </w:r>
      </w:hyperlink>
      <w:r>
        <w:t xml:space="preserve"> (M-RETS) as the REC tracking system and set a four-year shelf life for RECs. This means that RECs are eligible to be used to meet Renewable Energy Standard (RES) requirements in the year they are generated and for four years afterwards. In 2008, the Commission directed utilities to retire RECs equivalent to 1% of their Minnesota annual retail sales by May 1st of the following year. These retired RECs are transferred to a specific Minnesota RES retirement account and cannot be used to meet other state or program requirements. Utilities must submit an annual compliance filing demonstrating their compliance with the RES by June 1st.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98A91" w14:textId="77777777" w:rsidR="00785C9E" w:rsidRDefault="00000000" w:rsidP="00711226">
    <w:pPr>
      <w:tabs>
        <w:tab w:val="center" w:pos="5040"/>
        <w:tab w:val="right" w:pos="10080"/>
      </w:tabs>
    </w:pPr>
    <w:r>
      <w:t>[Type text]</w:t>
    </w:r>
    <w:r>
      <w:tab/>
      <w:t>[Type text]</w:t>
    </w:r>
    <w:r>
      <w:tab/>
      <w:t>[Type text</w:t>
    </w:r>
    <w:r>
      <w:t>]</w:t>
    </w:r>
  </w:p>
  <w:p w14:paraId="3F75C1FB" w14:textId="77777777" w:rsidR="00785C9E" w:rsidRDefault="00000000"/>
  <w:p w14:paraId="239F83D7" w14:textId="77777777" w:rsidR="00785C9E" w:rsidRDefault="00000000"/>
  <w:p w14:paraId="399197C9" w14:textId="77777777" w:rsidR="00FE3AD2" w:rsidRDefault="00000000"/>
  <w:p w14:paraId="2178DB34" w14:textId="77777777" w:rsidR="008D2EE3"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4D9E4" w14:textId="77777777" w:rsidR="00485355"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D984D" w14:textId="77777777" w:rsidR="00485355"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5DECA1FE"/>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25EEA4AC"/>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3AD2E2D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1"/>
    <w:multiLevelType w:val="multilevel"/>
    <w:tmpl w:val="2C92637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8D08FC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0A99711"/>
    <w:multiLevelType w:val="multilevel"/>
    <w:tmpl w:val="0F2EDB6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6" w15:restartNumberingAfterBreak="0">
    <w:nsid w:val="1073452A"/>
    <w:multiLevelType w:val="hybridMultilevel"/>
    <w:tmpl w:val="9AC87D96"/>
    <w:lvl w:ilvl="0" w:tplc="4740D670">
      <w:start w:val="1"/>
      <w:numFmt w:val="bullet"/>
      <w:pStyle w:val="List-"/>
      <w:lvlText w:val=""/>
      <w:lvlJc w:val="left"/>
      <w:pPr>
        <w:ind w:left="720" w:hanging="360"/>
      </w:pPr>
      <w:rPr>
        <w:rFonts w:ascii="Symbol" w:hAnsi="Symbol" w:hint="default"/>
        <w:color w:val="505150"/>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Symbol" w:hAnsi="Symbol" w:hint="default"/>
      </w:rPr>
    </w:lvl>
  </w:abstractNum>
  <w:abstractNum w:abstractNumId="7" w15:restartNumberingAfterBreak="0">
    <w:nsid w:val="480C2D24"/>
    <w:multiLevelType w:val="hybridMultilevel"/>
    <w:tmpl w:val="FCDC1AA0"/>
    <w:lvl w:ilvl="0" w:tplc="47AE4C24">
      <w:start w:val="1"/>
      <w:numFmt w:val="decimal"/>
      <w:pStyle w:val="List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5582629">
    <w:abstractNumId w:val="2"/>
  </w:num>
  <w:num w:numId="2" w16cid:durableId="296880397">
    <w:abstractNumId w:val="6"/>
  </w:num>
  <w:num w:numId="3" w16cid:durableId="280037872">
    <w:abstractNumId w:val="1"/>
  </w:num>
  <w:num w:numId="4" w16cid:durableId="511991634">
    <w:abstractNumId w:val="0"/>
  </w:num>
  <w:num w:numId="5" w16cid:durableId="986055725">
    <w:abstractNumId w:val="7"/>
  </w:num>
  <w:num w:numId="6" w16cid:durableId="608633379">
    <w:abstractNumId w:val="3"/>
  </w:num>
  <w:num w:numId="7" w16cid:durableId="1860043997">
    <w:abstractNumId w:val="3"/>
  </w:num>
  <w:num w:numId="8" w16cid:durableId="1246571445">
    <w:abstractNumId w:val="3"/>
  </w:num>
  <w:num w:numId="9" w16cid:durableId="87964088">
    <w:abstractNumId w:val="3"/>
  </w:num>
  <w:num w:numId="10" w16cid:durableId="190649532">
    <w:abstractNumId w:val="3"/>
  </w:num>
  <w:num w:numId="11" w16cid:durableId="404228410">
    <w:abstractNumId w:val="3"/>
  </w:num>
  <w:num w:numId="12" w16cid:durableId="1879124121">
    <w:abstractNumId w:val="3"/>
  </w:num>
  <w:num w:numId="13" w16cid:durableId="2017876082">
    <w:abstractNumId w:val="3"/>
  </w:num>
  <w:num w:numId="14" w16cid:durableId="13390429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70723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71088399">
    <w:abstractNumId w:val="3"/>
  </w:num>
  <w:num w:numId="17" w16cid:durableId="1431582987">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9A"/>
    <w:rsid w:val="002C57E0"/>
    <w:rsid w:val="00A76E94"/>
    <w:rsid w:val="00E2099A"/>
    <w:rsid w:val="00F473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C698A"/>
  <w15:docId w15:val="{C4F28E07-0CCD-604A-9ECC-C93B5834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lsdException w:name="Intense Reference" w:uiPriority="68"/>
    <w:lsdException w:name="Book Title" w:uiPriority="69" w:qFormat="1"/>
    <w:lsdException w:name="Bibliography" w:uiPriority="70"/>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7F5237"/>
    <w:pPr>
      <w:suppressAutoHyphens/>
      <w:spacing w:after="120"/>
    </w:pPr>
    <w:rPr>
      <w:rFonts w:ascii="Arial" w:hAnsi="Arial"/>
      <w:color w:val="161616" w:themeColor="background2" w:themeShade="1A"/>
      <w:sz w:val="22"/>
    </w:rPr>
  </w:style>
  <w:style w:type="paragraph" w:styleId="Heading1">
    <w:name w:val="heading 1"/>
    <w:aliases w:val="Heading1"/>
    <w:next w:val="Normal"/>
    <w:link w:val="Heading1Char"/>
    <w:qFormat/>
    <w:rsid w:val="00C66982"/>
    <w:pPr>
      <w:keepNext/>
      <w:spacing w:after="120"/>
      <w:outlineLvl w:val="0"/>
    </w:pPr>
    <w:rPr>
      <w:rFonts w:ascii="Arial" w:eastAsia="MS Gothic" w:hAnsi="Arial" w:cs="Arial"/>
      <w:b/>
      <w:bCs/>
      <w:color w:val="005DAA"/>
      <w:kern w:val="32"/>
      <w:sz w:val="28"/>
      <w:szCs w:val="32"/>
    </w:rPr>
  </w:style>
  <w:style w:type="paragraph" w:styleId="Heading2">
    <w:name w:val="heading 2"/>
    <w:aliases w:val="Heading2"/>
    <w:basedOn w:val="Heading1"/>
    <w:next w:val="Normal"/>
    <w:link w:val="Heading2Char"/>
    <w:qFormat/>
    <w:rsid w:val="00C66982"/>
    <w:pPr>
      <w:spacing w:before="120"/>
      <w:outlineLvl w:val="1"/>
    </w:pPr>
    <w:rPr>
      <w:rFonts w:eastAsia="MS PGothic"/>
      <w:bCs w:val="0"/>
      <w:iCs/>
      <w:sz w:val="24"/>
      <w:szCs w:val="28"/>
    </w:rPr>
  </w:style>
  <w:style w:type="paragraph" w:styleId="Heading3">
    <w:name w:val="heading 3"/>
    <w:basedOn w:val="Heading2"/>
    <w:next w:val="Normal"/>
    <w:link w:val="Heading3Char"/>
    <w:qFormat/>
    <w:rsid w:val="00C66982"/>
    <w:pPr>
      <w:outlineLvl w:val="2"/>
    </w:pPr>
    <w:rPr>
      <w:bCs/>
      <w:sz w:val="22"/>
      <w:szCs w:val="26"/>
    </w:rPr>
  </w:style>
  <w:style w:type="paragraph" w:styleId="Heading4">
    <w:name w:val="heading 4"/>
    <w:basedOn w:val="Heading3"/>
    <w:next w:val="Normal"/>
    <w:link w:val="Heading4Char"/>
    <w:qFormat/>
    <w:rsid w:val="005D4123"/>
    <w:pPr>
      <w:outlineLvl w:val="3"/>
    </w:pPr>
    <w:rPr>
      <w:b w:val="0"/>
      <w:bCs w:val="0"/>
      <w:i/>
      <w:szCs w:val="28"/>
    </w:rPr>
  </w:style>
  <w:style w:type="paragraph" w:styleId="Heading5">
    <w:name w:val="heading 5"/>
    <w:basedOn w:val="Heading4"/>
    <w:next w:val="Normal"/>
    <w:link w:val="Heading5Char"/>
    <w:qFormat/>
    <w:rsid w:val="00DF367F"/>
    <w:pPr>
      <w:outlineLvl w:val="4"/>
    </w:pPr>
    <w:rPr>
      <w:i w:val="0"/>
      <w:iCs w:val="0"/>
      <w:color w:val="005DAA" w:themeColor="accent1"/>
      <w:szCs w:val="26"/>
    </w:rPr>
  </w:style>
  <w:style w:type="paragraph" w:styleId="Heading6">
    <w:name w:val="heading 6"/>
    <w:basedOn w:val="Heading5"/>
    <w:next w:val="Normal"/>
    <w:link w:val="Heading6Char"/>
    <w:qFormat/>
    <w:rsid w:val="00DF367F"/>
    <w:pPr>
      <w:outlineLvl w:val="5"/>
    </w:pPr>
    <w:rPr>
      <w:bCs/>
      <w:szCs w:val="22"/>
    </w:rPr>
  </w:style>
  <w:style w:type="paragraph" w:styleId="Heading7">
    <w:name w:val="heading 7"/>
    <w:basedOn w:val="Heading6"/>
    <w:next w:val="Normal"/>
    <w:link w:val="Heading7Char"/>
    <w:qFormat/>
    <w:rsid w:val="00DF367F"/>
    <w:pPr>
      <w:outlineLvl w:val="6"/>
    </w:pPr>
    <w:rPr>
      <w:rFonts w:eastAsia="Times New Roman"/>
      <w:iCs/>
      <w:szCs w:val="24"/>
    </w:rPr>
  </w:style>
  <w:style w:type="paragraph" w:styleId="Heading8">
    <w:name w:val="heading 8"/>
    <w:basedOn w:val="Heading7"/>
    <w:next w:val="Normal"/>
    <w:link w:val="Heading8Char"/>
    <w:qFormat/>
    <w:rsid w:val="00A86A77"/>
    <w:pPr>
      <w:outlineLvl w:val="7"/>
    </w:pPr>
    <w:rPr>
      <w:b/>
      <w:i/>
      <w:iCs w:val="0"/>
    </w:rPr>
  </w:style>
  <w:style w:type="paragraph" w:styleId="Heading9">
    <w:name w:val="heading 9"/>
    <w:basedOn w:val="Heading8"/>
    <w:next w:val="Normal"/>
    <w:link w:val="Heading9Char"/>
    <w:qFormat/>
    <w:rsid w:val="00C66982"/>
    <w:pPr>
      <w:outlineLvl w:val="8"/>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1 Char"/>
    <w:link w:val="Heading1"/>
    <w:rsid w:val="00C66982"/>
    <w:rPr>
      <w:rFonts w:ascii="Arial" w:eastAsia="MS Gothic" w:hAnsi="Arial" w:cs="Arial"/>
      <w:b/>
      <w:bCs/>
      <w:color w:val="005DAA"/>
      <w:kern w:val="32"/>
      <w:sz w:val="28"/>
      <w:szCs w:val="32"/>
    </w:rPr>
  </w:style>
  <w:style w:type="character" w:customStyle="1" w:styleId="Heading2Char">
    <w:name w:val="Heading 2 Char"/>
    <w:aliases w:val="Heading2 Char"/>
    <w:link w:val="Heading2"/>
    <w:rsid w:val="00C66982"/>
    <w:rPr>
      <w:rFonts w:ascii="Arial" w:eastAsia="MS PGothic" w:hAnsi="Arial" w:cs="Arial"/>
      <w:b/>
      <w:iCs/>
      <w:color w:val="005DAA"/>
      <w:kern w:val="32"/>
      <w:sz w:val="24"/>
      <w:szCs w:val="28"/>
    </w:rPr>
  </w:style>
  <w:style w:type="character" w:customStyle="1" w:styleId="Heading3Char">
    <w:name w:val="Heading 3 Char"/>
    <w:link w:val="Heading3"/>
    <w:rsid w:val="00C66982"/>
    <w:rPr>
      <w:rFonts w:ascii="Arial" w:eastAsia="MS PGothic" w:hAnsi="Arial" w:cs="Arial"/>
      <w:b/>
      <w:bCs/>
      <w:iCs/>
      <w:color w:val="005DAA"/>
      <w:kern w:val="32"/>
      <w:sz w:val="22"/>
      <w:szCs w:val="26"/>
    </w:rPr>
  </w:style>
  <w:style w:type="character" w:customStyle="1" w:styleId="Heading4Char">
    <w:name w:val="Heading 4 Char"/>
    <w:link w:val="Heading4"/>
    <w:rsid w:val="005D4123"/>
    <w:rPr>
      <w:rFonts w:ascii="Arial" w:eastAsia="MS PGothic" w:hAnsi="Arial" w:cs="Arial"/>
      <w:i/>
      <w:iCs/>
      <w:color w:val="005DAA"/>
      <w:kern w:val="32"/>
      <w:sz w:val="24"/>
      <w:szCs w:val="28"/>
    </w:rPr>
  </w:style>
  <w:style w:type="character" w:customStyle="1" w:styleId="Heading5Char">
    <w:name w:val="Heading 5 Char"/>
    <w:link w:val="Heading5"/>
    <w:rsid w:val="00DF367F"/>
    <w:rPr>
      <w:rFonts w:ascii="Arial" w:eastAsia="MS PGothic" w:hAnsi="Arial" w:cs="Arial"/>
      <w:color w:val="005DAA" w:themeColor="accent1"/>
      <w:kern w:val="32"/>
      <w:sz w:val="22"/>
      <w:szCs w:val="26"/>
    </w:rPr>
  </w:style>
  <w:style w:type="character" w:customStyle="1" w:styleId="Heading6Char">
    <w:name w:val="Heading 6 Char"/>
    <w:link w:val="Heading6"/>
    <w:rsid w:val="00DF367F"/>
    <w:rPr>
      <w:rFonts w:ascii="Arial" w:eastAsia="MS PGothic" w:hAnsi="Arial" w:cs="Arial"/>
      <w:bCs/>
      <w:color w:val="005DAA" w:themeColor="accent1"/>
      <w:kern w:val="32"/>
      <w:sz w:val="22"/>
      <w:szCs w:val="22"/>
    </w:rPr>
  </w:style>
  <w:style w:type="character" w:customStyle="1" w:styleId="Heading7Char">
    <w:name w:val="Heading 7 Char"/>
    <w:link w:val="Heading7"/>
    <w:rsid w:val="00DF367F"/>
    <w:rPr>
      <w:rFonts w:ascii="Arial" w:hAnsi="Arial" w:cs="Arial"/>
      <w:bCs/>
      <w:iCs/>
      <w:color w:val="005DAA" w:themeColor="accent1"/>
      <w:kern w:val="32"/>
      <w:sz w:val="22"/>
      <w:szCs w:val="24"/>
    </w:rPr>
  </w:style>
  <w:style w:type="character" w:customStyle="1" w:styleId="Heading8Char">
    <w:name w:val="Heading 8 Char"/>
    <w:link w:val="Heading8"/>
    <w:rsid w:val="00A86A77"/>
    <w:rPr>
      <w:rFonts w:ascii="Arial" w:hAnsi="Arial" w:cs="Arial"/>
      <w:b/>
      <w:iCs/>
      <w:color w:val="505150"/>
      <w:kern w:val="32"/>
      <w:sz w:val="20"/>
    </w:rPr>
  </w:style>
  <w:style w:type="character" w:customStyle="1" w:styleId="Heading9Char">
    <w:name w:val="Heading 9 Char"/>
    <w:link w:val="Heading9"/>
    <w:rsid w:val="00C66982"/>
    <w:rPr>
      <w:rFonts w:ascii="Arial" w:hAnsi="Arial" w:cs="Arial"/>
      <w:i/>
      <w:iCs/>
      <w:caps/>
      <w:color w:val="505150"/>
      <w:kern w:val="32"/>
      <w:szCs w:val="24"/>
    </w:rPr>
  </w:style>
  <w:style w:type="paragraph" w:styleId="BalloonText">
    <w:name w:val="Balloon Text"/>
    <w:basedOn w:val="Normal"/>
    <w:link w:val="BalloonTextChar"/>
    <w:uiPriority w:val="99"/>
    <w:semiHidden/>
    <w:unhideWhenUsed/>
    <w:rsid w:val="00D55C82"/>
    <w:rPr>
      <w:rFonts w:ascii="Lucida Grande" w:hAnsi="Lucida Grande" w:cs="Lucida Grande"/>
      <w:sz w:val="18"/>
      <w:szCs w:val="18"/>
    </w:rPr>
  </w:style>
  <w:style w:type="character" w:customStyle="1" w:styleId="BalloonTextChar">
    <w:name w:val="Balloon Text Char"/>
    <w:link w:val="BalloonText"/>
    <w:uiPriority w:val="99"/>
    <w:semiHidden/>
    <w:rsid w:val="00D55C82"/>
    <w:rPr>
      <w:rFonts w:ascii="Lucida Grande" w:hAnsi="Lucida Grande" w:cs="Lucida Grande"/>
      <w:sz w:val="18"/>
      <w:szCs w:val="18"/>
    </w:rPr>
  </w:style>
  <w:style w:type="paragraph" w:styleId="DocumentMap">
    <w:name w:val="Document Map"/>
    <w:basedOn w:val="Normal"/>
    <w:link w:val="DocumentMapChar"/>
    <w:uiPriority w:val="99"/>
    <w:semiHidden/>
    <w:unhideWhenUsed/>
    <w:rsid w:val="000C5C7F"/>
    <w:rPr>
      <w:rFonts w:ascii="Lucida Grande" w:hAnsi="Lucida Grande" w:cs="Lucida Grande"/>
    </w:rPr>
  </w:style>
  <w:style w:type="character" w:customStyle="1" w:styleId="DocumentMapChar">
    <w:name w:val="Document Map Char"/>
    <w:link w:val="DocumentMap"/>
    <w:uiPriority w:val="99"/>
    <w:semiHidden/>
    <w:rsid w:val="000C5C7F"/>
    <w:rPr>
      <w:rFonts w:ascii="Lucida Grande" w:hAnsi="Lucida Grande" w:cs="Lucida Grande"/>
    </w:rPr>
  </w:style>
  <w:style w:type="paragraph" w:customStyle="1" w:styleId="ListNumbered">
    <w:name w:val="List Numbered"/>
    <w:qFormat/>
    <w:rsid w:val="00E041C1"/>
    <w:pPr>
      <w:numPr>
        <w:numId w:val="5"/>
      </w:numPr>
      <w:spacing w:after="60"/>
    </w:pPr>
    <w:rPr>
      <w:rFonts w:ascii="Arial" w:hAnsi="Arial"/>
      <w:color w:val="161616" w:themeColor="background2" w:themeShade="1A"/>
      <w:sz w:val="22"/>
      <w:szCs w:val="22"/>
    </w:rPr>
  </w:style>
  <w:style w:type="paragraph" w:styleId="Footer">
    <w:name w:val="footer"/>
    <w:basedOn w:val="Normal"/>
    <w:link w:val="FooterChar"/>
    <w:uiPriority w:val="99"/>
    <w:unhideWhenUsed/>
    <w:rsid w:val="000973B5"/>
    <w:pPr>
      <w:tabs>
        <w:tab w:val="center" w:pos="4320"/>
        <w:tab w:val="right" w:pos="8640"/>
      </w:tabs>
      <w:spacing w:after="0"/>
    </w:pPr>
    <w:rPr>
      <w:sz w:val="16"/>
    </w:rPr>
  </w:style>
  <w:style w:type="character" w:customStyle="1" w:styleId="FooterChar">
    <w:name w:val="Footer Char"/>
    <w:basedOn w:val="DefaultParagraphFont"/>
    <w:link w:val="Footer"/>
    <w:uiPriority w:val="99"/>
    <w:rsid w:val="000973B5"/>
    <w:rPr>
      <w:rFonts w:ascii="Arial" w:hAnsi="Arial"/>
      <w:color w:val="505150"/>
      <w:sz w:val="16"/>
      <w:szCs w:val="22"/>
    </w:rPr>
  </w:style>
  <w:style w:type="character" w:styleId="PageNumber">
    <w:name w:val="page number"/>
    <w:uiPriority w:val="99"/>
    <w:semiHidden/>
    <w:unhideWhenUsed/>
    <w:rsid w:val="007C5E12"/>
  </w:style>
  <w:style w:type="character" w:styleId="Emphasis">
    <w:name w:val="Emphasis"/>
    <w:qFormat/>
    <w:rsid w:val="00E041C1"/>
    <w:rPr>
      <w:rFonts w:ascii="Arial" w:hAnsi="Arial"/>
      <w:b w:val="0"/>
      <w:i/>
      <w:iCs/>
      <w:color w:val="161616" w:themeColor="background2" w:themeShade="1A"/>
      <w:sz w:val="22"/>
    </w:rPr>
  </w:style>
  <w:style w:type="paragraph" w:customStyle="1" w:styleId="List-">
    <w:name w:val="List -"/>
    <w:basedOn w:val="Normal"/>
    <w:next w:val="List"/>
    <w:rsid w:val="0070353A"/>
    <w:pPr>
      <w:numPr>
        <w:numId w:val="2"/>
      </w:numPr>
      <w:spacing w:after="60"/>
    </w:pPr>
  </w:style>
  <w:style w:type="paragraph" w:styleId="List">
    <w:name w:val="List"/>
    <w:basedOn w:val="Normal"/>
    <w:uiPriority w:val="99"/>
    <w:semiHidden/>
    <w:unhideWhenUsed/>
    <w:rsid w:val="00910BBE"/>
    <w:pPr>
      <w:ind w:left="360" w:hanging="360"/>
    </w:pPr>
  </w:style>
  <w:style w:type="character" w:styleId="Hyperlink">
    <w:name w:val="Hyperlink"/>
    <w:uiPriority w:val="99"/>
    <w:unhideWhenUsed/>
    <w:rsid w:val="00C66982"/>
    <w:rPr>
      <w:rFonts w:asciiTheme="minorHAnsi" w:hAnsiTheme="minorHAnsi"/>
      <w:i w:val="0"/>
      <w:color w:val="005DAA"/>
      <w:sz w:val="22"/>
      <w:u w:val="single"/>
    </w:rPr>
  </w:style>
  <w:style w:type="character" w:styleId="FollowedHyperlink">
    <w:name w:val="FollowedHyperlink"/>
    <w:uiPriority w:val="99"/>
    <w:semiHidden/>
    <w:unhideWhenUsed/>
    <w:rsid w:val="00DD6A15"/>
    <w:rPr>
      <w:rFonts w:asciiTheme="minorHAnsi" w:hAnsiTheme="minorHAnsi"/>
      <w:color w:val="009AC7" w:themeColor="accent3"/>
      <w:u w:val="single"/>
    </w:rPr>
  </w:style>
  <w:style w:type="paragraph" w:styleId="HTMLAddress">
    <w:name w:val="HTML Address"/>
    <w:basedOn w:val="Normal"/>
    <w:link w:val="HTMLAddressChar"/>
    <w:uiPriority w:val="99"/>
    <w:semiHidden/>
    <w:unhideWhenUsed/>
    <w:rsid w:val="00123DF3"/>
    <w:rPr>
      <w:i/>
      <w:iCs/>
    </w:rPr>
  </w:style>
  <w:style w:type="character" w:customStyle="1" w:styleId="HTMLAddressChar">
    <w:name w:val="HTML Address Char"/>
    <w:link w:val="HTMLAddress"/>
    <w:uiPriority w:val="99"/>
    <w:semiHidden/>
    <w:rsid w:val="00123DF3"/>
    <w:rPr>
      <w:rFonts w:ascii="Arial" w:hAnsi="Arial"/>
      <w:i/>
      <w:iCs/>
      <w:color w:val="505150"/>
      <w:sz w:val="22"/>
      <w:szCs w:val="24"/>
    </w:rPr>
  </w:style>
  <w:style w:type="paragraph" w:styleId="ListBullet">
    <w:name w:val="List Bullet"/>
    <w:basedOn w:val="Normal"/>
    <w:uiPriority w:val="99"/>
    <w:unhideWhenUsed/>
    <w:rsid w:val="0070353A"/>
    <w:pPr>
      <w:numPr>
        <w:numId w:val="1"/>
      </w:numPr>
      <w:spacing w:after="60"/>
      <w:ind w:left="720"/>
    </w:pPr>
  </w:style>
  <w:style w:type="paragraph" w:customStyle="1" w:styleId="DocumentTitle">
    <w:name w:val="Document Title"/>
    <w:basedOn w:val="Normal"/>
    <w:qFormat/>
    <w:rsid w:val="00C66982"/>
    <w:pPr>
      <w:spacing w:after="0"/>
      <w:jc w:val="right"/>
    </w:pPr>
    <w:rPr>
      <w:b/>
      <w:caps/>
      <w:color w:val="002B5C" w:themeColor="text2"/>
      <w:spacing w:val="-10"/>
      <w:sz w:val="32"/>
    </w:rPr>
  </w:style>
  <w:style w:type="paragraph" w:customStyle="1" w:styleId="DocumentDate">
    <w:name w:val="Document Date"/>
    <w:basedOn w:val="Normal"/>
    <w:qFormat/>
    <w:rsid w:val="000973B5"/>
    <w:pPr>
      <w:spacing w:after="0"/>
      <w:jc w:val="right"/>
    </w:pPr>
    <w:rPr>
      <w:sz w:val="18"/>
    </w:rPr>
  </w:style>
  <w:style w:type="paragraph" w:styleId="Header">
    <w:name w:val="header"/>
    <w:basedOn w:val="Normal"/>
    <w:link w:val="HeaderChar"/>
    <w:uiPriority w:val="99"/>
    <w:unhideWhenUsed/>
    <w:rsid w:val="000112CD"/>
    <w:pPr>
      <w:tabs>
        <w:tab w:val="center" w:pos="4680"/>
        <w:tab w:val="right" w:pos="9360"/>
      </w:tabs>
      <w:spacing w:after="0"/>
    </w:pPr>
  </w:style>
  <w:style w:type="character" w:customStyle="1" w:styleId="HeaderChar">
    <w:name w:val="Header Char"/>
    <w:basedOn w:val="DefaultParagraphFont"/>
    <w:link w:val="Header"/>
    <w:uiPriority w:val="99"/>
    <w:rsid w:val="000112CD"/>
    <w:rPr>
      <w:rFonts w:ascii="Arial" w:hAnsi="Arial"/>
      <w:color w:val="002B5C" w:themeColor="text1"/>
      <w:sz w:val="24"/>
    </w:rPr>
  </w:style>
  <w:style w:type="paragraph" w:customStyle="1" w:styleId="BlueAllCaps">
    <w:name w:val="Blue All Caps"/>
    <w:basedOn w:val="Normal"/>
    <w:qFormat/>
    <w:rsid w:val="007F5237"/>
    <w:rPr>
      <w:rFonts w:cs="Arial"/>
      <w:color w:val="005DAA"/>
      <w:sz w:val="16"/>
      <w:szCs w:val="16"/>
    </w:rPr>
  </w:style>
  <w:style w:type="paragraph" w:customStyle="1" w:styleId="ImageCaption">
    <w:name w:val="Image Caption"/>
    <w:basedOn w:val="Caption"/>
    <w:next w:val="Normal"/>
    <w:qFormat/>
    <w:rsid w:val="00953ED7"/>
  </w:style>
  <w:style w:type="paragraph" w:styleId="Caption">
    <w:name w:val="caption"/>
    <w:basedOn w:val="Normal"/>
    <w:next w:val="Normal"/>
    <w:qFormat/>
    <w:rsid w:val="00953ED7"/>
    <w:pPr>
      <w:spacing w:after="200"/>
    </w:pPr>
    <w:rPr>
      <w:i/>
      <w:iCs/>
      <w:color w:val="002B5C" w:themeColor="text2"/>
      <w:sz w:val="18"/>
      <w:szCs w:val="18"/>
    </w:rPr>
  </w:style>
  <w:style w:type="paragraph" w:styleId="TOC1">
    <w:name w:val="toc 1"/>
    <w:basedOn w:val="Normal"/>
    <w:next w:val="Normal"/>
    <w:autoRedefine/>
    <w:uiPriority w:val="39"/>
    <w:unhideWhenUsed/>
    <w:qFormat/>
    <w:rsid w:val="00CE0144"/>
    <w:pPr>
      <w:tabs>
        <w:tab w:val="right" w:leader="dot" w:pos="10070"/>
      </w:tabs>
      <w:spacing w:before="120" w:after="0"/>
    </w:pPr>
    <w:rPr>
      <w:rFonts w:asciiTheme="minorHAnsi" w:hAnsiTheme="minorHAnsi" w:cstheme="minorHAnsi"/>
      <w:b/>
      <w:bCs/>
      <w:i/>
      <w:iCs/>
      <w:sz w:val="24"/>
      <w:szCs w:val="24"/>
    </w:rPr>
  </w:style>
  <w:style w:type="paragraph" w:styleId="TOCHeading">
    <w:name w:val="TOC Heading"/>
    <w:basedOn w:val="Heading1"/>
    <w:next w:val="Normal"/>
    <w:uiPriority w:val="39"/>
    <w:unhideWhenUsed/>
    <w:qFormat/>
    <w:rsid w:val="0095767B"/>
    <w:pPr>
      <w:keepLines/>
      <w:suppressAutoHyphens/>
      <w:spacing w:before="240" w:after="0"/>
      <w:outlineLvl w:val="9"/>
    </w:pPr>
    <w:rPr>
      <w:rFonts w:asciiTheme="majorHAnsi" w:eastAsiaTheme="majorEastAsia" w:hAnsiTheme="majorHAnsi" w:cstheme="majorBidi"/>
      <w:b w:val="0"/>
      <w:bCs w:val="0"/>
      <w:color w:val="00457F" w:themeColor="accent1" w:themeShade="BF"/>
      <w:kern w:val="0"/>
      <w:sz w:val="32"/>
    </w:rPr>
  </w:style>
  <w:style w:type="paragraph" w:styleId="TOC2">
    <w:name w:val="toc 2"/>
    <w:basedOn w:val="Normal"/>
    <w:next w:val="Normal"/>
    <w:autoRedefine/>
    <w:uiPriority w:val="39"/>
    <w:unhideWhenUsed/>
    <w:rsid w:val="00CE0144"/>
    <w:pPr>
      <w:tabs>
        <w:tab w:val="right" w:leader="dot" w:pos="10070"/>
      </w:tabs>
      <w:spacing w:before="120" w:after="0"/>
      <w:ind w:left="220"/>
    </w:pPr>
    <w:rPr>
      <w:rFonts w:asciiTheme="minorHAnsi" w:hAnsiTheme="minorHAnsi" w:cstheme="minorHAnsi"/>
      <w:b/>
      <w:bCs/>
      <w:noProof/>
      <w:szCs w:val="22"/>
    </w:rPr>
  </w:style>
  <w:style w:type="paragraph" w:styleId="TOC3">
    <w:name w:val="toc 3"/>
    <w:basedOn w:val="Normal"/>
    <w:next w:val="Normal"/>
    <w:autoRedefine/>
    <w:uiPriority w:val="39"/>
    <w:unhideWhenUsed/>
    <w:qFormat/>
    <w:rsid w:val="0095767B"/>
    <w:pPr>
      <w:spacing w:after="0"/>
      <w:ind w:left="440"/>
    </w:pPr>
    <w:rPr>
      <w:rFonts w:asciiTheme="minorHAnsi" w:hAnsiTheme="minorHAnsi" w:cstheme="minorHAnsi"/>
      <w:sz w:val="20"/>
    </w:rPr>
  </w:style>
  <w:style w:type="paragraph" w:styleId="TOC4">
    <w:name w:val="toc 4"/>
    <w:basedOn w:val="Normal"/>
    <w:next w:val="Normal"/>
    <w:autoRedefine/>
    <w:uiPriority w:val="39"/>
    <w:unhideWhenUsed/>
    <w:qFormat/>
    <w:rsid w:val="0095767B"/>
    <w:pPr>
      <w:spacing w:after="0"/>
      <w:ind w:left="660"/>
    </w:pPr>
    <w:rPr>
      <w:rFonts w:asciiTheme="minorHAnsi" w:hAnsiTheme="minorHAnsi" w:cstheme="minorHAnsi"/>
      <w:sz w:val="20"/>
    </w:rPr>
  </w:style>
  <w:style w:type="paragraph" w:styleId="TOC5">
    <w:name w:val="toc 5"/>
    <w:basedOn w:val="Normal"/>
    <w:next w:val="Normal"/>
    <w:autoRedefine/>
    <w:uiPriority w:val="39"/>
    <w:unhideWhenUsed/>
    <w:qFormat/>
    <w:rsid w:val="0095767B"/>
    <w:pPr>
      <w:spacing w:after="0"/>
      <w:ind w:left="880"/>
    </w:pPr>
    <w:rPr>
      <w:rFonts w:asciiTheme="minorHAnsi" w:hAnsiTheme="minorHAnsi" w:cstheme="minorHAnsi"/>
      <w:sz w:val="20"/>
    </w:rPr>
  </w:style>
  <w:style w:type="paragraph" w:styleId="TOC6">
    <w:name w:val="toc 6"/>
    <w:basedOn w:val="Normal"/>
    <w:next w:val="Normal"/>
    <w:autoRedefine/>
    <w:uiPriority w:val="39"/>
    <w:unhideWhenUsed/>
    <w:qFormat/>
    <w:rsid w:val="0095767B"/>
    <w:pPr>
      <w:spacing w:after="0"/>
      <w:ind w:left="1100"/>
    </w:pPr>
    <w:rPr>
      <w:rFonts w:asciiTheme="minorHAnsi" w:hAnsiTheme="minorHAnsi" w:cstheme="minorHAnsi"/>
      <w:sz w:val="20"/>
    </w:rPr>
  </w:style>
  <w:style w:type="paragraph" w:styleId="TOC7">
    <w:name w:val="toc 7"/>
    <w:basedOn w:val="Normal"/>
    <w:next w:val="Normal"/>
    <w:autoRedefine/>
    <w:uiPriority w:val="39"/>
    <w:unhideWhenUsed/>
    <w:qFormat/>
    <w:rsid w:val="0095767B"/>
    <w:pPr>
      <w:spacing w:after="0"/>
      <w:ind w:left="1320"/>
    </w:pPr>
    <w:rPr>
      <w:rFonts w:asciiTheme="minorHAnsi" w:hAnsiTheme="minorHAnsi" w:cstheme="minorHAnsi"/>
      <w:sz w:val="20"/>
    </w:rPr>
  </w:style>
  <w:style w:type="paragraph" w:styleId="TOC8">
    <w:name w:val="toc 8"/>
    <w:basedOn w:val="Normal"/>
    <w:next w:val="Normal"/>
    <w:autoRedefine/>
    <w:uiPriority w:val="39"/>
    <w:semiHidden/>
    <w:unhideWhenUsed/>
    <w:qFormat/>
    <w:rsid w:val="0095767B"/>
    <w:pPr>
      <w:spacing w:after="0"/>
      <w:ind w:left="1540"/>
    </w:pPr>
    <w:rPr>
      <w:rFonts w:asciiTheme="minorHAnsi" w:hAnsiTheme="minorHAnsi" w:cstheme="minorHAnsi"/>
      <w:sz w:val="20"/>
    </w:rPr>
  </w:style>
  <w:style w:type="paragraph" w:styleId="TOC9">
    <w:name w:val="toc 9"/>
    <w:basedOn w:val="Normal"/>
    <w:next w:val="Normal"/>
    <w:autoRedefine/>
    <w:uiPriority w:val="39"/>
    <w:semiHidden/>
    <w:unhideWhenUsed/>
    <w:qFormat/>
    <w:rsid w:val="0095767B"/>
    <w:pPr>
      <w:spacing w:after="0"/>
      <w:ind w:left="1760"/>
    </w:pPr>
    <w:rPr>
      <w:rFonts w:asciiTheme="minorHAnsi" w:hAnsiTheme="minorHAnsi" w:cstheme="minorHAnsi"/>
      <w:sz w:val="20"/>
    </w:rPr>
  </w:style>
  <w:style w:type="paragraph" w:styleId="TOAHeading">
    <w:name w:val="toa heading"/>
    <w:basedOn w:val="Normal"/>
    <w:next w:val="Normal"/>
    <w:uiPriority w:val="99"/>
    <w:unhideWhenUsed/>
    <w:rsid w:val="0095767B"/>
    <w:pPr>
      <w:spacing w:before="120"/>
    </w:pPr>
    <w:rPr>
      <w:rFonts w:asciiTheme="majorHAnsi" w:eastAsiaTheme="majorEastAsia" w:hAnsiTheme="majorHAnsi" w:cstheme="majorBidi"/>
      <w:b/>
      <w:bCs/>
      <w:sz w:val="24"/>
      <w:szCs w:val="24"/>
    </w:rPr>
  </w:style>
  <w:style w:type="paragraph" w:styleId="Title">
    <w:name w:val="Title"/>
    <w:basedOn w:val="DocumentTitle"/>
    <w:next w:val="Normal"/>
    <w:link w:val="TitleChar"/>
    <w:qFormat/>
    <w:rsid w:val="004D58E7"/>
  </w:style>
  <w:style w:type="character" w:customStyle="1" w:styleId="TitleChar">
    <w:name w:val="Title Char"/>
    <w:basedOn w:val="DefaultParagraphFont"/>
    <w:link w:val="Title"/>
    <w:rsid w:val="004D58E7"/>
    <w:rPr>
      <w:rFonts w:ascii="Arial" w:hAnsi="Arial"/>
      <w:b/>
      <w:caps/>
      <w:color w:val="002B5C" w:themeColor="text2"/>
      <w:spacing w:val="-10"/>
      <w:sz w:val="32"/>
    </w:rPr>
  </w:style>
  <w:style w:type="paragraph" w:styleId="Subtitle">
    <w:name w:val="Subtitle"/>
    <w:basedOn w:val="DocumentDate"/>
    <w:next w:val="Normal"/>
    <w:link w:val="SubtitleChar"/>
    <w:qFormat/>
    <w:rsid w:val="004D58E7"/>
  </w:style>
  <w:style w:type="character" w:customStyle="1" w:styleId="SubtitleChar">
    <w:name w:val="Subtitle Char"/>
    <w:basedOn w:val="DefaultParagraphFont"/>
    <w:link w:val="Subtitle"/>
    <w:rsid w:val="004D58E7"/>
    <w:rPr>
      <w:rFonts w:ascii="Arial" w:hAnsi="Arial"/>
      <w:color w:val="161616" w:themeColor="background2" w:themeShade="1A"/>
      <w:sz w:val="18"/>
    </w:rPr>
  </w:style>
  <w:style w:type="paragraph" w:styleId="Date">
    <w:name w:val="Date"/>
    <w:basedOn w:val="DocumentDate"/>
    <w:next w:val="Normal"/>
    <w:link w:val="DateChar"/>
    <w:uiPriority w:val="99"/>
    <w:unhideWhenUsed/>
    <w:rsid w:val="004D58E7"/>
  </w:style>
  <w:style w:type="character" w:customStyle="1" w:styleId="DateChar">
    <w:name w:val="Date Char"/>
    <w:basedOn w:val="DefaultParagraphFont"/>
    <w:link w:val="Date"/>
    <w:uiPriority w:val="99"/>
    <w:rsid w:val="004D58E7"/>
    <w:rPr>
      <w:rFonts w:ascii="Arial" w:hAnsi="Arial"/>
      <w:color w:val="161616" w:themeColor="background2" w:themeShade="1A"/>
      <w:sz w:val="18"/>
    </w:rPr>
  </w:style>
  <w:style w:type="paragraph" w:customStyle="1" w:styleId="TableCaption">
    <w:name w:val="Table Caption"/>
    <w:basedOn w:val="Caption"/>
    <w:rsid w:val="00A66151"/>
    <w:rPr>
      <w:rFonts w:eastAsia="Helvetica" w:cs="Arial"/>
      <w:iCs w:val="0"/>
    </w:rPr>
  </w:style>
  <w:style w:type="paragraph" w:customStyle="1" w:styleId="FirstParagraph">
    <w:name w:val="First Paragraph"/>
    <w:basedOn w:val="Normal"/>
    <w:qFormat/>
    <w:rsid w:val="004562DA"/>
  </w:style>
  <w:style w:type="paragraph" w:styleId="BodyText">
    <w:name w:val="Body Text"/>
    <w:basedOn w:val="Normal"/>
    <w:link w:val="BodyTextChar"/>
    <w:uiPriority w:val="99"/>
    <w:unhideWhenUsed/>
    <w:rsid w:val="004562DA"/>
  </w:style>
  <w:style w:type="character" w:customStyle="1" w:styleId="BodyTextChar">
    <w:name w:val="Body Text Char"/>
    <w:basedOn w:val="DefaultParagraphFont"/>
    <w:link w:val="BodyText"/>
    <w:uiPriority w:val="99"/>
    <w:rsid w:val="004562DA"/>
    <w:rPr>
      <w:rFonts w:ascii="Arial" w:hAnsi="Arial"/>
      <w:color w:val="161616" w:themeColor="background2" w:themeShade="1A"/>
      <w:sz w:val="22"/>
    </w:rPr>
  </w:style>
  <w:style w:type="paragraph" w:customStyle="1" w:styleId="CaptionedFigure">
    <w:name w:val="Captioned Figure"/>
    <w:basedOn w:val="Normal"/>
    <w:qFormat/>
    <w:rsid w:val="00D2368F"/>
    <w:pPr>
      <w:spacing w:after="0"/>
      <w:jc w:val="center"/>
    </w:pPr>
  </w:style>
  <w:style w:type="paragraph" w:styleId="EnvelopeAddress">
    <w:name w:val="envelope address"/>
    <w:basedOn w:val="CaptionedFigure"/>
    <w:uiPriority w:val="99"/>
    <w:unhideWhenUsed/>
    <w:rsid w:val="00B645E8"/>
  </w:style>
  <w:style w:type="paragraph" w:customStyle="1" w:styleId="Compact">
    <w:name w:val="Compact"/>
    <w:basedOn w:val="ListNumber2"/>
    <w:qFormat/>
    <w:rsid w:val="00C74D12"/>
  </w:style>
  <w:style w:type="character" w:customStyle="1" w:styleId="PreprocessorTok">
    <w:name w:val="PreprocessorTok"/>
    <w:basedOn w:val="DefaultParagraphFont"/>
    <w:rsid w:val="00C74D12"/>
    <w:rPr>
      <w:rFonts w:ascii="Consolas" w:hAnsi="Consolas"/>
      <w:i/>
      <w:color w:val="8F5902"/>
      <w:sz w:val="22"/>
      <w:shd w:val="clear" w:color="auto" w:fill="F8F8F8"/>
    </w:rPr>
  </w:style>
  <w:style w:type="paragraph" w:styleId="ListNumber">
    <w:name w:val="List Number"/>
    <w:basedOn w:val="Normal"/>
    <w:uiPriority w:val="99"/>
    <w:unhideWhenUsed/>
    <w:rsid w:val="00C74D12"/>
    <w:pPr>
      <w:numPr>
        <w:numId w:val="3"/>
      </w:numPr>
      <w:contextualSpacing/>
    </w:pPr>
  </w:style>
  <w:style w:type="paragraph" w:styleId="ListNumber2">
    <w:name w:val="List Number 2"/>
    <w:basedOn w:val="Normal"/>
    <w:uiPriority w:val="99"/>
    <w:unhideWhenUsed/>
    <w:rsid w:val="00C74D12"/>
    <w:pPr>
      <w:numPr>
        <w:numId w:val="4"/>
      </w:numPr>
      <w:spacing w:after="0"/>
      <w:contextualSpacing/>
    </w:pPr>
  </w:style>
  <w:style w:type="paragraph" w:customStyle="1" w:styleId="tablecaption1">
    <w:name w:val="tablecaption1"/>
    <w:basedOn w:val="TableCaption"/>
    <w:qFormat/>
    <w:rsid w:val="00BD6D23"/>
    <w:rPr>
      <w:rFonts w:ascii="Helvetica" w:hAnsi="Helvetica" w:cs="Helvetica"/>
      <w:i w:val="0"/>
      <w:color w:val="000000"/>
      <w:sz w:val="22"/>
      <w:szCs w:val="22"/>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14018">
      <w:bodyDiv w:val="1"/>
      <w:marLeft w:val="0"/>
      <w:marRight w:val="0"/>
      <w:marTop w:val="0"/>
      <w:marBottom w:val="0"/>
      <w:divBdr>
        <w:top w:val="none" w:sz="0" w:space="0" w:color="auto"/>
        <w:left w:val="none" w:sz="0" w:space="0" w:color="auto"/>
        <w:bottom w:val="none" w:sz="0" w:space="0" w:color="auto"/>
        <w:right w:val="none" w:sz="0" w:space="0" w:color="auto"/>
      </w:divBdr>
    </w:div>
    <w:div w:id="855197402">
      <w:bodyDiv w:val="1"/>
      <w:marLeft w:val="0"/>
      <w:marRight w:val="0"/>
      <w:marTop w:val="0"/>
      <w:marBottom w:val="0"/>
      <w:divBdr>
        <w:top w:val="none" w:sz="0" w:space="0" w:color="auto"/>
        <w:left w:val="none" w:sz="0" w:space="0" w:color="auto"/>
        <w:bottom w:val="none" w:sz="0" w:space="0" w:color="auto"/>
        <w:right w:val="none" w:sz="0" w:space="0" w:color="auto"/>
      </w:divBdr>
      <w:divsChild>
        <w:div w:id="1544826122">
          <w:marLeft w:val="0"/>
          <w:marRight w:val="0"/>
          <w:marTop w:val="0"/>
          <w:marBottom w:val="0"/>
          <w:divBdr>
            <w:top w:val="none" w:sz="0" w:space="0" w:color="auto"/>
            <w:left w:val="none" w:sz="0" w:space="0" w:color="auto"/>
            <w:bottom w:val="none" w:sz="0" w:space="0" w:color="auto"/>
            <w:right w:val="none" w:sz="0" w:space="0" w:color="auto"/>
          </w:divBdr>
          <w:divsChild>
            <w:div w:id="2104454267">
              <w:marLeft w:val="0"/>
              <w:marRight w:val="0"/>
              <w:marTop w:val="0"/>
              <w:marBottom w:val="0"/>
              <w:divBdr>
                <w:top w:val="none" w:sz="0" w:space="0" w:color="auto"/>
                <w:left w:val="none" w:sz="0" w:space="0" w:color="auto"/>
                <w:bottom w:val="none" w:sz="0" w:space="0" w:color="auto"/>
                <w:right w:val="none" w:sz="0" w:space="0" w:color="auto"/>
              </w:divBdr>
              <w:divsChild>
                <w:div w:id="985858828">
                  <w:marLeft w:val="0"/>
                  <w:marRight w:val="0"/>
                  <w:marTop w:val="0"/>
                  <w:marBottom w:val="0"/>
                  <w:divBdr>
                    <w:top w:val="none" w:sz="0" w:space="0" w:color="auto"/>
                    <w:left w:val="none" w:sz="0" w:space="0" w:color="auto"/>
                    <w:bottom w:val="none" w:sz="0" w:space="0" w:color="auto"/>
                    <w:right w:val="none" w:sz="0" w:space="0" w:color="auto"/>
                  </w:divBdr>
                  <w:divsChild>
                    <w:div w:id="15589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46966">
          <w:marLeft w:val="0"/>
          <w:marRight w:val="0"/>
          <w:marTop w:val="0"/>
          <w:marBottom w:val="0"/>
          <w:divBdr>
            <w:top w:val="none" w:sz="0" w:space="0" w:color="auto"/>
            <w:left w:val="none" w:sz="0" w:space="0" w:color="auto"/>
            <w:bottom w:val="none" w:sz="0" w:space="0" w:color="auto"/>
            <w:right w:val="none" w:sz="0" w:space="0" w:color="auto"/>
          </w:divBdr>
          <w:divsChild>
            <w:div w:id="988629273">
              <w:marLeft w:val="0"/>
              <w:marRight w:val="0"/>
              <w:marTop w:val="0"/>
              <w:marBottom w:val="0"/>
              <w:divBdr>
                <w:top w:val="none" w:sz="0" w:space="0" w:color="auto"/>
                <w:left w:val="none" w:sz="0" w:space="0" w:color="auto"/>
                <w:bottom w:val="none" w:sz="0" w:space="0" w:color="auto"/>
                <w:right w:val="none" w:sz="0" w:space="0" w:color="auto"/>
              </w:divBdr>
              <w:divsChild>
                <w:div w:id="1383213761">
                  <w:marLeft w:val="0"/>
                  <w:marRight w:val="0"/>
                  <w:marTop w:val="0"/>
                  <w:marBottom w:val="0"/>
                  <w:divBdr>
                    <w:top w:val="none" w:sz="0" w:space="0" w:color="auto"/>
                    <w:left w:val="none" w:sz="0" w:space="0" w:color="auto"/>
                    <w:bottom w:val="none" w:sz="0" w:space="0" w:color="auto"/>
                    <w:right w:val="none" w:sz="0" w:space="0" w:color="auto"/>
                  </w:divBdr>
                  <w:divsChild>
                    <w:div w:id="359743598">
                      <w:marLeft w:val="0"/>
                      <w:marRight w:val="0"/>
                      <w:marTop w:val="0"/>
                      <w:marBottom w:val="0"/>
                      <w:divBdr>
                        <w:top w:val="none" w:sz="0" w:space="0" w:color="auto"/>
                        <w:left w:val="none" w:sz="0" w:space="0" w:color="auto"/>
                        <w:bottom w:val="none" w:sz="0" w:space="0" w:color="auto"/>
                        <w:right w:val="none" w:sz="0" w:space="0" w:color="auto"/>
                      </w:divBdr>
                      <w:divsChild>
                        <w:div w:id="20552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713305">
          <w:marLeft w:val="0"/>
          <w:marRight w:val="0"/>
          <w:marTop w:val="0"/>
          <w:marBottom w:val="0"/>
          <w:divBdr>
            <w:top w:val="none" w:sz="0" w:space="0" w:color="auto"/>
            <w:left w:val="none" w:sz="0" w:space="0" w:color="auto"/>
            <w:bottom w:val="none" w:sz="0" w:space="0" w:color="auto"/>
            <w:right w:val="none" w:sz="0" w:space="0" w:color="auto"/>
          </w:divBdr>
          <w:divsChild>
            <w:div w:id="2117360984">
              <w:marLeft w:val="0"/>
              <w:marRight w:val="0"/>
              <w:marTop w:val="0"/>
              <w:marBottom w:val="0"/>
              <w:divBdr>
                <w:top w:val="none" w:sz="0" w:space="0" w:color="auto"/>
                <w:left w:val="none" w:sz="0" w:space="0" w:color="auto"/>
                <w:bottom w:val="none" w:sz="0" w:space="0" w:color="auto"/>
                <w:right w:val="none" w:sz="0" w:space="0" w:color="auto"/>
              </w:divBdr>
              <w:divsChild>
                <w:div w:id="161659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841448">
          <w:marLeft w:val="0"/>
          <w:marRight w:val="0"/>
          <w:marTop w:val="0"/>
          <w:marBottom w:val="0"/>
          <w:divBdr>
            <w:top w:val="none" w:sz="0" w:space="0" w:color="auto"/>
            <w:left w:val="none" w:sz="0" w:space="0" w:color="auto"/>
            <w:bottom w:val="none" w:sz="0" w:space="0" w:color="auto"/>
            <w:right w:val="none" w:sz="0" w:space="0" w:color="auto"/>
          </w:divBdr>
          <w:divsChild>
            <w:div w:id="2027706962">
              <w:marLeft w:val="0"/>
              <w:marRight w:val="0"/>
              <w:marTop w:val="0"/>
              <w:marBottom w:val="0"/>
              <w:divBdr>
                <w:top w:val="none" w:sz="0" w:space="0" w:color="auto"/>
                <w:left w:val="none" w:sz="0" w:space="0" w:color="auto"/>
                <w:bottom w:val="none" w:sz="0" w:space="0" w:color="auto"/>
                <w:right w:val="none" w:sz="0" w:space="0" w:color="auto"/>
              </w:divBdr>
              <w:divsChild>
                <w:div w:id="3352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27409">
          <w:marLeft w:val="0"/>
          <w:marRight w:val="0"/>
          <w:marTop w:val="0"/>
          <w:marBottom w:val="0"/>
          <w:divBdr>
            <w:top w:val="none" w:sz="0" w:space="0" w:color="auto"/>
            <w:left w:val="none" w:sz="0" w:space="0" w:color="auto"/>
            <w:bottom w:val="none" w:sz="0" w:space="0" w:color="auto"/>
            <w:right w:val="none" w:sz="0" w:space="0" w:color="auto"/>
          </w:divBdr>
          <w:divsChild>
            <w:div w:id="1752775476">
              <w:marLeft w:val="0"/>
              <w:marRight w:val="0"/>
              <w:marTop w:val="0"/>
              <w:marBottom w:val="0"/>
              <w:divBdr>
                <w:top w:val="none" w:sz="0" w:space="0" w:color="auto"/>
                <w:left w:val="none" w:sz="0" w:space="0" w:color="auto"/>
                <w:bottom w:val="none" w:sz="0" w:space="0" w:color="auto"/>
                <w:right w:val="none" w:sz="0" w:space="0" w:color="auto"/>
              </w:divBdr>
              <w:divsChild>
                <w:div w:id="124016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473227">
          <w:marLeft w:val="0"/>
          <w:marRight w:val="0"/>
          <w:marTop w:val="0"/>
          <w:marBottom w:val="0"/>
          <w:divBdr>
            <w:top w:val="none" w:sz="0" w:space="0" w:color="auto"/>
            <w:left w:val="none" w:sz="0" w:space="0" w:color="auto"/>
            <w:bottom w:val="none" w:sz="0" w:space="0" w:color="auto"/>
            <w:right w:val="none" w:sz="0" w:space="0" w:color="auto"/>
          </w:divBdr>
          <w:divsChild>
            <w:div w:id="1101070677">
              <w:marLeft w:val="0"/>
              <w:marRight w:val="0"/>
              <w:marTop w:val="0"/>
              <w:marBottom w:val="0"/>
              <w:divBdr>
                <w:top w:val="none" w:sz="0" w:space="0" w:color="auto"/>
                <w:left w:val="none" w:sz="0" w:space="0" w:color="auto"/>
                <w:bottom w:val="none" w:sz="0" w:space="0" w:color="auto"/>
                <w:right w:val="none" w:sz="0" w:space="0" w:color="auto"/>
              </w:divBdr>
              <w:divsChild>
                <w:div w:id="85885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111957">
      <w:bodyDiv w:val="1"/>
      <w:marLeft w:val="0"/>
      <w:marRight w:val="0"/>
      <w:marTop w:val="0"/>
      <w:marBottom w:val="0"/>
      <w:divBdr>
        <w:top w:val="none" w:sz="0" w:space="0" w:color="auto"/>
        <w:left w:val="none" w:sz="0" w:space="0" w:color="auto"/>
        <w:bottom w:val="none" w:sz="0" w:space="0" w:color="auto"/>
        <w:right w:val="none" w:sz="0" w:space="0" w:color="auto"/>
      </w:divBdr>
      <w:divsChild>
        <w:div w:id="676494577">
          <w:marLeft w:val="0"/>
          <w:marRight w:val="0"/>
          <w:marTop w:val="0"/>
          <w:marBottom w:val="0"/>
          <w:divBdr>
            <w:top w:val="none" w:sz="0" w:space="0" w:color="auto"/>
            <w:left w:val="none" w:sz="0" w:space="0" w:color="auto"/>
            <w:bottom w:val="none" w:sz="0" w:space="0" w:color="auto"/>
            <w:right w:val="none" w:sz="0" w:space="0" w:color="auto"/>
          </w:divBdr>
          <w:divsChild>
            <w:div w:id="1383752402">
              <w:marLeft w:val="0"/>
              <w:marRight w:val="0"/>
              <w:marTop w:val="0"/>
              <w:marBottom w:val="0"/>
              <w:divBdr>
                <w:top w:val="none" w:sz="0" w:space="0" w:color="auto"/>
                <w:left w:val="none" w:sz="0" w:space="0" w:color="auto"/>
                <w:bottom w:val="none" w:sz="0" w:space="0" w:color="auto"/>
                <w:right w:val="none" w:sz="0" w:space="0" w:color="auto"/>
              </w:divBdr>
              <w:divsChild>
                <w:div w:id="11345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www.mncee.org/energy-disclosure-impact-report-january-2020-through-june-2022" TargetMode="External"/><Relationship Id="rId42" Type="http://schemas.openxmlformats.org/officeDocument/2006/relationships/hyperlink" Target="https://metrocouncil.org/Transportation/Performance/Travel-Behavior-Inventory/2019.aspx" TargetMode="External"/><Relationship Id="rId47" Type="http://schemas.openxmlformats.org/officeDocument/2006/relationships/hyperlink" Target="https://blog.ucsusa.org/jimmy-odea/electric-vs-diesel-vs-natural-gas-which-bus-is-best-for-the-climate" TargetMode="External"/><Relationship Id="rId63" Type="http://schemas.openxmlformats.org/officeDocument/2006/relationships/hyperlink" Target="https://theicct.org/sites/default/files/publications/PHEV-white%20paper-sept2020-0.pdf" TargetMode="External"/><Relationship Id="rId68" Type="http://schemas.openxmlformats.org/officeDocument/2006/relationships/hyperlink" Target="https://doi.org/10.1016/j.apenergy.2019.03.174" TargetMode="External"/><Relationship Id="rId16" Type="http://schemas.openxmlformats.org/officeDocument/2006/relationships/image" Target="media/image4.png"/><Relationship Id="rId11" Type="http://schemas.openxmlformats.org/officeDocument/2006/relationships/hyperlink" Target="https://mn.gov/deed/data/economic-analysis/compare/compare-metro/economy/gdp.jsp" TargetMode="External"/><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image" Target="media/image22.png"/><Relationship Id="rId53" Type="http://schemas.openxmlformats.org/officeDocument/2006/relationships/hyperlink" Target="https://doi.org/10.11436/mssj.15.250" TargetMode="External"/><Relationship Id="rId58" Type="http://schemas.openxmlformats.org/officeDocument/2006/relationships/hyperlink" Target="http://www.vtpi.org/elasticities.pdf" TargetMode="External"/><Relationship Id="rId66" Type="http://schemas.openxmlformats.org/officeDocument/2006/relationships/hyperlink" Target="https://doi.org/10.1016/j.tranpol.2006.05.005" TargetMode="External"/><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021/acs.est.0c02723" TargetMode="External"/><Relationship Id="rId19" Type="http://schemas.openxmlformats.org/officeDocument/2006/relationships/hyperlink" Target="https://www.usgbc.org/leed/rating-systems/residential" TargetMode="External"/><Relationship Id="rId14" Type="http://schemas.openxmlformats.org/officeDocument/2006/relationships/hyperlink" Target="https://www.hennepin.us/residents/property/property-information-search" TargetMode="External"/><Relationship Id="rId22" Type="http://schemas.openxmlformats.org/officeDocument/2006/relationships/hyperlink" Target="https://www2.minneapolismn.gov/business-services/licenses-permits-inspections/construction-permits-certificates/construction-code-rules-enforcement/incentives-rebates/" TargetMode="External"/><Relationship Id="rId27" Type="http://schemas.openxmlformats.org/officeDocument/2006/relationships/image" Target="media/image12.jpg"/><Relationship Id="rId30" Type="http://schemas.openxmlformats.org/officeDocument/2006/relationships/hyperlink" Target="https://metrocouncil.org/Transportation/Performance/Travel-Behavior-Inventory.aspx" TargetMode="External"/><Relationship Id="rId35" Type="http://schemas.openxmlformats.org/officeDocument/2006/relationships/image" Target="media/image16.png"/><Relationship Id="rId43" Type="http://schemas.openxmlformats.org/officeDocument/2006/relationships/hyperlink" Target="https://metrocouncil.org/Transportation/Performance/Travel-Forecasting.aspx" TargetMode="External"/><Relationship Id="rId48" Type="http://schemas.openxmlformats.org/officeDocument/2006/relationships/hyperlink" Target="https://doi.org/10.1016/j.trd.2020.102577" TargetMode="External"/><Relationship Id="rId56" Type="http://schemas.openxmlformats.org/officeDocument/2006/relationships/hyperlink" Target="http://cts-d8resmod-prd.oit.umn.edu:8080/pdf/cts-18-24-mndot-2018-35.pdf" TargetMode="External"/><Relationship Id="rId64" Type="http://schemas.openxmlformats.org/officeDocument/2006/relationships/hyperlink" Target="https://sites.bu.edu/cfb/carbon-free-boston-report-released/technical-reports/" TargetMode="External"/><Relationship Id="rId69" Type="http://schemas.openxmlformats.org/officeDocument/2006/relationships/hyperlink" Target="https://www.wri.org/research/wri-annual-report-2011-2012" TargetMode="External"/><Relationship Id="rId77" Type="http://schemas.openxmlformats.org/officeDocument/2006/relationships/header" Target="header3.xml"/><Relationship Id="rId8" Type="http://schemas.openxmlformats.org/officeDocument/2006/relationships/image" Target="media/image2.jpg"/><Relationship Id="rId51" Type="http://schemas.openxmlformats.org/officeDocument/2006/relationships/hyperlink" Target="https://doi.org/10.1128/AAC.03728-14" TargetMode="External"/><Relationship Id="rId72" Type="http://schemas.openxmlformats.org/officeDocument/2006/relationships/hyperlink" Target="https://doi.org/10.1016/j.trd.2020.102577"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o.minneapolismn.gov/" TargetMode="External"/><Relationship Id="rId17" Type="http://schemas.openxmlformats.org/officeDocument/2006/relationships/image" Target="media/image5.jpg"/><Relationship Id="rId25" Type="http://schemas.openxmlformats.org/officeDocument/2006/relationships/image" Target="media/image10.png"/><Relationship Id="rId33" Type="http://schemas.openxmlformats.org/officeDocument/2006/relationships/hyperlink" Target="https://go.minneapolismn.gov/" TargetMode="External"/><Relationship Id="rId38" Type="http://schemas.openxmlformats.org/officeDocument/2006/relationships/image" Target="media/image19.jpg"/><Relationship Id="rId46" Type="http://schemas.openxmlformats.org/officeDocument/2006/relationships/hyperlink" Target="https://doi.org/10.4271/2015-01-0973" TargetMode="External"/><Relationship Id="rId59" Type="http://schemas.openxmlformats.org/officeDocument/2006/relationships/hyperlink" Target="https://insideevs.com/features/377286/top-phevs-longest-electric-range/" TargetMode="External"/><Relationship Id="rId67" Type="http://schemas.openxmlformats.org/officeDocument/2006/relationships/hyperlink" Target="https://www.resourcepanel.org/reports/weight-cities" TargetMode="External"/><Relationship Id="rId20" Type="http://schemas.openxmlformats.org/officeDocument/2006/relationships/image" Target="media/image7.png"/><Relationship Id="rId41" Type="http://schemas.openxmlformats.org/officeDocument/2006/relationships/image" Target="media/image21.png"/><Relationship Id="rId54" Type="http://schemas.openxmlformats.org/officeDocument/2006/relationships/hyperlink" Target="https://www.fhwa.dot.gov/tpm/guidance/avo_factors.pdf" TargetMode="External"/><Relationship Id="rId62" Type="http://schemas.openxmlformats.org/officeDocument/2006/relationships/hyperlink" Target="https://blog.ucsusa.org/jimmy-odea/electric-vs-diesel-vs-natural-gas-which-bus-is-best-for-the-climate" TargetMode="External"/><Relationship Id="rId70" Type="http://schemas.openxmlformats.org/officeDocument/2006/relationships/hyperlink" Target="https://trimis.ec.europa.eu/sites/default/files/project/documents/trace.pdf"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zillow.com/research/ztrax/" TargetMode="External"/><Relationship Id="rId23" Type="http://schemas.openxmlformats.org/officeDocument/2006/relationships/image" Target="media/image8.png"/><Relationship Id="rId28" Type="http://schemas.openxmlformats.org/officeDocument/2006/relationships/hyperlink" Target="https://metrocouncil.org/Transportation/Performance/Travel-Forecasting.aspx" TargetMode="External"/><Relationship Id="rId36" Type="http://schemas.openxmlformats.org/officeDocument/2006/relationships/image" Target="media/image17.png"/><Relationship Id="rId49" Type="http://schemas.openxmlformats.org/officeDocument/2006/relationships/hyperlink" Target="https://doi.org/10.1016/j.retrec.2020.101003" TargetMode="External"/><Relationship Id="rId57" Type="http://schemas.openxmlformats.org/officeDocument/2006/relationships/hyperlink" Target="https://doi.org/10.1016/j.tra.2019.01.014" TargetMode="External"/><Relationship Id="rId10" Type="http://schemas.openxmlformats.org/officeDocument/2006/relationships/image" Target="media/image3.jpg"/><Relationship Id="rId31" Type="http://schemas.openxmlformats.org/officeDocument/2006/relationships/image" Target="media/image13.png"/><Relationship Id="rId44" Type="http://schemas.openxmlformats.org/officeDocument/2006/relationships/hyperlink" Target="https://www.eia.gov/outlooks/aeo" TargetMode="External"/><Relationship Id="rId52" Type="http://schemas.openxmlformats.org/officeDocument/2006/relationships/hyperlink" Target="https://doi.org/10.4271/2015-01-0973" TargetMode="External"/><Relationship Id="rId60" Type="http://schemas.openxmlformats.org/officeDocument/2006/relationships/hyperlink" Target="https://doi.org/10.1016/j.tranpol.2019.01.003" TargetMode="External"/><Relationship Id="rId65" Type="http://schemas.openxmlformats.org/officeDocument/2006/relationships/hyperlink" Target="https://doi.org/10.1596/33784" TargetMode="External"/><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leg.mn.gov/docs/2019/mandated/190330.pdf" TargetMode="External"/><Relationship Id="rId13" Type="http://schemas.openxmlformats.org/officeDocument/2006/relationships/hyperlink" Target="https://www.census.gov/programs-surveys/acs" TargetMode="External"/><Relationship Id="rId18" Type="http://schemas.openxmlformats.org/officeDocument/2006/relationships/image" Target="media/image6.png"/><Relationship Id="rId39" Type="http://schemas.openxmlformats.org/officeDocument/2006/relationships/hyperlink" Target="https://teem.ornl.gov/ma3t.shtml" TargetMode="External"/><Relationship Id="rId34" Type="http://schemas.openxmlformats.org/officeDocument/2006/relationships/image" Target="media/image15.png"/><Relationship Id="rId50" Type="http://schemas.openxmlformats.org/officeDocument/2006/relationships/hyperlink" Target="https://doi.org/10.1016/j.apenergy.2019.03.174" TargetMode="External"/><Relationship Id="rId55" Type="http://schemas.openxmlformats.org/officeDocument/2006/relationships/hyperlink" Target="https://doi.org/10.1016/j.retrec.2020.101003" TargetMode="External"/><Relationship Id="rId76" Type="http://schemas.openxmlformats.org/officeDocument/2006/relationships/footer" Target="footer2.xml"/><Relationship Id="rId7" Type="http://schemas.openxmlformats.org/officeDocument/2006/relationships/image" Target="media/image1.jpg"/><Relationship Id="rId71" Type="http://schemas.openxmlformats.org/officeDocument/2006/relationships/hyperlink" Target="https://www.xcelenergy.com/staticfiles/xe-responsive/Company/Rates%20&amp;%20Regulations/The-Resource-Plan-No-Appendices.pdf" TargetMode="External"/><Relationship Id="rId2" Type="http://schemas.openxmlformats.org/officeDocument/2006/relationships/styles" Target="styles.xml"/><Relationship Id="rId29" Type="http://schemas.openxmlformats.org/officeDocument/2006/relationships/hyperlink" Target="https://teem.ornl.gov/ma3t.s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mrets.org/" TargetMode="External"/></Relationships>
</file>

<file path=word/theme/theme1.xml><?xml version="1.0" encoding="utf-8"?>
<a:theme xmlns:a="http://schemas.openxmlformats.org/drawingml/2006/main" name="Council Colors">
  <a:themeElements>
    <a:clrScheme name="Custom 2">
      <a:dk1>
        <a:srgbClr val="002B5C"/>
      </a:dk1>
      <a:lt1>
        <a:srgbClr val="FFFFFF"/>
      </a:lt1>
      <a:dk2>
        <a:srgbClr val="002B5C"/>
      </a:dk2>
      <a:lt2>
        <a:srgbClr val="E1E1E1"/>
      </a:lt2>
      <a:accent1>
        <a:srgbClr val="005DAA"/>
      </a:accent1>
      <a:accent2>
        <a:srgbClr val="B5D5F0"/>
      </a:accent2>
      <a:accent3>
        <a:srgbClr val="009AC7"/>
      </a:accent3>
      <a:accent4>
        <a:srgbClr val="78A22F"/>
      </a:accent4>
      <a:accent5>
        <a:srgbClr val="EE3024"/>
      </a:accent5>
      <a:accent6>
        <a:srgbClr val="969696"/>
      </a:accent6>
      <a:hlink>
        <a:srgbClr val="0099C7"/>
      </a:hlink>
      <a:folHlink>
        <a:srgbClr val="2F91C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ouncil Colors" id="{A76FF0B2-E1FF-A440-9E36-2A1668F04708}" vid="{97CD62A1-1965-6D49-8416-96FC425AAF1E}"/>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14142</Words>
  <Characters>80614</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Document Title</vt:lpstr>
    </vt:vector>
  </TitlesOfParts>
  <Manager/>
  <Company>Metropolitan Council</Company>
  <LinksUpToDate>false</LinksUpToDate>
  <CharactersWithSpaces>94567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Greenhouse Gas Emissions Scenario Planning</dc:title>
  <dc:creator>Metropolitan Council</dc:creator>
  <cp:keywords/>
  <cp:lastModifiedBy>Esch, Ellen</cp:lastModifiedBy>
  <cp:revision>3</cp:revision>
  <dcterms:created xsi:type="dcterms:W3CDTF">2023-01-14T01:09:00Z</dcterms:created>
  <dcterms:modified xsi:type="dcterms:W3CDTF">2023-01-14T01:09:00Z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January 2023</vt:lpwstr>
  </property>
  <property fmtid="{D5CDD505-2E9C-101B-9397-08002B2CF9AE}" pid="4" name="mainfont">
    <vt:lpwstr>Helvetica</vt:lpwstr>
  </property>
  <property fmtid="{D5CDD505-2E9C-101B-9397-08002B2CF9AE}" pid="5" name="output">
    <vt:lpwstr/>
  </property>
  <property fmtid="{D5CDD505-2E9C-101B-9397-08002B2CF9AE}" pid="6" name="params">
    <vt:lpwstr/>
  </property>
  <property fmtid="{D5CDD505-2E9C-101B-9397-08002B2CF9AE}" pid="7" name="self_contained">
    <vt:lpwstr>True</vt:lpwstr>
  </property>
</Properties>
</file>