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Checklist de documentos e arquivos</w:t>
      </w:r>
    </w:p>
    <w:p>
      <w:r>
        <w:rPr>
          <w:i/>
          <w:sz w:val="20"/>
        </w:rPr>
        <w:t>Solicitação organizada por prioridade para a etapa de diagnóstico</w:t>
      </w:r>
    </w:p>
    <w:p>
      <w:r>
        <w:rPr>
          <w:color w:val="4B6789"/>
        </w:rPr>
        <w:t>MASTER 360°  •  Materiais de início da consultoria  •  Setembro de 2026</w:t>
      </w:r>
    </w:p>
    <w:p>
      <w:r>
        <w:t>Preencher/fornecer após a aprovação da proposta. As respostas integram a ETAPA 1 do trabalho; não são pré-requisito para contratação.</w:t>
      </w:r>
    </w:p>
    <w:p>
      <w:r>
        <w:t>Marque cada item quando estiver disponível. NÃO publique documentos pessoais, contratos, certidões, balanços ou credenciais em página aberta da internet. Compartilhe-os somente por canal privado acordado entre as partes.</w:t>
      </w:r>
    </w:p>
    <w:p>
      <w:pPr>
        <w:pStyle w:val="Heading1"/>
      </w:pPr>
      <w:r>
        <w:t>01 · Identificação e cadastro</w:t>
      </w:r>
    </w:p>
    <w:p>
      <w:pPr>
        <w:keepNext/>
      </w:pPr>
      <w:r>
        <w:rPr>
          <w:b/>
        </w:rPr>
        <w:t>☐  Cartão do CNPJ atualizado</w:t>
      </w:r>
    </w:p>
    <w:p>
      <w:pPr>
        <w:spacing w:after="120"/>
      </w:pPr>
      <w:r>
        <w:t xml:space="preserve">     Confirmar razão social, CNAEs, situação e endereço.</w:t>
      </w:r>
    </w:p>
    <w:p>
      <w:pPr>
        <w:keepNext/>
      </w:pPr>
      <w:r>
        <w:rPr>
          <w:b/>
        </w:rPr>
        <w:t>☐  Contrato social e última alteração/versão consolidada</w:t>
      </w:r>
    </w:p>
    <w:p>
      <w:pPr>
        <w:spacing w:after="120"/>
      </w:pPr>
      <w:r>
        <w:t xml:space="preserve">     Analisar objeto social, sócios e representação.</w:t>
      </w:r>
    </w:p>
    <w:p>
      <w:pPr>
        <w:keepNext/>
      </w:pPr>
      <w:r>
        <w:rPr>
          <w:b/>
        </w:rPr>
        <w:t>☐  Inscrição municipal e alvarás, se aplicáveis</w:t>
      </w:r>
    </w:p>
    <w:p>
      <w:pPr>
        <w:spacing w:after="120"/>
      </w:pPr>
      <w:r>
        <w:t xml:space="preserve">     Verificar cadastro e licenciamento.</w:t>
      </w:r>
    </w:p>
    <w:p>
      <w:pPr>
        <w:keepNext/>
      </w:pPr>
      <w:r>
        <w:rPr>
          <w:b/>
        </w:rPr>
        <w:t>☐  Contato do contador e enquadramento tributário</w:t>
      </w:r>
    </w:p>
    <w:p>
      <w:pPr>
        <w:spacing w:after="120"/>
      </w:pPr>
      <w:r>
        <w:t xml:space="preserve">     Solicitar apoio para pontos fiscais e financeiros.</w:t>
      </w:r>
    </w:p>
    <w:p>
      <w:pPr>
        <w:pStyle w:val="Heading1"/>
      </w:pPr>
      <w:r>
        <w:t>02 · Regularidade e qualificação</w:t>
      </w:r>
    </w:p>
    <w:p>
      <w:pPr>
        <w:keepNext/>
      </w:pPr>
      <w:r>
        <w:rPr>
          <w:b/>
        </w:rPr>
        <w:t>☐  Certidões federal, estadual, municipal, FGTS e trabalhista, se disponíveis</w:t>
      </w:r>
    </w:p>
    <w:p>
      <w:pPr>
        <w:spacing w:after="120"/>
      </w:pPr>
      <w:r>
        <w:t xml:space="preserve">     Organizar controle de validade sem pressupor regularidade.</w:t>
      </w:r>
    </w:p>
    <w:p>
      <w:pPr>
        <w:keepNext/>
      </w:pPr>
      <w:r>
        <w:rPr>
          <w:b/>
        </w:rPr>
        <w:t>☐  Balanço e demonstrações contábeis, quando disponíveis</w:t>
      </w:r>
    </w:p>
    <w:p>
      <w:pPr>
        <w:spacing w:after="120"/>
      </w:pPr>
      <w:r>
        <w:t xml:space="preserve">     Apoiar avaliação econômico-financeira e exigências editalícias.</w:t>
      </w:r>
    </w:p>
    <w:p>
      <w:pPr>
        <w:keepNext/>
      </w:pPr>
      <w:r>
        <w:rPr>
          <w:b/>
        </w:rPr>
        <w:t>☐  Comprovantes/credenciais de cadastros de fornecedores já existentes</w:t>
      </w:r>
    </w:p>
    <w:p>
      <w:pPr>
        <w:spacing w:after="120"/>
      </w:pPr>
      <w:r>
        <w:t xml:space="preserve">     Verificar SICAF, SIADES e plataformas usadas, sem enviar senhas.</w:t>
      </w:r>
    </w:p>
    <w:p>
      <w:pPr>
        <w:keepNext/>
      </w:pPr>
      <w:r>
        <w:rPr>
          <w:b/>
        </w:rPr>
        <w:t>☐  Informação sobre impedimentos, sanções e contratos públicos anteriores</w:t>
      </w:r>
    </w:p>
    <w:p>
      <w:pPr>
        <w:spacing w:after="120"/>
      </w:pPr>
      <w:r>
        <w:t xml:space="preserve">     Avaliar pendências e experiência.</w:t>
      </w:r>
    </w:p>
    <w:p>
      <w:pPr>
        <w:pStyle w:val="Heading1"/>
      </w:pPr>
      <w:r>
        <w:t>03 · Engenharia e segurança</w:t>
      </w:r>
    </w:p>
    <w:p>
      <w:pPr>
        <w:keepNext/>
      </w:pPr>
      <w:r>
        <w:rPr>
          <w:b/>
        </w:rPr>
        <w:t>☐  Comprovante de registro da empresa no conselho profissional, se existente</w:t>
      </w:r>
    </w:p>
    <w:p>
      <w:pPr>
        <w:spacing w:after="120"/>
      </w:pPr>
      <w:r>
        <w:t xml:space="preserve">     Avaliar exigências aplicáveis ao objeto.</w:t>
      </w:r>
    </w:p>
    <w:p>
      <w:pPr>
        <w:keepNext/>
      </w:pPr>
      <w:r>
        <w:rPr>
          <w:b/>
        </w:rPr>
        <w:t>☐  Dados profissionais e contrato do engenheiro que atende à empresa</w:t>
      </w:r>
    </w:p>
    <w:p>
      <w:pPr>
        <w:spacing w:after="120"/>
      </w:pPr>
      <w:r>
        <w:t xml:space="preserve">     Verificar natureza do vínculo e atribuições.</w:t>
      </w:r>
    </w:p>
    <w:p>
      <w:pPr>
        <w:keepNext/>
      </w:pPr>
      <w:r>
        <w:rPr>
          <w:b/>
        </w:rPr>
        <w:t>☐  ARTs/RRTs, projetos, memoriais e laudos de obras concluídas, se existentes</w:t>
      </w:r>
    </w:p>
    <w:p>
      <w:pPr>
        <w:spacing w:after="120"/>
      </w:pPr>
      <w:r>
        <w:t xml:space="preserve">     Organizar o acervo documental.</w:t>
      </w:r>
    </w:p>
    <w:p>
      <w:pPr>
        <w:keepNext/>
      </w:pPr>
      <w:r>
        <w:rPr>
          <w:b/>
        </w:rPr>
        <w:t>☐  Atestados de capacidade técnica de clientes, se existentes</w:t>
      </w:r>
    </w:p>
    <w:p>
      <w:pPr>
        <w:spacing w:after="120"/>
      </w:pPr>
      <w:r>
        <w:t xml:space="preserve">     Identificar experiência comprovável.</w:t>
      </w:r>
    </w:p>
    <w:p>
      <w:pPr>
        <w:keepNext/>
      </w:pPr>
      <w:r>
        <w:rPr>
          <w:b/>
        </w:rPr>
        <w:t>☐  Documentação de treinamentos, segurança e equipamentos aplicáveis</w:t>
      </w:r>
    </w:p>
    <w:p>
      <w:pPr>
        <w:spacing w:after="120"/>
      </w:pPr>
      <w:r>
        <w:t xml:space="preserve">     Levantar necessidades de adequação.</w:t>
      </w:r>
    </w:p>
    <w:p>
      <w:pPr>
        <w:pStyle w:val="Heading1"/>
      </w:pPr>
      <w:r>
        <w:t>04 · Portfólio e operação</w:t>
      </w:r>
    </w:p>
    <w:p>
      <w:pPr>
        <w:keepNext/>
      </w:pPr>
      <w:r>
        <w:rPr>
          <w:b/>
        </w:rPr>
        <w:t>☐  Fotos e vídeos originais de obras com autorização de uso</w:t>
      </w:r>
    </w:p>
    <w:p>
      <w:pPr>
        <w:spacing w:after="120"/>
      </w:pPr>
      <w:r>
        <w:t xml:space="preserve">     Separar antes, durante e depois e identificar o serviço.</w:t>
      </w:r>
    </w:p>
    <w:p>
      <w:pPr>
        <w:keepNext/>
      </w:pPr>
      <w:r>
        <w:rPr>
          <w:b/>
        </w:rPr>
        <w:t>☐  Relação de contratos, notas e dados básicos das principais obras</w:t>
      </w:r>
    </w:p>
    <w:p>
      <w:pPr>
        <w:spacing w:after="120"/>
      </w:pPr>
      <w:r>
        <w:t xml:space="preserve">     Listar local, data, escopo, área e contratante.</w:t>
      </w:r>
    </w:p>
    <w:p>
      <w:pPr>
        <w:keepNext/>
      </w:pPr>
      <w:r>
        <w:rPr>
          <w:b/>
        </w:rPr>
        <w:t>☐  Inventário de equipamentos, veículos, equipe e fornecedores</w:t>
      </w:r>
    </w:p>
    <w:p>
      <w:pPr>
        <w:spacing w:after="120"/>
      </w:pPr>
      <w:r>
        <w:t xml:space="preserve">     Dimensionar contratos viáveis.</w:t>
      </w:r>
    </w:p>
    <w:p>
      <w:pPr>
        <w:keepNext/>
      </w:pPr>
      <w:r>
        <w:rPr>
          <w:b/>
        </w:rPr>
        <w:t>☐  Modelos atuais de orçamento e proposta comercial</w:t>
      </w:r>
    </w:p>
    <w:p>
      <w:pPr>
        <w:spacing w:after="120"/>
      </w:pPr>
      <w:r>
        <w:t xml:space="preserve">     Criar processo e scripts de atendimento.</w:t>
      </w:r>
    </w:p>
    <w:p>
      <w:pPr>
        <w:pStyle w:val="Heading1"/>
      </w:pPr>
      <w:r>
        <w:t>05 · Identidade e presença digital</w:t>
      </w:r>
    </w:p>
    <w:p>
      <w:pPr>
        <w:keepNext/>
      </w:pPr>
      <w:r>
        <w:rPr>
          <w:b/>
        </w:rPr>
        <w:t>☐  Logo em arquivo e manual de marca, caso existam</w:t>
      </w:r>
    </w:p>
    <w:p>
      <w:pPr>
        <w:spacing w:after="120"/>
      </w:pPr>
      <w:r>
        <w:t xml:space="preserve">     Definir identidade visual consistente.</w:t>
      </w:r>
    </w:p>
    <w:p>
      <w:pPr>
        <w:keepNext/>
      </w:pPr>
      <w:r>
        <w:rPr>
          <w:b/>
        </w:rPr>
        <w:t>☐  Links e acessos administrativos a domínio, site e redes já existentes</w:t>
      </w:r>
    </w:p>
    <w:p>
      <w:pPr>
        <w:spacing w:after="120"/>
      </w:pPr>
      <w:r>
        <w:t xml:space="preserve">     Planejar implantação, sem compartilhar senha em documento.</w:t>
      </w:r>
    </w:p>
    <w:p>
      <w:pPr>
        <w:keepNext/>
      </w:pPr>
      <w:r>
        <w:rPr>
          <w:b/>
        </w:rPr>
        <w:t>☐  Telefone/WhatsApp, e-mail comercial e cidades de atendimento</w:t>
      </w:r>
    </w:p>
    <w:p>
      <w:pPr>
        <w:spacing w:after="120"/>
      </w:pPr>
      <w:r>
        <w:t xml:space="preserve">     Configurar canais de captação.</w:t>
      </w:r>
    </w:p>
    <w:p>
      <w:pPr>
        <w:keepNext/>
      </w:pPr>
      <w:r>
        <w:rPr>
          <w:b/>
        </w:rPr>
        <w:t>☐  Orçamento autorizado para anúncios e custos digitais</w:t>
      </w:r>
    </w:p>
    <w:p>
      <w:pPr>
        <w:spacing w:after="120"/>
      </w:pPr>
      <w:r>
        <w:t xml:space="preserve">     Distinguir honorários de verba de mídia e terceiros.</w:t>
      </w:r>
    </w:p>
    <w:p>
      <w:pPr>
        <w:pStyle w:val="Heading1"/>
      </w:pPr>
      <w:r>
        <w:t>Entrega e proteção de dados</w:t>
      </w:r>
    </w:p>
    <w:p>
      <w:r>
        <w:t>O consultor orientará o envio após o início do projeto e manterá controle de documentos recebidos, faltantes e vencimentos. O empresário deverá autorizar quaisquer inscrições, propostas e despesas antes da execução.</w:t>
      </w:r>
    </w:p>
    <w:sectPr w:rsidR="00FC693F" w:rsidRPr="0006063C" w:rsidSect="00034616">
      <w:footerReference w:type="default" r:id="rId9"/>
      <w:pgSz w:w="12240" w:h="15840"/>
      <w:pgMar w:top="1037" w:right="1152" w:bottom="893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47791"/>
        <w:sz w:val="14"/>
      </w:rPr>
      <w:t>MASTER 360°  |  Uso reservado ao empresário e ao consultor  |  Dados e documentos devem ser enviados por canal privado.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93649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2A5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2A52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0F2A52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