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0A599" w14:textId="77777777" w:rsidR="00811B17" w:rsidRDefault="00000000">
      <w:pPr>
        <w:spacing w:after="80"/>
      </w:pPr>
      <w:r>
        <w:rPr>
          <w:b/>
          <w:bCs/>
          <w:sz w:val="40"/>
          <w:szCs w:val="40"/>
        </w:rPr>
        <w:t>Temporal Graph Foundation Model</w:t>
      </w:r>
    </w:p>
    <w:p w14:paraId="680DCA2E" w14:textId="77777777" w:rsidR="00811B17" w:rsidRDefault="00000000">
      <w:pPr>
        <w:spacing w:after="40"/>
      </w:pPr>
      <w:r>
        <w:rPr>
          <w:i/>
          <w:iCs/>
          <w:color w:val="555555"/>
          <w:sz w:val="24"/>
          <w:szCs w:val="24"/>
        </w:rPr>
        <w:t>Project Plan — Cross-domain pretraining on art, prediction markets, and energy</w:t>
      </w:r>
    </w:p>
    <w:p w14:paraId="741225B8" w14:textId="77777777" w:rsidR="00811B17" w:rsidRDefault="00000000">
      <w:pPr>
        <w:spacing w:after="320"/>
      </w:pPr>
      <w:r>
        <w:rPr>
          <w:color w:val="888888"/>
          <w:sz w:val="20"/>
          <w:szCs w:val="20"/>
        </w:rPr>
        <w:t>Bloomsbury Technology · April 2026</w:t>
      </w:r>
    </w:p>
    <w:p w14:paraId="773DE9F8" w14:textId="77777777" w:rsidR="00811B17" w:rsidRDefault="00000000">
      <w:pPr>
        <w:pStyle w:val="Heading1"/>
      </w:pPr>
      <w:r>
        <w:t>Summary</w:t>
      </w:r>
    </w:p>
    <w:p w14:paraId="75FCF308" w14:textId="0797C652" w:rsidR="00811B17" w:rsidRDefault="00000000" w:rsidP="0023271D">
      <w:pPr>
        <w:spacing w:after="120"/>
      </w:pPr>
      <w:r>
        <w:t xml:space="preserve">Bloomsbury Technology holds roughly $100K in unspent compute credits from a partner, fifteen interns available over the summer, and three proprietary temporal graph datasets — art market auctions (893K lots), </w:t>
      </w:r>
      <w:proofErr w:type="spellStart"/>
      <w:r>
        <w:t>Polymarket</w:t>
      </w:r>
      <w:proofErr w:type="spellEnd"/>
      <w:r>
        <w:t xml:space="preserve"> prediction markets (11K resolved markets, 14.8M trades), and partner-supplied energy trading data. This plan proposes spending those resources to pretrain a temporal heterogeneous Bayesian graph foundation model on the merged dataset, with Arina's BTHGNN architecture as the starting point and domain-specific fine-tuned heads as the downstream deliverables.</w:t>
      </w:r>
    </w:p>
    <w:p w14:paraId="0404662E" w14:textId="77777777" w:rsidR="00811B17" w:rsidRDefault="00000000">
      <w:pPr>
        <w:pStyle w:val="Heading1"/>
      </w:pPr>
      <w:r>
        <w:t>Why this project, why now</w:t>
      </w:r>
    </w:p>
    <w:p w14:paraId="37D0B852" w14:textId="77777777" w:rsidR="00811B17" w:rsidRDefault="00000000">
      <w:pPr>
        <w:pStyle w:val="Heading2"/>
      </w:pPr>
      <w:r>
        <w:t>What's on the table</w:t>
      </w:r>
    </w:p>
    <w:p w14:paraId="5D3BF1D0" w14:textId="77777777" w:rsidR="00811B17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Compute. </w:t>
      </w:r>
      <w:r>
        <w:t xml:space="preserve">~$100K in partner credits that currently have no allocated use. Pretraining a graph foundation model is one of the few research activities that </w:t>
      </w:r>
      <w:proofErr w:type="gramStart"/>
      <w:r>
        <w:t>actually consumes</w:t>
      </w:r>
      <w:proofErr w:type="gramEnd"/>
      <w:r>
        <w:t xml:space="preserve"> that scale of compute productively.</w:t>
      </w:r>
    </w:p>
    <w:p w14:paraId="5FB8921A" w14:textId="77777777" w:rsidR="00811B17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Data. </w:t>
      </w:r>
      <w:r>
        <w:t>Three heterogeneous temporal graph datasets that almost no other academic group has. Most GFM work trains on OGB or Wikipedia-derived graphs; we have real-world transactional data with resolved ground truth.</w:t>
      </w:r>
    </w:p>
    <w:p w14:paraId="46C9CB9B" w14:textId="77777777" w:rsidR="00811B17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People. </w:t>
      </w:r>
      <w:r>
        <w:t>Fifteen interns arriving over the summer, plus Arina already working on the temporal Bayesian GNN architecture that this project is built around.</w:t>
      </w:r>
    </w:p>
    <w:p w14:paraId="4694E32F" w14:textId="77777777" w:rsidR="00811B17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Temporal edge. </w:t>
      </w:r>
      <w:r>
        <w:t>Most graph foundation models published so far treat graphs as static snapshots. Temporal structure is where the real signal lives in all three of our domains — and it's where the GFM literature is thinnest. This is a publishable contribution on its own, not just an engineering detail.</w:t>
      </w:r>
    </w:p>
    <w:p w14:paraId="58DC4ECD" w14:textId="77777777" w:rsidR="00811B17" w:rsidRDefault="00000000">
      <w:pPr>
        <w:pStyle w:val="Heading2"/>
      </w:pPr>
      <w:r>
        <w:t>Why it's worth doing over the alternatives</w:t>
      </w:r>
    </w:p>
    <w:p w14:paraId="16C7E851" w14:textId="77777777" w:rsidR="00811B17" w:rsidRDefault="00000000">
      <w:pPr>
        <w:spacing w:after="120"/>
      </w:pPr>
      <w:r>
        <w:t xml:space="preserve">The alternative uses for the compute are (a) let it expire unused, (b) run bigger versions of existing experiments, or (c) train domain-specific models that don't transfer. None of these produce a research artifact with the same leverage. A foundation model becomes the substrate for future BT research across every domain where we hold graph data — and it seeds the kind of methodological reputation that drives both </w:t>
      </w:r>
      <w:proofErr w:type="spellStart"/>
      <w:r>
        <w:t>NeurIPS</w:t>
      </w:r>
      <w:proofErr w:type="spellEnd"/>
      <w:r>
        <w:t xml:space="preserve"> acceptances and commercial conversations.</w:t>
      </w:r>
    </w:p>
    <w:p w14:paraId="0E2816BD" w14:textId="77777777" w:rsidR="00811B17" w:rsidRDefault="00000000">
      <w:pPr>
        <w:pStyle w:val="Heading1"/>
      </w:pPr>
      <w:r>
        <w:t>Architecture</w:t>
      </w:r>
    </w:p>
    <w:p w14:paraId="32FD03B0" w14:textId="77777777" w:rsidR="00811B17" w:rsidRDefault="00000000">
      <w:pPr>
        <w:pStyle w:val="Heading2"/>
      </w:pPr>
      <w:r>
        <w:t>Base model: temporal heterogeneous Bayesian GNN</w:t>
      </w:r>
    </w:p>
    <w:p w14:paraId="2F83452A" w14:textId="77777777" w:rsidR="00811B17" w:rsidRDefault="00000000">
      <w:pPr>
        <w:spacing w:after="120"/>
      </w:pPr>
      <w:r>
        <w:t>The starting point is Arina's BTHGNN architecture, extended to handle cross-domain pretraining. The four design commitments:</w:t>
      </w:r>
    </w:p>
    <w:p w14:paraId="5A012802" w14:textId="77777777" w:rsidR="00811B17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lastRenderedPageBreak/>
        <w:t xml:space="preserve">Heterogeneous. </w:t>
      </w:r>
      <w:r>
        <w:t>Explicit modelling of node types (artist, work, gallery, trader, market, generator, substation) and edge types (sale, trade, dispatch, provenance). Domain-specific embeddings project into a shared latent space for cross-domain learning.</w:t>
      </w:r>
    </w:p>
    <w:p w14:paraId="7968C710" w14:textId="77777777" w:rsidR="00811B17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Temporal. </w:t>
      </w:r>
      <w:r>
        <w:t>Time-aware message passing, either via temporal graph transformers (Rossi et al. TGN lineage) or via recurrent updates on node states. Nodes and edges have activation windows; the model sees the graph as it was at time t, not the final static version.</w:t>
      </w:r>
    </w:p>
    <w:p w14:paraId="43A9B80F" w14:textId="77777777" w:rsidR="00811B17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Bayesian. </w:t>
      </w:r>
      <w:r>
        <w:t xml:space="preserve">Posterior distributions over embeddings, not point estimates. This is what gives us calibrated uncertainty for downstream forecasting tasks and directly addresses the </w:t>
      </w:r>
      <w:proofErr w:type="spellStart"/>
      <w:r>
        <w:t>Foong</w:t>
      </w:r>
      <w:proofErr w:type="spellEnd"/>
      <w:r>
        <w:t>/</w:t>
      </w:r>
      <w:proofErr w:type="spellStart"/>
      <w:r>
        <w:t>Folgoc</w:t>
      </w:r>
      <w:proofErr w:type="spellEnd"/>
      <w:r>
        <w:t xml:space="preserve"> critique of MC dropout (which Arina needs to handle anyway for BTHGNN).</w:t>
      </w:r>
    </w:p>
    <w:p w14:paraId="6106EC0B" w14:textId="77777777" w:rsidR="00811B17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Foundation-model scale. </w:t>
      </w:r>
      <w:r>
        <w:t>Enough capacity to benefit from the compute budget — probably on the order of 100M–500M parameters, depending on whether we're compute-bound or data-bound. Exact size locked in Phase 0.</w:t>
      </w:r>
    </w:p>
    <w:p w14:paraId="619A3E9B" w14:textId="77777777" w:rsidR="00811B17" w:rsidRDefault="00000000">
      <w:pPr>
        <w:pStyle w:val="Heading2"/>
      </w:pPr>
      <w:r>
        <w:t>Training objectives</w:t>
      </w:r>
    </w:p>
    <w:p w14:paraId="7560ADA0" w14:textId="77777777" w:rsidR="00811B17" w:rsidRDefault="00000000">
      <w:pPr>
        <w:spacing w:after="120"/>
      </w:pPr>
      <w:r>
        <w:t>Pretraining loss is a weighted sum of four self-supervised objectives, with weights tuned per phase:</w:t>
      </w:r>
    </w:p>
    <w:p w14:paraId="18F1D3DB" w14:textId="77777777" w:rsidR="00811B17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Masked node attribute prediction. </w:t>
      </w:r>
      <w:r>
        <w:t xml:space="preserve">Mask out node features, predict from </w:t>
      </w:r>
      <w:proofErr w:type="spellStart"/>
      <w:r>
        <w:t>neighbourhood</w:t>
      </w:r>
      <w:proofErr w:type="spellEnd"/>
      <w:r>
        <w:t>. Teaches the model to use graph structure for node understanding.</w:t>
      </w:r>
    </w:p>
    <w:p w14:paraId="10592E49" w14:textId="77777777" w:rsidR="00811B17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Temporal link prediction. </w:t>
      </w:r>
      <w:r>
        <w:t>Given the graph up to time t, predict which edges appear at time t+1. Teaches temporal dynamics.</w:t>
      </w:r>
    </w:p>
    <w:p w14:paraId="48516310" w14:textId="77777777" w:rsidR="00811B17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Subgraph contrastive learning. </w:t>
      </w:r>
      <w:r>
        <w:t>Positive pairs are temporally adjacent subgraphs from the same domain; negatives are random subgraphs. Learns domain structure.</w:t>
      </w:r>
    </w:p>
    <w:p w14:paraId="75522DA8" w14:textId="77777777" w:rsidR="00811B17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Cross-domain contrastive alignment. </w:t>
      </w:r>
      <w:r>
        <w:t xml:space="preserve">Positive pairs are structurally analogous subgraphs across domains (a trader-market bipartite cluster vs an artist-gallery cluster); negatives are within-domain. This is the objective that </w:t>
      </w:r>
      <w:proofErr w:type="gramStart"/>
      <w:r>
        <w:t>actually forces</w:t>
      </w:r>
      <w:proofErr w:type="gramEnd"/>
      <w:r>
        <w:t xml:space="preserve"> cross-domain transfer and is the main scientific question of the project.</w:t>
      </w:r>
    </w:p>
    <w:p w14:paraId="6CAE85DB" w14:textId="77777777" w:rsidR="00811B17" w:rsidRDefault="00000000">
      <w:pPr>
        <w:pStyle w:val="Heading1"/>
      </w:pPr>
      <w:r>
        <w:t>Data</w:t>
      </w:r>
    </w:p>
    <w:p w14:paraId="7E521E1D" w14:textId="77777777" w:rsidR="00811B17" w:rsidRDefault="00000000">
      <w:pPr>
        <w:spacing w:after="120"/>
      </w:pPr>
      <w:r>
        <w:t>Three domains, each needing different amounts of work to reach training-ready state: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87"/>
        <w:gridCol w:w="3205"/>
        <w:gridCol w:w="2346"/>
        <w:gridCol w:w="2122"/>
      </w:tblGrid>
      <w:tr w:rsidR="00811B17" w14:paraId="45A04AE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A2C9B" w14:textId="77777777" w:rsidR="00811B17" w:rsidRDefault="00000000">
            <w:r>
              <w:rPr>
                <w:b/>
                <w:bCs/>
              </w:rPr>
              <w:t>Domain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E09B4" w14:textId="77777777" w:rsidR="00811B17" w:rsidRDefault="00000000">
            <w:r>
              <w:rPr>
                <w:b/>
                <w:bCs/>
              </w:rPr>
              <w:t>Have now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71E99" w14:textId="77777777" w:rsidR="00811B17" w:rsidRDefault="00000000">
            <w:r>
              <w:rPr>
                <w:b/>
                <w:bCs/>
              </w:rPr>
              <w:t>Need to gather</w:t>
            </w:r>
          </w:p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DB61D" w14:textId="77777777" w:rsidR="00811B17" w:rsidRDefault="00000000">
            <w:r>
              <w:rPr>
                <w:b/>
                <w:bCs/>
              </w:rPr>
              <w:t>Effort</w:t>
            </w:r>
          </w:p>
        </w:tc>
      </w:tr>
      <w:tr w:rsidR="00811B17" w14:paraId="69E3C9B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66DFD" w14:textId="77777777" w:rsidR="00811B17" w:rsidRDefault="00000000">
            <w:r>
              <w:rPr>
                <w:b/>
                <w:bCs/>
              </w:rPr>
              <w:t>Art market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6563B" w14:textId="77777777" w:rsidR="00811B17" w:rsidRDefault="00000000">
            <w:r>
              <w:t xml:space="preserve">893K lots across 3 houses; artist/medium/price/provenance in </w:t>
            </w:r>
            <w:proofErr w:type="spellStart"/>
            <w:r>
              <w:t>ClickHouse</w:t>
            </w:r>
            <w:proofErr w:type="spellEnd"/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6EEAC" w14:textId="77777777" w:rsidR="00811B17" w:rsidRDefault="00000000">
            <w:r>
              <w:t>Artist metadata timelines, gallery histories, exhibition graphs, dealer–collector edges</w:t>
            </w:r>
          </w:p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F2323" w14:textId="77777777" w:rsidR="00811B17" w:rsidRDefault="00000000">
            <w:r>
              <w:t>High: 4–5 interns, 3–4 weeks scraping + curation</w:t>
            </w:r>
          </w:p>
        </w:tc>
      </w:tr>
      <w:tr w:rsidR="00811B17" w14:paraId="430B00C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E1658" w14:textId="77777777" w:rsidR="00811B17" w:rsidRDefault="00000000">
            <w:proofErr w:type="spellStart"/>
            <w:r>
              <w:rPr>
                <w:b/>
                <w:bCs/>
              </w:rPr>
              <w:t>Polymarket</w:t>
            </w:r>
            <w:proofErr w:type="spellEnd"/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C15E5" w14:textId="77777777" w:rsidR="00811B17" w:rsidRDefault="00000000">
            <w:r>
              <w:t xml:space="preserve">11K resolved markets, 14.8M trades, full order books; wallet &amp; trade graphs </w:t>
            </w:r>
            <w:proofErr w:type="spellStart"/>
            <w:r>
              <w:t>reconstructable</w:t>
            </w:r>
            <w:proofErr w:type="spellEnd"/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0C98F" w14:textId="77777777" w:rsidR="00811B17" w:rsidRDefault="00000000">
            <w:r>
              <w:t>Trader clustering, cross-market portfolios, temporal snapshots beyond the current 6-day window</w:t>
            </w:r>
          </w:p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144D9" w14:textId="77777777" w:rsidR="00811B17" w:rsidRDefault="00000000">
            <w:r>
              <w:t>Medium: 2–3 interns; mostly SQL and feature engineering</w:t>
            </w:r>
          </w:p>
        </w:tc>
      </w:tr>
      <w:tr w:rsidR="00811B17" w14:paraId="55C4F77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92111" w14:textId="77777777" w:rsidR="00811B17" w:rsidRDefault="00000000">
            <w:r>
              <w:rPr>
                <w:b/>
                <w:bCs/>
              </w:rPr>
              <w:lastRenderedPageBreak/>
              <w:t>Energy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6560C" w14:textId="77777777" w:rsidR="00811B17" w:rsidRDefault="00000000">
            <w:r>
              <w:t>Trading data from partner (scope TBD)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01880" w14:textId="77777777" w:rsidR="00811B17" w:rsidRDefault="00000000">
            <w:r>
              <w:t>Confirm whether data includes dispatch/load pairings or only prices; grid topology; temporal resolution</w:t>
            </w:r>
          </w:p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8B001" w14:textId="77777777" w:rsidR="00811B17" w:rsidRDefault="00000000">
            <w:r>
              <w:t>Unknown until partner data is audited</w:t>
            </w:r>
          </w:p>
        </w:tc>
      </w:tr>
    </w:tbl>
    <w:p w14:paraId="0056A006" w14:textId="77777777" w:rsidR="00811B17" w:rsidRDefault="00811B17">
      <w:pPr>
        <w:spacing w:after="120"/>
      </w:pPr>
    </w:p>
    <w:p w14:paraId="1645A919" w14:textId="77777777" w:rsidR="00811B17" w:rsidRDefault="00000000">
      <w:pPr>
        <w:spacing w:after="120"/>
      </w:pPr>
      <w:r>
        <w:rPr>
          <w:b/>
          <w:bCs/>
        </w:rPr>
        <w:t xml:space="preserve">Unified schema. </w:t>
      </w:r>
      <w:r>
        <w:t xml:space="preserve">All three domains are </w:t>
      </w:r>
      <w:proofErr w:type="spellStart"/>
      <w:r>
        <w:t>normalised</w:t>
      </w:r>
      <w:proofErr w:type="spellEnd"/>
      <w:r>
        <w:t xml:space="preserve"> to a common temporal graph format: typed nodes with attribute vectors, typed edges with timestamps and validity windows, domain tag as a node attribute. The ingest pipeline is the single largest engineering task in Phase 1 and is the natural place to put interns with SQL and data engineering skills.</w:t>
      </w:r>
    </w:p>
    <w:p w14:paraId="0974F04A" w14:textId="77777777" w:rsidR="00811B17" w:rsidRDefault="00000000">
      <w:pPr>
        <w:spacing w:after="120"/>
      </w:pPr>
      <w:r>
        <w:rPr>
          <w:b/>
          <w:bCs/>
        </w:rPr>
        <w:t xml:space="preserve">Temporal alignment. </w:t>
      </w:r>
      <w:r>
        <w:t xml:space="preserve">Art trades are sparse (irregular sale dates), </w:t>
      </w:r>
      <w:proofErr w:type="spellStart"/>
      <w:r>
        <w:t>Polymarket</w:t>
      </w:r>
      <w:proofErr w:type="spellEnd"/>
      <w:r>
        <w:t xml:space="preserve"> is dense (every trade timestamped to the second), energy is regular (hourly or sub-hourly). The schema stores raw </w:t>
      </w:r>
      <w:proofErr w:type="gramStart"/>
      <w:r>
        <w:t>timestamps;</w:t>
      </w:r>
      <w:proofErr w:type="gramEnd"/>
      <w:r>
        <w:t xml:space="preserve"> the training pipeline resamples to a common cadence per task, with careful forward-fill rules for sparse domains documented up front so we don't lose signal by over-smoothing.</w:t>
      </w:r>
    </w:p>
    <w:p w14:paraId="6632FE4F" w14:textId="77777777" w:rsidR="00811B17" w:rsidRDefault="00000000">
      <w:pPr>
        <w:pStyle w:val="Heading1"/>
      </w:pPr>
      <w:r>
        <w:t>Team and resourcing</w:t>
      </w:r>
    </w:p>
    <w:p w14:paraId="4D530E45" w14:textId="77777777" w:rsidR="00811B17" w:rsidRDefault="00000000">
      <w:pPr>
        <w:pStyle w:val="Heading2"/>
      </w:pPr>
      <w:r>
        <w:t>Leads</w:t>
      </w:r>
    </w:p>
    <w:p w14:paraId="06575CDD" w14:textId="77777777" w:rsidR="00811B17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Arina </w:t>
      </w:r>
      <w:proofErr w:type="spellStart"/>
      <w:r>
        <w:rPr>
          <w:b/>
          <w:bCs/>
        </w:rPr>
        <w:t>Redina</w:t>
      </w:r>
      <w:proofErr w:type="spellEnd"/>
      <w:r>
        <w:rPr>
          <w:b/>
          <w:bCs/>
        </w:rPr>
        <w:t xml:space="preserve"> — technical lead. </w:t>
      </w:r>
      <w:r>
        <w:t>BTHGNN architecture is her work; extending it to multi-domain pretraining is the natural next step. This replaces her BTHGNN autumn track rather than adding to it.</w:t>
      </w:r>
    </w:p>
    <w:p w14:paraId="60923E0F" w14:textId="77777777" w:rsidR="00811B17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Maxim </w:t>
      </w:r>
      <w:proofErr w:type="spellStart"/>
      <w:r>
        <w:rPr>
          <w:b/>
          <w:bCs/>
        </w:rPr>
        <w:t>Kalpin</w:t>
      </w:r>
      <w:proofErr w:type="spellEnd"/>
      <w:r>
        <w:rPr>
          <w:b/>
          <w:bCs/>
        </w:rPr>
        <w:t xml:space="preserve"> — infrastructure lead. </w:t>
      </w:r>
      <w:proofErr w:type="spellStart"/>
      <w:r>
        <w:t>ClickHouse</w:t>
      </w:r>
      <w:proofErr w:type="spellEnd"/>
      <w:r>
        <w:t xml:space="preserve"> pipelines, training infrastructure, compute orchestration. Already on γ and δ in the ICML sprint; this project absorbs both.</w:t>
      </w:r>
    </w:p>
    <w:p w14:paraId="6563B2FE" w14:textId="77777777" w:rsidR="00811B17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Eugene — scientific direction and writing. </w:t>
      </w:r>
      <w:r>
        <w:t>Objectives, evaluation design, paper lead. Light compared to the May sprint load.</w:t>
      </w:r>
    </w:p>
    <w:p w14:paraId="3CD6A98B" w14:textId="77777777" w:rsidR="00811B17" w:rsidRDefault="00000000">
      <w:pPr>
        <w:pStyle w:val="Heading2"/>
      </w:pPr>
      <w:r>
        <w:t>Interns (fifteen)</w:t>
      </w:r>
    </w:p>
    <w:p w14:paraId="12330939" w14:textId="77777777" w:rsidR="00811B17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Data team (8). </w:t>
      </w:r>
      <w:r>
        <w:t xml:space="preserve">Split across the three domains per the table above. Most work is scraping, curation, schema </w:t>
      </w:r>
      <w:proofErr w:type="spellStart"/>
      <w:r>
        <w:t>normalisation</w:t>
      </w:r>
      <w:proofErr w:type="spellEnd"/>
      <w:r>
        <w:t>, and validation. Clear, well-scoped tasks with visible outputs — good intern work.</w:t>
      </w:r>
    </w:p>
    <w:p w14:paraId="4AF58D5F" w14:textId="77777777" w:rsidR="00811B17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Modeling team (4). </w:t>
      </w:r>
      <w:r>
        <w:t>Ablations, baselines, evaluation harnesses. Supervised by Arina and Maxim.</w:t>
      </w:r>
    </w:p>
    <w:p w14:paraId="493D6228" w14:textId="77777777" w:rsidR="00811B17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Analysis team (3). </w:t>
      </w:r>
      <w:r>
        <w:t>Downstream evaluations, interpretability probes, paper figures.</w:t>
      </w:r>
    </w:p>
    <w:p w14:paraId="52EB80E8" w14:textId="77777777" w:rsidR="00811B17" w:rsidRDefault="00000000">
      <w:pPr>
        <w:pStyle w:val="Heading1"/>
      </w:pPr>
      <w:r>
        <w:t>Timeline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200"/>
        <w:gridCol w:w="3200"/>
        <w:gridCol w:w="2360"/>
      </w:tblGrid>
      <w:tr w:rsidR="00811B17" w14:paraId="42634EC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D1F18" w14:textId="77777777" w:rsidR="00811B17" w:rsidRDefault="00000000">
            <w:r>
              <w:rPr>
                <w:b/>
                <w:bCs/>
              </w:rPr>
              <w:t>Phase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EBB42" w14:textId="77777777" w:rsidR="00811B17" w:rsidRDefault="00000000">
            <w:r>
              <w:rPr>
                <w:b/>
                <w:bCs/>
              </w:rPr>
              <w:t>Window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276CB" w14:textId="77777777" w:rsidR="00811B17" w:rsidRDefault="00000000">
            <w:r>
              <w:rPr>
                <w:b/>
                <w:bCs/>
              </w:rPr>
              <w:t>Deliverables</w:t>
            </w:r>
          </w:p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41CD7" w14:textId="77777777" w:rsidR="00811B17" w:rsidRDefault="00000000">
            <w:r>
              <w:rPr>
                <w:b/>
                <w:bCs/>
              </w:rPr>
              <w:t>Gate</w:t>
            </w:r>
          </w:p>
        </w:tc>
      </w:tr>
      <w:tr w:rsidR="00811B17" w14:paraId="6316D3F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3017C" w14:textId="77777777" w:rsidR="00811B17" w:rsidRDefault="00000000">
            <w:r>
              <w:rPr>
                <w:b/>
                <w:bCs/>
              </w:rPr>
              <w:t>0. Scoping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CEB49" w14:textId="77777777" w:rsidR="00811B17" w:rsidRDefault="00000000">
            <w:r>
              <w:t>Apr 13–20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AFEF2" w14:textId="77777777" w:rsidR="00811B17" w:rsidRDefault="00000000">
            <w:r>
              <w:t>Audit energy data with partner; confirm art graph schema; lock Arina's BTHGNN architecture as the base; write 10-page design doc</w:t>
            </w:r>
          </w:p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3894A" w14:textId="77777777" w:rsidR="00811B17" w:rsidRDefault="00000000">
            <w:r>
              <w:t>Go/no-go decision Apr 20</w:t>
            </w:r>
          </w:p>
        </w:tc>
      </w:tr>
      <w:tr w:rsidR="00811B17" w14:paraId="0B967AD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F97B4" w14:textId="77777777" w:rsidR="00811B17" w:rsidRDefault="00000000">
            <w:r>
              <w:rPr>
                <w:b/>
                <w:bCs/>
              </w:rPr>
              <w:lastRenderedPageBreak/>
              <w:t>1. Data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BCBD4" w14:textId="77777777" w:rsidR="00811B17" w:rsidRDefault="00000000">
            <w:r>
              <w:t>Apr 20 – May 18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74C06" w14:textId="77777777" w:rsidR="00811B17" w:rsidRDefault="00000000">
            <w:r>
              <w:t xml:space="preserve">Intern teams gather domain-specific enrichment; build unified temporal graph schema; ingest into </w:t>
            </w:r>
            <w:proofErr w:type="spellStart"/>
            <w:r>
              <w:t>ClickHouse</w:t>
            </w:r>
            <w:proofErr w:type="spellEnd"/>
            <w:r>
              <w:t>/parquet; temporal alignment pipeline</w:t>
            </w:r>
          </w:p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C4B03" w14:textId="77777777" w:rsidR="00811B17" w:rsidRDefault="00000000">
            <w:r>
              <w:t>Unified dataset v0 by May 18</w:t>
            </w:r>
          </w:p>
        </w:tc>
      </w:tr>
      <w:tr w:rsidR="00811B17" w14:paraId="352EB1A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3989F" w14:textId="77777777" w:rsidR="00811B17" w:rsidRDefault="00000000">
            <w:r>
              <w:rPr>
                <w:b/>
                <w:bCs/>
              </w:rPr>
              <w:t>2. Pretrain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2D1AB" w14:textId="77777777" w:rsidR="00811B17" w:rsidRDefault="00000000">
            <w:r>
              <w:t>May 18 – Jun 22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27905" w14:textId="77777777" w:rsidR="00811B17" w:rsidRDefault="00000000">
            <w:r>
              <w:t>Pretraining on merged graph: masked node/edge prediction, temporal link prediction, contrastive cross-domain objectives; ablations on held-out domain</w:t>
            </w:r>
          </w:p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97DE0" w14:textId="77777777" w:rsidR="00811B17" w:rsidRDefault="00000000">
            <w:r>
              <w:t>Loss curves flat, cross-domain probes beat single-domain baselines</w:t>
            </w:r>
          </w:p>
        </w:tc>
      </w:tr>
      <w:tr w:rsidR="00811B17" w14:paraId="51CD33E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2EF45" w14:textId="77777777" w:rsidR="00811B17" w:rsidRDefault="00000000">
            <w:r>
              <w:rPr>
                <w:b/>
                <w:bCs/>
              </w:rPr>
              <w:t>3. Fine-tune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21775" w14:textId="77777777" w:rsidR="00811B17" w:rsidRDefault="00000000">
            <w:r>
              <w:t>Jun 22 – Jul 20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AEB34" w14:textId="77777777" w:rsidR="00811B17" w:rsidRDefault="00000000">
            <w:r>
              <w:t xml:space="preserve">Domain heads: art price forecasting, </w:t>
            </w:r>
            <w:proofErr w:type="spellStart"/>
            <w:r>
              <w:t>Polymarket</w:t>
            </w:r>
            <w:proofErr w:type="spellEnd"/>
            <w:r>
              <w:t xml:space="preserve"> resolution, energy load forecasting; benchmark vs domain-specific baselines</w:t>
            </w:r>
          </w:p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DDB92" w14:textId="77777777" w:rsidR="00811B17" w:rsidRDefault="00000000">
            <w:r>
              <w:t>Beat domain-specific baselines on ≥2 of 3 domains</w:t>
            </w:r>
          </w:p>
        </w:tc>
      </w:tr>
      <w:tr w:rsidR="00811B17" w14:paraId="4870490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DEB4E" w14:textId="77777777" w:rsidR="00811B17" w:rsidRDefault="00000000">
            <w:r>
              <w:rPr>
                <w:b/>
                <w:bCs/>
              </w:rPr>
              <w:t>4. Write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8F1DD" w14:textId="77777777" w:rsidR="00811B17" w:rsidRDefault="00000000">
            <w:r>
              <w:t>Jul 20 – Aug 22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3A605" w14:textId="77777777" w:rsidR="00811B17" w:rsidRDefault="00000000">
            <w:r>
              <w:t>Main paper (</w:t>
            </w:r>
            <w:proofErr w:type="spellStart"/>
            <w:r>
              <w:t>NeurIPS</w:t>
            </w:r>
            <w:proofErr w:type="spellEnd"/>
            <w:r>
              <w:t xml:space="preserve"> main track or workshop); domain application papers; </w:t>
            </w:r>
            <w:proofErr w:type="spellStart"/>
            <w:r>
              <w:t>arXiv</w:t>
            </w:r>
            <w:proofErr w:type="spellEnd"/>
            <w:r>
              <w:t xml:space="preserve"> preprint; dataset release</w:t>
            </w:r>
          </w:p>
        </w:tc>
        <w:tc>
          <w:tcPr>
            <w:tcW w:w="2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4D586" w14:textId="77777777" w:rsidR="00811B17" w:rsidRDefault="00000000">
            <w:proofErr w:type="spellStart"/>
            <w:r>
              <w:t>NeurIPS</w:t>
            </w:r>
            <w:proofErr w:type="spellEnd"/>
            <w:r>
              <w:t xml:space="preserve"> workshop deadlines ~mid-Sep</w:t>
            </w:r>
          </w:p>
        </w:tc>
      </w:tr>
    </w:tbl>
    <w:p w14:paraId="16AD5E3E" w14:textId="77777777" w:rsidR="00811B17" w:rsidRDefault="00811B17">
      <w:pPr>
        <w:spacing w:after="120"/>
      </w:pPr>
    </w:p>
    <w:p w14:paraId="140530D1" w14:textId="77777777" w:rsidR="00811B17" w:rsidRDefault="00000000">
      <w:pPr>
        <w:spacing w:after="120"/>
      </w:pPr>
      <w:r>
        <w:rPr>
          <w:b/>
          <w:bCs/>
        </w:rPr>
        <w:t xml:space="preserve">Critical gates. </w:t>
      </w:r>
      <w:r>
        <w:t xml:space="preserve">The Apr 20 scoping gate is the most important — if the energy data doesn't support temporal graph construction, the project is two domains not three, and the design changes. The May 18 unified-dataset gate is when we know whether the data engineering is tractable. The late-June pretrain gate is where we find out whether cross-domain transfer </w:t>
      </w:r>
      <w:proofErr w:type="gramStart"/>
      <w:r>
        <w:t>actually happens</w:t>
      </w:r>
      <w:proofErr w:type="gramEnd"/>
      <w:r>
        <w:t>; if it doesn't, we still have three domain-specific temporal GNNs, which is still three papers.</w:t>
      </w:r>
    </w:p>
    <w:p w14:paraId="262E6F8F" w14:textId="77777777" w:rsidR="00811B17" w:rsidRDefault="00000000">
      <w:pPr>
        <w:pStyle w:val="Heading1"/>
      </w:pPr>
      <w:r>
        <w:t>Interaction with the May ICML sprint</w:t>
      </w:r>
    </w:p>
    <w:p w14:paraId="5E7A8C2D" w14:textId="77777777" w:rsidR="00811B17" w:rsidRDefault="00000000">
      <w:pPr>
        <w:spacing w:after="120"/>
      </w:pPr>
      <w:r>
        <w:t>This project reshapes the May sprint portfolio rather than competing with it:</w:t>
      </w:r>
    </w:p>
    <w:p w14:paraId="1E608247" w14:textId="77777777" w:rsidR="00811B17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γ (Graph FM for art markets) drops from the May sprint. </w:t>
      </w:r>
      <w:r>
        <w:t>The April 24 deadline becomes untenable if we're building our own GFM; applying off-the-shelf GFMs to art market data is no longer the interesting paper once we're training our own. γ returns in autumn as GFM-3, substantially stronger.</w:t>
      </w:r>
    </w:p>
    <w:p w14:paraId="77728ECB" w14:textId="77777777" w:rsidR="00811B17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α stays but narrows. </w:t>
      </w:r>
      <w:r>
        <w:t xml:space="preserve">For May, α is the feature-leakage and Orth-SVAE interpretability paper on </w:t>
      </w:r>
      <w:proofErr w:type="spellStart"/>
      <w:r>
        <w:t>Polymarket</w:t>
      </w:r>
      <w:proofErr w:type="spellEnd"/>
      <w:r>
        <w:t xml:space="preserve"> — a tight, well-scoped hypothesis-testing paper. In autumn, GFM-2 becomes the broader interpretability story using GFM embeddings.</w:t>
      </w:r>
    </w:p>
    <w:p w14:paraId="00DCFA03" w14:textId="77777777" w:rsidR="00811B17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δ (POLYBENCH) stays. </w:t>
      </w:r>
      <w:r>
        <w:t xml:space="preserve">In </w:t>
      </w:r>
      <w:proofErr w:type="gramStart"/>
      <w:r>
        <w:t>fact</w:t>
      </w:r>
      <w:proofErr w:type="gramEnd"/>
      <w:r>
        <w:t xml:space="preserve"> the benchmark becomes more valuable because we'll use it ourselves to evaluate the GFM.</w:t>
      </w:r>
    </w:p>
    <w:p w14:paraId="386FE6BC" w14:textId="77777777" w:rsidR="00811B17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Ω, ε, π, RL, β are unaffected. </w:t>
      </w:r>
      <w:r>
        <w:t>These are dissertation-derived or domain-specific and don't overlap with the GFM track.</w:t>
      </w:r>
    </w:p>
    <w:p w14:paraId="37F38321" w14:textId="77777777" w:rsidR="00811B17" w:rsidRDefault="00000000">
      <w:pPr>
        <w:spacing w:after="120"/>
      </w:pPr>
      <w:r>
        <w:lastRenderedPageBreak/>
        <w:t>Net effect on the May sprint: one paper drops from the portfolio (γ), easing the April 24 crunch substantially. The Eugene bottleneck eases correspondingly. Arina's May load drops because BTHGNN is no longer a separate autumn track — it's this project, starting now.</w:t>
      </w:r>
    </w:p>
    <w:p w14:paraId="13FA5D36" w14:textId="77777777" w:rsidR="00811B17" w:rsidRDefault="00000000">
      <w:pPr>
        <w:pStyle w:val="Heading1"/>
      </w:pPr>
      <w:r>
        <w:t>Paper outputs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3600"/>
        <w:gridCol w:w="2600"/>
        <w:gridCol w:w="1960"/>
      </w:tblGrid>
      <w:tr w:rsidR="00811B17" w14:paraId="06E2692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69A64" w14:textId="77777777" w:rsidR="00811B17" w:rsidRDefault="00000000">
            <w:r>
              <w:rPr>
                <w:b/>
                <w:bCs/>
              </w:rPr>
              <w:t>Code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DA386" w14:textId="77777777" w:rsidR="00811B17" w:rsidRDefault="00000000">
            <w:r>
              <w:rPr>
                <w:b/>
                <w:bCs/>
              </w:rPr>
              <w:t>Paper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74A89" w14:textId="77777777" w:rsidR="00811B17" w:rsidRDefault="00000000">
            <w:r>
              <w:rPr>
                <w:b/>
                <w:bCs/>
              </w:rPr>
              <w:t>Target venue</w:t>
            </w:r>
          </w:p>
        </w:tc>
        <w:tc>
          <w:tcPr>
            <w:tcW w:w="1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3312D" w14:textId="77777777" w:rsidR="00811B17" w:rsidRDefault="00000000">
            <w:r>
              <w:rPr>
                <w:b/>
                <w:bCs/>
              </w:rPr>
              <w:t>Timing</w:t>
            </w:r>
          </w:p>
        </w:tc>
      </w:tr>
      <w:tr w:rsidR="00811B17" w14:paraId="730EBC7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90D42" w14:textId="77777777" w:rsidR="00811B17" w:rsidRDefault="00000000">
            <w:r>
              <w:rPr>
                <w:b/>
                <w:bCs/>
              </w:rPr>
              <w:t>GFM-0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E5BC5" w14:textId="77777777" w:rsidR="00811B17" w:rsidRDefault="00000000">
            <w:r>
              <w:t>Temporal heterogeneous Bayesian GFM: methods paper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35049" w14:textId="77777777" w:rsidR="00811B17" w:rsidRDefault="00000000">
            <w:proofErr w:type="spellStart"/>
            <w:r>
              <w:t>NeurIPS</w:t>
            </w:r>
            <w:proofErr w:type="spellEnd"/>
            <w:r>
              <w:t xml:space="preserve"> main track (or GFM workshop as fallback)</w:t>
            </w:r>
          </w:p>
        </w:tc>
        <w:tc>
          <w:tcPr>
            <w:tcW w:w="1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BD170" w14:textId="77777777" w:rsidR="00811B17" w:rsidRDefault="00000000">
            <w:r>
              <w:t>Sep 2026</w:t>
            </w:r>
          </w:p>
        </w:tc>
      </w:tr>
      <w:tr w:rsidR="00811B17" w14:paraId="2199F06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1B232" w14:textId="77777777" w:rsidR="00811B17" w:rsidRDefault="00000000">
            <w:r>
              <w:rPr>
                <w:b/>
                <w:bCs/>
              </w:rPr>
              <w:t>GFM-1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DF737" w14:textId="77777777" w:rsidR="00811B17" w:rsidRDefault="00000000">
            <w:r>
              <w:t>Cross-domain transfer: what transfers and why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1C4A9" w14:textId="77777777" w:rsidR="00811B17" w:rsidRDefault="00000000">
            <w:proofErr w:type="spellStart"/>
            <w:r>
              <w:t>NeurIPS</w:t>
            </w:r>
            <w:proofErr w:type="spellEnd"/>
            <w:r>
              <w:t xml:space="preserve"> workshops (GFM, Temporal Graphs)</w:t>
            </w:r>
          </w:p>
        </w:tc>
        <w:tc>
          <w:tcPr>
            <w:tcW w:w="1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24C67" w14:textId="77777777" w:rsidR="00811B17" w:rsidRDefault="00000000">
            <w:r>
              <w:t>Sep 2026</w:t>
            </w:r>
          </w:p>
        </w:tc>
      </w:tr>
      <w:tr w:rsidR="00811B17" w14:paraId="35929C2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93361" w14:textId="77777777" w:rsidR="00811B17" w:rsidRDefault="00000000">
            <w:r>
              <w:rPr>
                <w:b/>
                <w:bCs/>
              </w:rPr>
              <w:t>GFM-2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4E967" w14:textId="77777777" w:rsidR="00811B17" w:rsidRDefault="00000000">
            <w:proofErr w:type="spellStart"/>
            <w:r>
              <w:t>Polymarket</w:t>
            </w:r>
            <w:proofErr w:type="spellEnd"/>
            <w:r>
              <w:t xml:space="preserve"> application: interpretability via GFM embeddings (subsumes earlier α)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AF41A" w14:textId="77777777" w:rsidR="00811B17" w:rsidRDefault="00000000">
            <w:r>
              <w:t xml:space="preserve">ICLR 2027 or </w:t>
            </w:r>
            <w:proofErr w:type="spellStart"/>
            <w:r>
              <w:t>NeurIPS</w:t>
            </w:r>
            <w:proofErr w:type="spellEnd"/>
            <w:r>
              <w:t xml:space="preserve"> workshop</w:t>
            </w:r>
          </w:p>
        </w:tc>
        <w:tc>
          <w:tcPr>
            <w:tcW w:w="1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3618F" w14:textId="77777777" w:rsidR="00811B17" w:rsidRDefault="00000000">
            <w:r>
              <w:t>Oct 2026</w:t>
            </w:r>
          </w:p>
        </w:tc>
      </w:tr>
      <w:tr w:rsidR="00811B17" w14:paraId="5772C6D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DE2B4" w14:textId="77777777" w:rsidR="00811B17" w:rsidRDefault="00000000">
            <w:r>
              <w:rPr>
                <w:b/>
                <w:bCs/>
              </w:rPr>
              <w:t>GFM-3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EFF5C" w14:textId="77777777" w:rsidR="00811B17" w:rsidRDefault="00000000">
            <w:r>
              <w:t>Art market application: valuation and market dynamics (subsumes earlier γ and β)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762CF" w14:textId="77777777" w:rsidR="00811B17" w:rsidRDefault="00000000">
            <w:r>
              <w:t>ICLR 2027 or domain venue</w:t>
            </w:r>
          </w:p>
        </w:tc>
        <w:tc>
          <w:tcPr>
            <w:tcW w:w="1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678BD" w14:textId="77777777" w:rsidR="00811B17" w:rsidRDefault="00000000">
            <w:r>
              <w:t>Oct 2026</w:t>
            </w:r>
          </w:p>
        </w:tc>
      </w:tr>
    </w:tbl>
    <w:p w14:paraId="69425029" w14:textId="77777777" w:rsidR="00811B17" w:rsidRDefault="00811B17">
      <w:pPr>
        <w:spacing w:after="120"/>
      </w:pPr>
    </w:p>
    <w:p w14:paraId="300A27FC" w14:textId="77777777" w:rsidR="00811B17" w:rsidRDefault="00000000">
      <w:pPr>
        <w:spacing w:after="120"/>
      </w:pPr>
      <w:r>
        <w:t xml:space="preserve">Four papers out of one research artifact, staggered across </w:t>
      </w:r>
      <w:proofErr w:type="spellStart"/>
      <w:r>
        <w:t>NeurIPS</w:t>
      </w:r>
      <w:proofErr w:type="spellEnd"/>
      <w:r>
        <w:t xml:space="preserve"> 2026 workshops and ICLR 2027. The main methods paper is the headline contribution; the three application papers build on the same trained model and demonstrate its value across domains. A dataset release (the unified temporal graph) is a separate deliverable that accompanies the methods paper and drives citations.</w:t>
      </w:r>
    </w:p>
    <w:p w14:paraId="10ACC864" w14:textId="77777777" w:rsidR="00811B17" w:rsidRDefault="00000000">
      <w:pPr>
        <w:pStyle w:val="Heading1"/>
      </w:pPr>
      <w:r>
        <w:t>Open decisions</w:t>
      </w:r>
    </w:p>
    <w:p w14:paraId="4F904FA3" w14:textId="77777777" w:rsidR="00811B17" w:rsidRDefault="00000000">
      <w:pPr>
        <w:spacing w:after="120"/>
      </w:pPr>
      <w:r>
        <w:t>Four questions need answers before the project can be committed, all resolvable in the Phase 0 scoping window:</w:t>
      </w:r>
    </w:p>
    <w:p w14:paraId="6E4BF99A" w14:textId="77777777" w:rsidR="00811B17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Does the energy data </w:t>
      </w:r>
      <w:proofErr w:type="gramStart"/>
      <w:r>
        <w:rPr>
          <w:b/>
          <w:bCs/>
        </w:rPr>
        <w:t>actually support</w:t>
      </w:r>
      <w:proofErr w:type="gramEnd"/>
      <w:r>
        <w:rPr>
          <w:b/>
          <w:bCs/>
        </w:rPr>
        <w:t xml:space="preserve"> temporal graph construction? </w:t>
      </w:r>
      <w:r>
        <w:t>Audit required with the partner. Without this, the project is two domains, not three, and the cross-domain story weakens.</w:t>
      </w:r>
    </w:p>
    <w:p w14:paraId="73B37D88" w14:textId="77777777" w:rsidR="00811B17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Is Arina bought into leading this? </w:t>
      </w:r>
      <w:r>
        <w:t>This replaces her BTHGNN plan with something larger and more ambitious. If she'd rather ship BTHGNN as a focused paper, the plan changes.</w:t>
      </w:r>
    </w:p>
    <w:p w14:paraId="47E3BC86" w14:textId="77777777" w:rsidR="00811B17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What's the right model size for the compute budget? </w:t>
      </w:r>
      <w:r>
        <w:t>Decision depends on data scale — compute-bound or data-bound. Rough calculation in Phase 0.</w:t>
      </w:r>
    </w:p>
    <w:p w14:paraId="06C42CBC" w14:textId="77777777" w:rsidR="00811B17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b/>
          <w:bCs/>
        </w:rPr>
        <w:t>NeurIPS</w:t>
      </w:r>
      <w:proofErr w:type="spellEnd"/>
      <w:r>
        <w:rPr>
          <w:b/>
          <w:bCs/>
        </w:rPr>
        <w:t xml:space="preserve"> main track or workshop as the target? </w:t>
      </w:r>
      <w:r>
        <w:t xml:space="preserve">Main track is more ambitious and later (May 2027 cycle); </w:t>
      </w:r>
      <w:proofErr w:type="spellStart"/>
      <w:r>
        <w:t>NeurIPS</w:t>
      </w:r>
      <w:proofErr w:type="spellEnd"/>
      <w:r>
        <w:t xml:space="preserve"> workshops are September 2026 and give us a timed milestone. The plan defaults to workshops, with main-track resubmission as an option after workshop feedback.</w:t>
      </w:r>
    </w:p>
    <w:p w14:paraId="2EF4E9C9" w14:textId="77777777" w:rsidR="00811B17" w:rsidRDefault="00000000">
      <w:pPr>
        <w:pStyle w:val="Heading1"/>
      </w:pPr>
      <w:r>
        <w:t>Recommendation</w:t>
      </w:r>
    </w:p>
    <w:p w14:paraId="04B9946C" w14:textId="77777777" w:rsidR="00811B17" w:rsidRDefault="00000000">
      <w:pPr>
        <w:spacing w:after="120"/>
      </w:pPr>
      <w:r>
        <w:lastRenderedPageBreak/>
        <w:t>Commit to the Phase 0 scoping window: ten days (April 13–20) to audit the energy data, confirm Arina's buy-in, and write the detailed design document. Lock the full project on April 20 conditional on the scoping gate passing. Drop γ from the May sprint immediately to relieve the April 24 crunch.</w:t>
      </w:r>
    </w:p>
    <w:p w14:paraId="5E7FA2E3" w14:textId="77777777" w:rsidR="00811B17" w:rsidRDefault="00000000">
      <w:pPr>
        <w:spacing w:after="120"/>
      </w:pPr>
      <w:r>
        <w:rPr>
          <w:i/>
          <w:iCs/>
        </w:rPr>
        <w:t>— Draft plan, prepared for Eugene, April 2026</w:t>
      </w:r>
    </w:p>
    <w:sectPr w:rsidR="00811B17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8E094A"/>
    <w:multiLevelType w:val="hybridMultilevel"/>
    <w:tmpl w:val="0D54AA64"/>
    <w:lvl w:ilvl="0" w:tplc="6D70EE86">
      <w:start w:val="1"/>
      <w:numFmt w:val="bullet"/>
      <w:lvlText w:val="●"/>
      <w:lvlJc w:val="left"/>
      <w:pPr>
        <w:ind w:left="720" w:hanging="360"/>
      </w:pPr>
    </w:lvl>
    <w:lvl w:ilvl="1" w:tplc="4E56A364">
      <w:start w:val="1"/>
      <w:numFmt w:val="bullet"/>
      <w:lvlText w:val="○"/>
      <w:lvlJc w:val="left"/>
      <w:pPr>
        <w:ind w:left="1440" w:hanging="360"/>
      </w:pPr>
    </w:lvl>
    <w:lvl w:ilvl="2" w:tplc="B6BE304E">
      <w:start w:val="1"/>
      <w:numFmt w:val="bullet"/>
      <w:lvlText w:val="■"/>
      <w:lvlJc w:val="left"/>
      <w:pPr>
        <w:ind w:left="2160" w:hanging="360"/>
      </w:pPr>
    </w:lvl>
    <w:lvl w:ilvl="3" w:tplc="812CEF6E">
      <w:start w:val="1"/>
      <w:numFmt w:val="bullet"/>
      <w:lvlText w:val="●"/>
      <w:lvlJc w:val="left"/>
      <w:pPr>
        <w:ind w:left="2880" w:hanging="360"/>
      </w:pPr>
    </w:lvl>
    <w:lvl w:ilvl="4" w:tplc="E56A9196">
      <w:start w:val="1"/>
      <w:numFmt w:val="bullet"/>
      <w:lvlText w:val="○"/>
      <w:lvlJc w:val="left"/>
      <w:pPr>
        <w:ind w:left="3600" w:hanging="360"/>
      </w:pPr>
    </w:lvl>
    <w:lvl w:ilvl="5" w:tplc="CA686CD2">
      <w:start w:val="1"/>
      <w:numFmt w:val="bullet"/>
      <w:lvlText w:val="■"/>
      <w:lvlJc w:val="left"/>
      <w:pPr>
        <w:ind w:left="4320" w:hanging="360"/>
      </w:pPr>
    </w:lvl>
    <w:lvl w:ilvl="6" w:tplc="4CE8EEDC">
      <w:start w:val="1"/>
      <w:numFmt w:val="bullet"/>
      <w:lvlText w:val="●"/>
      <w:lvlJc w:val="left"/>
      <w:pPr>
        <w:ind w:left="5040" w:hanging="360"/>
      </w:pPr>
    </w:lvl>
    <w:lvl w:ilvl="7" w:tplc="09683BDC">
      <w:start w:val="1"/>
      <w:numFmt w:val="bullet"/>
      <w:lvlText w:val="●"/>
      <w:lvlJc w:val="left"/>
      <w:pPr>
        <w:ind w:left="5760" w:hanging="360"/>
      </w:pPr>
    </w:lvl>
    <w:lvl w:ilvl="8" w:tplc="CF465C1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AD80192"/>
    <w:multiLevelType w:val="hybridMultilevel"/>
    <w:tmpl w:val="F7C25A0E"/>
    <w:lvl w:ilvl="0" w:tplc="2D8CA628">
      <w:start w:val="1"/>
      <w:numFmt w:val="bullet"/>
      <w:lvlText w:val="•"/>
      <w:lvlJc w:val="left"/>
      <w:pPr>
        <w:ind w:left="540" w:hanging="270"/>
      </w:pPr>
    </w:lvl>
    <w:lvl w:ilvl="1" w:tplc="D16CCCF2">
      <w:numFmt w:val="decimal"/>
      <w:lvlText w:val=""/>
      <w:lvlJc w:val="left"/>
    </w:lvl>
    <w:lvl w:ilvl="2" w:tplc="F17244BA">
      <w:numFmt w:val="decimal"/>
      <w:lvlText w:val=""/>
      <w:lvlJc w:val="left"/>
    </w:lvl>
    <w:lvl w:ilvl="3" w:tplc="F81CDAF2">
      <w:numFmt w:val="decimal"/>
      <w:lvlText w:val=""/>
      <w:lvlJc w:val="left"/>
    </w:lvl>
    <w:lvl w:ilvl="4" w:tplc="32CC2FE8">
      <w:numFmt w:val="decimal"/>
      <w:lvlText w:val=""/>
      <w:lvlJc w:val="left"/>
    </w:lvl>
    <w:lvl w:ilvl="5" w:tplc="3BB88F0C">
      <w:numFmt w:val="decimal"/>
      <w:lvlText w:val=""/>
      <w:lvlJc w:val="left"/>
    </w:lvl>
    <w:lvl w:ilvl="6" w:tplc="4DB228F4">
      <w:numFmt w:val="decimal"/>
      <w:lvlText w:val=""/>
      <w:lvlJc w:val="left"/>
    </w:lvl>
    <w:lvl w:ilvl="7" w:tplc="7D907E46">
      <w:numFmt w:val="decimal"/>
      <w:lvlText w:val=""/>
      <w:lvlJc w:val="left"/>
    </w:lvl>
    <w:lvl w:ilvl="8" w:tplc="BFA256C2">
      <w:numFmt w:val="decimal"/>
      <w:lvlText w:val=""/>
      <w:lvlJc w:val="left"/>
    </w:lvl>
  </w:abstractNum>
  <w:num w:numId="1" w16cid:durableId="853422357">
    <w:abstractNumId w:val="0"/>
    <w:lvlOverride w:ilvl="0">
      <w:startOverride w:val="1"/>
    </w:lvlOverride>
  </w:num>
  <w:num w:numId="2" w16cid:durableId="56283920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5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1B17"/>
    <w:rsid w:val="0023271D"/>
    <w:rsid w:val="007D7DDF"/>
    <w:rsid w:val="00811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253BB78"/>
  <w15:docId w15:val="{200382F0-04D4-8F4F-9CEF-4F502842E9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1710</Words>
  <Characters>9749</Characters>
  <Application>Microsoft Office Word</Application>
  <DocSecurity>0</DocSecurity>
  <Lines>81</Lines>
  <Paragraphs>22</Paragraphs>
  <ScaleCrop>false</ScaleCrop>
  <Company/>
  <LinksUpToDate>false</LinksUpToDate>
  <CharactersWithSpaces>11437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Temporal Graph Foundation Model — Project Plan</dc:title>
  <dc:creator>Claude</dc:creator>
  <cp:lastModifiedBy>Shcherbinin,Y (ug)</cp:lastModifiedBy>
  <cp:revision>2</cp:revision>
  <dcterms:created xsi:type="dcterms:W3CDTF">2026-04-12T06:37:00Z</dcterms:created>
  <dcterms:modified xsi:type="dcterms:W3CDTF">2026-04-12T06:39:00Z</dcterms:modified>
</cp:coreProperties>
</file>