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Temporal Graph Foundation Model</w:t>
      </w:r>
    </w:p>
    <w:p>
      <w:pPr>
        <w:spacing w:after="200"/>
      </w:pPr>
      <w:r>
        <w:rPr>
          <w:i/>
          <w:iCs/>
          <w:sz w:val="24"/>
          <w:szCs w:val="24"/>
        </w:rPr>
        <w:t xml:space="preserve">Scoping note for BT research team</w:t>
      </w:r>
    </w:p>
    <w:p>
      <w:pPr>
        <w:spacing w:after="160"/>
      </w:pPr>
      <w:r>
        <w:t xml:space="preserve">Bloomsbury Technology · April 2026</w:t>
      </w:r>
    </w:p>
    <w:p>
      <w:pPr>
        <w:pStyle w:val="Heading1"/>
      </w:pPr>
      <w:r>
        <w:t xml:space="preserve">Overview</w:t>
      </w:r>
    </w:p>
    <w:p>
      <w:pPr>
        <w:spacing w:after="160"/>
      </w:pPr>
      <w:r>
        <w:t xml:space="preserve">This note sketches a research direction we have been scoping: a temporal heterogeneous graph foundation model (GFM) pretrained on a broad corpus of temporal graph datasets, with domain-specific fine-tuning to support downstream applications across BT's existing and potential research areas.</w:t>
      </w:r>
    </w:p>
    <w:p>
      <w:pPr>
        <w:spacing w:after="160"/>
      </w:pPr>
      <w:r>
        <w:t xml:space="preserve">The motivation is that BT now has three things that individually are useful and together are unusual: a partner-supplied pool of compute credits (~$100k), proprietary or semi-proprietary graph datasets in art markets, prediction markets, and energy, and an in-house line of research by Arina on Bayesian temporal heterogeneous GNNs that maps directly onto the architecture such a model would require. The question is whether to pool these into a single foundation-model effort or continue treating them as separate projects.</w:t>
      </w:r>
    </w:p>
    <w:p>
      <w:pPr>
        <w:spacing w:after="160"/>
      </w:pPr>
      <w:r>
        <w:t xml:space="preserve">This document describes what such a model would look like, what data would go into it, what fine-tuning evaluation would demonstrate, and what it would change about BT's research portfolio. Timelines are deliberately omitted — this is a scoping discussion, not a plan.</w:t>
      </w:r>
    </w:p>
    <w:p>
      <w:pPr>
        <w:pStyle w:val="Heading1"/>
      </w:pPr>
      <w:r>
        <w:t xml:space="preserve">Why this direction</w:t>
      </w:r>
    </w:p>
    <w:p>
      <w:pPr>
        <w:spacing w:after="160"/>
      </w:pPr>
      <w:r>
        <w:t xml:space="preserve">Most published graph foundation models are trained on static snapshots. Temporal structure — how nodes and edges evolve, how relationships form and dissolve, how attributes drift — is where the real signal in real-world graph data lives and is where most current GFM work is weakest.</w:t>
      </w:r>
    </w:p>
    <w:p>
      <w:pPr>
        <w:spacing w:after="160"/>
      </w:pPr>
      <w:r>
        <w:t xml:space="preserve">Arina's existing BTHGNN work on Polymarket already implements the architectural ingredients needed: heterogeneous nodes and edges, temporal dynamics, and Bayesian uncertainty over predictions. The natural extension is to generalise that architecture and train it on a substantially broader corpus than Polymarket alone.</w:t>
      </w:r>
    </w:p>
    <w:p>
      <w:pPr>
        <w:spacing w:after="160"/>
      </w:pPr>
      <w:r>
        <w:t xml:space="preserve">BT's three core datasets (art market, Polymarket, energy) are all market-like in structure — participants, assets, prices, outcomes. A model trained only on these risks learning "how markets work" rather than "how temporal heterogeneous graphs work." A credible foundation model needs broader training data than BT alone can provide.</w:t>
      </w:r>
    </w:p>
    <w:p>
      <w:pPr>
        <w:pStyle w:val="Heading1"/>
      </w:pPr>
      <w:r>
        <w:t xml:space="preserve">Architecture sketch</w:t>
      </w:r>
    </w:p>
    <w:p>
      <w:pPr>
        <w:spacing w:after="160"/>
      </w:pPr>
      <w:r>
        <w:t xml:space="preserve">The model is a heterogeneous temporal graph transformer with three key properties:</w:t>
      </w:r>
    </w:p>
    <w:p>
      <w:pPr>
        <w:pStyle w:val="ListParagraph"/>
        <w:numPr>
          <w:ilvl w:val="0"/>
          <w:numId w:val="2"/>
        </w:numPr>
        <w:spacing w:after="80"/>
      </w:pPr>
      <w:r>
        <w:t xml:space="preserve">Heterogeneous node and edge types. Art market nodes are artists, works, galleries, collectors. Polymarket nodes are traders, markets, outcomes. Energy nodes are generators, substations, load points. A shared embedding space projects these into common latent dimensions while preserving type-specific interaction patterns.</w:t>
      </w:r>
    </w:p>
    <w:p>
      <w:pPr>
        <w:pStyle w:val="ListParagraph"/>
        <w:numPr>
          <w:ilvl w:val="0"/>
          <w:numId w:val="2"/>
        </w:numPr>
        <w:spacing w:after="80"/>
      </w:pPr>
      <w:r>
        <w:t xml:space="preserve">Temporal dynamics as first-class. Node attributes evolve over time, edges appear and disappear, and the model learns representations that capture dynamics, not just statics. This is where Arina's temporal GCN work plugs in directly.</w:t>
      </w:r>
    </w:p>
    <w:p>
      <w:pPr>
        <w:pStyle w:val="ListParagraph"/>
        <w:numPr>
          <w:ilvl w:val="0"/>
          <w:numId w:val="2"/>
        </w:numPr>
        <w:spacing w:after="80"/>
      </w:pPr>
      <w:r>
        <w:t xml:space="preserve">Bayesian output layer. Predictions come with calibrated uncertainty — essential for forecasting tasks where knowing a confidence interval matters more than a point estimate. This is also where Arina's Bayesian modelling research contributes.</w:t>
      </w:r>
    </w:p>
    <w:p>
      <w:pPr>
        <w:spacing w:after="160"/>
      </w:pPr>
      <w:r>
        <w:t xml:space="preserve">Training follows the standard foundation model recipe: self-supervised pretraining on graph structure (node type prediction, link prediction, subgraph matching, temporal edge forecasting), followed by domain-specific fine-tuning for downstream tasks.</w:t>
      </w:r>
    </w:p>
    <w:p>
      <w:pPr>
        <w:pStyle w:val="Heading1"/>
      </w:pPr>
      <w:r>
        <w:t xml:space="preserve">Training data</w:t>
      </w:r>
    </w:p>
    <w:p>
      <w:pPr>
        <w:spacing w:after="160"/>
      </w:pPr>
      <w:r>
        <w:t xml:space="preserve">The defensible version of a GFM requires breadth. The strategy is to train on as much temporal graph data as we can responsibly acquire, then evaluate carefully whether the shared representation actually transfers across domain clusters.</w:t>
      </w:r>
    </w:p>
    <w:p>
      <w:pPr>
        <w:spacing w:after="160"/>
      </w:pPr>
      <w:r>
        <w:t xml:space="preserve">Candidate datasets, grouped by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b/>
                <w:bCs/>
              </w:rPr>
              <w:t xml:space="preserve">Dataset cluster</w:t>
            </w:r>
          </w:p>
        </w:tc>
        <w:tc>
          <w:tcPr>
            <w:tcW w:type="dxa" w:w="63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b/>
                <w:bCs/>
              </w:rPr>
              <w:t xml:space="preserve">Candidates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rPr>
              <w:t xml:space="preserve">BT-proprietary</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Art market auction data (Sotheby's, Christie's, Phillips — ~893k lots with artist, medium, provenance, temporal sale structure); Polymarket prediction market data (11k+ resolved contracts with full trade history, trader networks, outcome ground truth); energy trading data via existing partner relationship.</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rPr>
              <w:t xml:space="preserve">Financial markets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Equity markets (S&amp;P 500, Russell 2000, major international indices — decades of daily data); corporate and sovereign bonds (FRED, partner feeds); options and futures (CBOE, OptionMetrics); FX markets (G10 currencies and beyond, central bank rate decisions as temporal events).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rPr>
              <w:t xml:space="preserve">Commodities and physical flow</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LME metals, oil (WTI, Brent), natural gas (Henry Hub, TTF, JKM), agricultural commodities — these are genuine spatial-temporal graphs when constructed with physical production, storage, shipping structure. Shipping data via AIS feeds, port congestion, Baltic Dry Index components.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rPr>
              <w:t xml:space="preserve">Crypto and DeFi</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Uniswap and other DEX transaction graphs, Ethereum transaction networks, lending protocols — accessible via The Graph, Dune Analytics, direct blockchain queries. Structurally similar to Polymarket but at very different frequency and with different participant composition.</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rPr>
              <w:t xml:space="preserve">NFT marketplaces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OpenSea, Blur, LooksRare — bridges the art market and crypto market worlds. Fully public via blockchain data.</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rPr>
              <w:t xml:space="preserve">Trade and macro networks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UN Comtrade bilateral trade flows by product category (monthly, back to 1962); BIS consolidated banking statistics; interbank exposures where available.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rPr>
              <w:t xml:space="preserve">Information and citation networks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OpenAlex citation and collaboration graphs (240M works, fully public API); ArXiv submissions; USPTO patent citation networks — genuinely heterogeneous and temporally rich.</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rPr>
              <w:t xml:space="preserve">Technology networks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GitHub contribution graphs (developers, repositories, organisations, languages); Wikipedia edit graphs; Reddit and Hacker News submission and comment networks.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rPr>
              <w:t xml:space="preserve">Transportation</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Flight networks (OpenSky, BTS); taxi and ride-share data (NYC TLC); public transit ridership (MTA, TfL). Genuine physical-flow temporal graphs that stress-test whether our energy-grid representations generalise.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rPr>
              <w:t xml:space="preserve">Sports and prediction-adjacent</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Sports betting odds movement across bookmakers, player trade networks in leagues; election and political forecasting data (FiveThirtyEight archives, Metaculus, Good Judgement).</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rPr>
              <w:t xml:space="preserve">Benchmark evaluation</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Temporal Graph Benchmark (TGB) — standard evaluation suite; used for comparison against every published temporal GNN paper rather than as training data.</w:t>
            </w:r>
          </w:p>
        </w:tc>
      </w:tr>
    </w:tbl>
    <w:p>
      <w:pPr>
        <w:spacing w:after="160"/>
      </w:pPr>
      <w:r>
        <w:t xml:space="preserve">The honest caveat is that the more domains we add, the more the data-engineering load grows. Heterogeneous schema alignment — mapping each domain's node types, edge types, attributes, and temporal conventions onto a shared representation — is where most multi-domain graph projects die. This is a real cost, not a minor one.</w:t>
      </w:r>
    </w:p>
    <w:p>
      <w:pPr>
        <w:spacing w:after="160"/>
      </w:pPr>
      <w:r>
        <w:t xml:space="preserve">BT's advantage here is team capacity. With ~15 interns available for data gathering and curation, we can realistically cover a broader corpus than most academic groups attempting similar work.</w:t>
      </w:r>
    </w:p>
    <w:p>
      <w:pPr>
        <w:pStyle w:val="Heading1"/>
      </w:pPr>
      <w:r>
        <w:t xml:space="preserve">Fine-tuning and evaluation</w:t>
      </w:r>
    </w:p>
    <w:p>
      <w:pPr>
        <w:spacing w:after="160"/>
      </w:pPr>
      <w:r>
        <w:t xml:space="preserve">The pretraining story alone is a weak scientific claim — reviewers will ask whether the representations are actually useful or just memorising the training distribution. Fine-tuning results are what make the foundation model claim falsifiable, and they are where the real contribution lives.</w:t>
      </w:r>
    </w:p>
    <w:p>
      <w:pPr>
        <w:pStyle w:val="Heading2"/>
      </w:pPr>
      <w:r>
        <w:t xml:space="preserve">Three evaluation layers</w:t>
      </w:r>
    </w:p>
    <w:p>
      <w:pPr>
        <w:pStyle w:val="ListParagraph"/>
        <w:numPr>
          <w:ilvl w:val="0"/>
          <w:numId w:val="2"/>
        </w:numPr>
        <w:spacing w:after="80"/>
      </w:pPr>
      <w:r>
        <w:rPr>
          <w:b/>
          <w:bCs/>
        </w:rPr>
        <w:t xml:space="preserve">Zero-shot transfer. </w:t>
      </w:r>
      <w:r>
        <w:t xml:space="preserve">The pretrained model is frozen and evaluated directly on downstream tasks without task-specific training. Hardest test, most impressive if it works.</w:t>
      </w:r>
    </w:p>
    <w:p>
      <w:pPr>
        <w:pStyle w:val="ListParagraph"/>
        <w:numPr>
          <w:ilvl w:val="0"/>
          <w:numId w:val="2"/>
        </w:numPr>
        <w:spacing w:after="80"/>
      </w:pPr>
      <w:r>
        <w:rPr>
          <w:b/>
          <w:bCs/>
        </w:rPr>
        <w:t xml:space="preserve">Few-shot fine-tuning. </w:t>
      </w:r>
      <w:r>
        <w:t xml:space="preserve">Small amounts of task-specific data (100–1000 labelled examples). Comparison is against training a domain-specific model from scratch on the same data. Demonstrates transfer learning value.</w:t>
      </w:r>
    </w:p>
    <w:p>
      <w:pPr>
        <w:pStyle w:val="ListParagraph"/>
        <w:numPr>
          <w:ilvl w:val="0"/>
          <w:numId w:val="2"/>
        </w:numPr>
        <w:spacing w:after="80"/>
      </w:pPr>
      <w:r>
        <w:rPr>
          <w:b/>
          <w:bCs/>
        </w:rPr>
        <w:t xml:space="preserve">Full fine-tuning. </w:t>
      </w:r>
      <w:r>
        <w:t xml:space="preserve">Model is unfrozen and fine-tuned on reasonably sized task-specific datasets. Tests whether pretraining is helpful even when enough task data exists to train without it.</w:t>
      </w:r>
    </w:p>
    <w:p>
      <w:pPr>
        <w:pStyle w:val="Heading2"/>
      </w:pPr>
      <w:r>
        <w:t xml:space="preserve">Candidate fine-tuning tasks</w:t>
      </w:r>
    </w:p>
    <w:p>
      <w:pPr>
        <w:pStyle w:val="ListParagraph"/>
        <w:numPr>
          <w:ilvl w:val="0"/>
          <w:numId w:val="2"/>
        </w:numPr>
        <w:spacing w:after="80"/>
      </w:pPr>
      <w:r>
        <w:t xml:space="preserve">Polymarket: predict resolution outcomes from mid-market snapshots; predict trader profitability; identify manipulation patterns.</w:t>
      </w:r>
    </w:p>
    <w:p>
      <w:pPr>
        <w:pStyle w:val="ListParagraph"/>
        <w:numPr>
          <w:ilvl w:val="0"/>
          <w:numId w:val="2"/>
        </w:numPr>
        <w:spacing w:after="80"/>
      </w:pPr>
      <w:r>
        <w:t xml:space="preserve">Art markets: predict hammer prices from catalogue descriptions and artist metadata; forecast artist market momentum; detect provenance anomalies.</w:t>
      </w:r>
    </w:p>
    <w:p>
      <w:pPr>
        <w:pStyle w:val="ListParagraph"/>
        <w:numPr>
          <w:ilvl w:val="0"/>
          <w:numId w:val="2"/>
        </w:numPr>
        <w:spacing w:after="80"/>
      </w:pPr>
      <w:r>
        <w:t xml:space="preserve">Energy: load forecasting; dispatch prediction; price spike prediction.</w:t>
      </w:r>
    </w:p>
    <w:p>
      <w:pPr>
        <w:pStyle w:val="ListParagraph"/>
        <w:numPr>
          <w:ilvl w:val="0"/>
          <w:numId w:val="2"/>
        </w:numPr>
        <w:spacing w:after="80"/>
      </w:pPr>
      <w:r>
        <w:t xml:space="preserve">Equity markets: stock return prediction; sector rotation detection; earnings surprise prediction.</w:t>
      </w:r>
    </w:p>
    <w:p>
      <w:pPr>
        <w:pStyle w:val="ListParagraph"/>
        <w:numPr>
          <w:ilvl w:val="0"/>
          <w:numId w:val="2"/>
        </w:numPr>
        <w:spacing w:after="80"/>
      </w:pPr>
      <w:r>
        <w:t xml:space="preserve">Citation networks: predict future citation counts; identify emerging research trends.</w:t>
      </w:r>
    </w:p>
    <w:p>
      <w:pPr>
        <w:pStyle w:val="ListParagraph"/>
        <w:numPr>
          <w:ilvl w:val="0"/>
          <w:numId w:val="2"/>
        </w:numPr>
        <w:spacing w:after="80"/>
      </w:pPr>
      <w:r>
        <w:t xml:space="preserve">Trade networks: predict trade flow shifts; detect sanctions impact.</w:t>
      </w:r>
    </w:p>
    <w:p>
      <w:pPr>
        <w:pStyle w:val="Heading2"/>
      </w:pPr>
      <w:r>
        <w:t xml:space="preserve">Cross-domain fine-tuning as the strong test</w:t>
      </w:r>
    </w:p>
    <w:p>
      <w:pPr>
        <w:spacing w:after="160"/>
      </w:pPr>
      <w:r>
        <w:t xml:space="preserve">The most compelling demonstration is to pretrain on everything except one domain, then fine-tune specifically for that domain and compare against pretraining only on closely-related data. If the cross-domain model wins, the GFM is learning something genuinely general about temporal graphs. If it doesn't, we have discovered that the domains don't share useful structure — itself a publishable finding.</w:t>
      </w:r>
    </w:p>
    <w:p>
      <w:pPr>
        <w:pStyle w:val="Heading2"/>
      </w:pPr>
      <w:r>
        <w:t xml:space="preserve">Baseline discipline</w:t>
      </w:r>
    </w:p>
    <w:p>
      <w:pPr>
        <w:spacing w:after="160"/>
      </w:pPr>
      <w:r>
        <w:t xml:space="preserve">Fine-tuning results are only as good as the baselines we compare against. For each downstream task we need domain-specific state-of-the-art models, smaller GFMs trained on subsets of the data, and simple heuristics. If the GFM fine-tunes to 85% accuracy but a well-tuned XGBoost hits 87%, the paper is weaker, not stronger. Baseline implementation and tuning is substantial work that is easy to underestimate.</w:t>
      </w:r>
    </w:p>
    <w:p>
      <w:pPr>
        <w:pStyle w:val="Heading1"/>
      </w:pPr>
      <w:r>
        <w:t xml:space="preserve">Honest risks</w:t>
      </w:r>
    </w:p>
    <w:p>
      <w:pPr>
        <w:pStyle w:val="ListParagraph"/>
        <w:numPr>
          <w:ilvl w:val="0"/>
          <w:numId w:val="2"/>
        </w:numPr>
        <w:spacing w:after="80"/>
      </w:pPr>
      <w:r>
        <w:rPr>
          <w:b/>
          <w:bCs/>
        </w:rPr>
        <w:t xml:space="preserve">The domains may not share structure. </w:t>
      </w:r>
      <w:r>
        <w:t xml:space="preserve">The LLM analogy breaks down because text has a universal grammar that graphs don't share. A Wikipedia edit graph and a commodity futures graph may not have common representational structure. The failure mode is a weak shared representation that underperforms domain-specific models everywhere.</w:t>
      </w:r>
    </w:p>
    <w:p>
      <w:pPr>
        <w:pStyle w:val="ListParagraph"/>
        <w:numPr>
          <w:ilvl w:val="0"/>
          <w:numId w:val="2"/>
        </w:numPr>
        <w:spacing w:after="80"/>
      </w:pPr>
      <w:r>
        <w:rPr>
          <w:b/>
          <w:bCs/>
        </w:rPr>
        <w:t xml:space="preserve">Schema harmonisation is the real bottleneck. </w:t>
      </w:r>
      <w:r>
        <w:t xml:space="preserve">Not compute, not model architecture. Plan for serious senior-engineer time on the data layer before training.</w:t>
      </w:r>
    </w:p>
    <w:p>
      <w:pPr>
        <w:pStyle w:val="ListParagraph"/>
        <w:numPr>
          <w:ilvl w:val="0"/>
          <w:numId w:val="2"/>
        </w:numPr>
        <w:spacing w:after="80"/>
      </w:pPr>
      <w:r>
        <w:rPr>
          <w:b/>
          <w:bCs/>
        </w:rPr>
        <w:t xml:space="preserve">Evaluation cost scales with ambition. </w:t>
      </w:r>
      <w:r>
        <w:t xml:space="preserve">A GFM paper with rigorous fine-tuning evaluation across multiple domains requires implementing or running every reasonable competitor on every task. Evaluation work often exceeds pretraining work in total hours.</w:t>
      </w:r>
    </w:p>
    <w:p>
      <w:pPr>
        <w:pStyle w:val="ListParagraph"/>
        <w:numPr>
          <w:ilvl w:val="0"/>
          <w:numId w:val="2"/>
        </w:numPr>
        <w:spacing w:after="80"/>
      </w:pPr>
      <w:r>
        <w:rPr>
          <w:b/>
          <w:bCs/>
        </w:rPr>
        <w:t xml:space="preserve">Sub-foundation models may be the honest result. </w:t>
      </w:r>
      <w:r>
        <w:t xml:space="preserve">The defensible finding may be that financial markets, physical flows, and information networks form natural domain clusters with useful within-cluster transfer but limited across-cluster transfer. This would still be a strong result but changes the framing from "one GFM" to "a family of domain-cluster GFMs."</w:t>
      </w:r>
    </w:p>
    <w:p>
      <w:pPr>
        <w:pStyle w:val="Heading1"/>
      </w:pPr>
      <w:r>
        <w:t xml:space="preserve">How this reshapes the research portfolio</w:t>
      </w:r>
    </w:p>
    <w:p>
      <w:pPr>
        <w:spacing w:after="160"/>
      </w:pPr>
      <w:r>
        <w:t xml:space="preserve">If we pursue this direction seriously, several existing and planned papers change shape:</w:t>
      </w:r>
    </w:p>
    <w:p>
      <w:pPr>
        <w:pStyle w:val="ListParagraph"/>
        <w:numPr>
          <w:ilvl w:val="0"/>
          <w:numId w:val="2"/>
        </w:numPr>
        <w:spacing w:after="80"/>
      </w:pPr>
      <w:r>
        <w:rPr>
          <w:b/>
          <w:bCs/>
        </w:rPr>
        <w:t xml:space="preserve">Graph FM for art markets. </w:t>
      </w:r>
      <w:r>
        <w:t xml:space="preserve">Stops being "apply existing GFMs to art data" and becomes "fine-tune our own GFM for art market valuation" — a cleaner and stronger contribution.</w:t>
      </w:r>
    </w:p>
    <w:p>
      <w:pPr>
        <w:pStyle w:val="ListParagraph"/>
        <w:numPr>
          <w:ilvl w:val="0"/>
          <w:numId w:val="2"/>
        </w:numPr>
        <w:spacing w:after="80"/>
      </w:pPr>
      <w:r>
        <w:rPr>
          <w:b/>
          <w:bCs/>
        </w:rPr>
        <w:t xml:space="preserve">Interpretability plus Polymarket. </w:t>
      </w:r>
      <w:r>
        <w:t xml:space="preserve">Becomes a downstream application of GFM embeddings rather than a standalone methods paper, with Polymarket ground truth used to validate what the foundation model has learned.</w:t>
      </w:r>
    </w:p>
    <w:p>
      <w:pPr>
        <w:pStyle w:val="ListParagraph"/>
        <w:numPr>
          <w:ilvl w:val="0"/>
          <w:numId w:val="2"/>
        </w:numPr>
        <w:spacing w:after="80"/>
      </w:pPr>
      <w:r>
        <w:rPr>
          <w:b/>
          <w:bCs/>
        </w:rPr>
        <w:t xml:space="preserve">POLYBENCH forecasting. </w:t>
      </w:r>
      <w:r>
        <w:t xml:space="preserve">Evolves into a benchmark for evaluating GFM fine-tuning on prediction markets, which is a richer contribution than a standalone forecasting benchmark.</w:t>
      </w:r>
    </w:p>
    <w:p>
      <w:pPr>
        <w:pStyle w:val="ListParagraph"/>
        <w:numPr>
          <w:ilvl w:val="0"/>
          <w:numId w:val="2"/>
        </w:numPr>
        <w:spacing w:after="80"/>
      </w:pPr>
      <w:r>
        <w:rPr>
          <w:b/>
          <w:bCs/>
        </w:rPr>
        <w:t xml:space="preserve">BTHGNN (Arina's project). </w:t>
      </w:r>
      <w:r>
        <w:t xml:space="preserve">Becomes the architectural core of the GFM rather than a separate autumn paper — which is both a promotion for the work and a higher bar for what it has to deliver.</w:t>
      </w:r>
    </w:p>
    <w:p>
      <w:pPr>
        <w:spacing w:after="160"/>
      </w:pPr>
      <w:r>
        <w:t xml:space="preserve">The overall shift is from a portfolio of separate papers connected loosely by method to a portfolio of papers connected by a shared artefact: the pretrained model itself. That artefact also has commercial optionality that individual papers don't — a pretrained GFM plus fine-tuning recipes for specific domains is a platform rather than a publication.</w:t>
      </w:r>
    </w:p>
    <w:p>
      <w:pPr>
        <w:pStyle w:val="Heading1"/>
      </w:pPr>
      <w:r>
        <w:t xml:space="preserve">Questions for the team</w:t>
      </w:r>
    </w:p>
    <w:p>
      <w:pPr>
        <w:pStyle w:val="ListParagraph"/>
        <w:numPr>
          <w:ilvl w:val="0"/>
          <w:numId w:val="2"/>
        </w:numPr>
        <w:spacing w:after="80"/>
      </w:pPr>
      <w:r>
        <w:t xml:space="preserve">Does the foundation model framing hold up on technical grounds, or are we better off treating the three core domains as separate projects with methodological overlap?</w:t>
      </w:r>
    </w:p>
    <w:p>
      <w:pPr>
        <w:pStyle w:val="ListParagraph"/>
        <w:numPr>
          <w:ilvl w:val="0"/>
          <w:numId w:val="2"/>
        </w:numPr>
        <w:spacing w:after="80"/>
      </w:pPr>
      <w:r>
        <w:t xml:space="preserve">Which dataset clusters do we prioritise first? Financial markets and commodities are the cheapest adds given BT's existing expertise; citation networks and technology graphs are the strongest test of genuine foundation-model generality.</w:t>
      </w:r>
    </w:p>
    <w:p>
      <w:pPr>
        <w:pStyle w:val="ListParagraph"/>
        <w:numPr>
          <w:ilvl w:val="0"/>
          <w:numId w:val="2"/>
        </w:numPr>
        <w:spacing w:after="80"/>
      </w:pPr>
      <w:r>
        <w:t xml:space="preserve">What is the honest scope of the architectural contribution? Pure engineering effort scaled up, or a genuinely new architectural idea coming from Arina's Bayesian temporal GNN work?</w:t>
      </w:r>
    </w:p>
    <w:p>
      <w:pPr>
        <w:pStyle w:val="ListParagraph"/>
        <w:numPr>
          <w:ilvl w:val="0"/>
          <w:numId w:val="2"/>
        </w:numPr>
        <w:spacing w:after="80"/>
      </w:pPr>
      <w:r>
        <w:t xml:space="preserve">How do we want to handle the evaluation baselines? A credible fine-tuning story needs strong domain-specific baselines, and building those is a non-trivial fraction of the total work.</w:t>
      </w:r>
    </w:p>
    <w:p>
      <w:pPr>
        <w:pStyle w:val="ListParagraph"/>
        <w:numPr>
          <w:ilvl w:val="0"/>
          <w:numId w:val="2"/>
        </w:numPr>
        <w:spacing w:after="80"/>
      </w:pPr>
      <w:r>
        <w:t xml:space="preserve">What does the right team shape look like? Data engineering, model architecture, pretraining, fine-tuning evaluation, and baseline implementation are all substantial workstreams.</w:t>
      </w:r>
    </w:p>
    <w:p>
      <w:pPr>
        <w:pStyle w:val="ListParagraph"/>
        <w:numPr>
          <w:ilvl w:val="0"/>
          <w:numId w:val="2"/>
        </w:numPr>
        <w:spacing w:after="80"/>
      </w:pPr>
      <w:r>
        <w:t xml:space="preserve">Is there a smaller first-step version of this project that tests the core hypothesis before full commitment?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Arial" w:cs="Arial" w:eastAsia="Arial" w:hAnsi="Arial"/>
      <w:b/>
      <w:bCs/>
      <w:sz w:val="40"/>
      <w:szCs w:val="40"/>
    </w:rPr>
  </w:style>
  <w:style w:type="paragraph" w:styleId="Heading1">
    <w:name w:val="Heading 1"/>
    <w:basedOn w:val="Normal"/>
    <w:next w:val="Normal"/>
    <w:qFormat/>
    <w:pPr>
      <w:spacing w:after="200" w:before="360"/>
      <w:outlineLvl w:val="0"/>
    </w:pPr>
    <w:rPr>
      <w:rFonts w:ascii="Arial" w:cs="Arial" w:eastAsia="Arial" w:hAnsi="Arial"/>
      <w:b/>
      <w:bCs/>
      <w:sz w:val="30"/>
      <w:szCs w:val="30"/>
    </w:rPr>
  </w:style>
  <w:style w:type="paragraph" w:styleId="Heading2">
    <w:name w:val="Heading 2"/>
    <w:basedOn w:val="Normal"/>
    <w:next w:val="Normal"/>
    <w:qFormat/>
    <w:pPr>
      <w:spacing w:after="140" w:before="28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2026-04-12T06:48:05.011Z</dcterms:created>
  <dcterms:modified xsi:type="dcterms:W3CDTF">2026-04-12T06:48:05.012Z</dcterms:modified>
</cp:coreProperties>
</file>

<file path=docProps/custom.xml><?xml version="1.0" encoding="utf-8"?>
<Properties xmlns="http://schemas.openxmlformats.org/officeDocument/2006/custom-properties" xmlns:vt="http://schemas.openxmlformats.org/officeDocument/2006/docPropsVTypes"/>
</file>