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ICML 2026 Workshop Sprint</w:t>
      </w:r>
    </w:p>
    <w:p>
      <w:pPr>
        <w:spacing w:after="80"/>
        <w:jc w:val="center"/>
      </w:pPr>
      <w:r>
        <w:rPr>
          <w:i/>
          <w:iCs/>
          <w:sz w:val="28"/>
          <w:szCs w:val="28"/>
        </w:rPr>
        <w:t xml:space="preserve">Strategic Report</w:t>
      </w:r>
    </w:p>
    <w:p>
      <w:pPr>
        <w:spacing w:after="320"/>
        <w:jc w:val="center"/>
      </w:pPr>
      <w:r>
        <w:rPr>
          <w:color w:val="666666"/>
          <w:sz w:val="20"/>
          <w:szCs w:val="20"/>
        </w:rPr>
        <w:t xml:space="preserve">Bloomsbury Technology · April 2026</w:t>
      </w:r>
    </w:p>
    <w:p>
      <w:pPr>
        <w:pStyle w:val="Heading1"/>
      </w:pPr>
      <w:r>
        <w:t xml:space="preserve">Executive summary</w:t>
      </w:r>
    </w:p>
    <w:p>
      <w:pPr>
        <w:spacing w:after="160"/>
      </w:pPr>
      <w:r>
        <w:t xml:space="preserve">Bloomsbury Technology will pursue an eight-paper sprint targeting ICML 2026 workshops in Seoul (July 10–11), with submissions staggered between April 24 and May 20. The portfolio combines theoretical results from Eugene Shcherbinin's LSE dissertation on multi-agent policy gradient methods with applied empirical work leveraging BT's proprietary datasets in art markets, prediction markets, financial markets, and energy. A separate intern-led project (BTHGNN) is staged for NeurIPS workshops in September rather than included in the May sprint.</w:t>
      </w:r>
    </w:p>
    <w:p>
      <w:pPr>
        <w:spacing w:after="160"/>
      </w:pPr>
      <w:r>
        <w:t xml:space="preserve">The sprint is feasible because most of the underlying research is already complete: dissertation chapters are written and validated, BT's empirical infrastructure is in production, and one paper is already partially drafted. The work in front of us is reframing, writing, and experimental re-runs — not new research. The main constraints are calendar (two crunch days, April 24 and May 13) and Eugene's time (he is on the critical path of five papers).</w:t>
      </w:r>
    </w:p>
    <w:p>
      <w:pPr>
        <w:spacing w:after="160"/>
      </w:pPr>
      <w:r>
        <w:t xml:space="preserve">Three papers are designated must-do (P1): the interpretability/Polymarket paper for the Hypothesis Testing workshop (α), the convergence-theory paper for NExT-Game (Ω), and the POLYBENCH forecasting benchmark for the Forecasting workshop (δ). These three drive sprint success and lock first. Four additional papers (γ, β, ε, π) are strong adds at P2 priority, contingent on staffing and on five open decisions documented in this report. One stretch paper (RL) sits in P3.</w:t>
      </w:r>
    </w:p>
    <w:p>
      <w:pPr>
        <w:pStyle w:val="Heading1"/>
      </w:pPr>
      <w:r>
        <w:t xml:space="preserve">Strategic context</w:t>
      </w:r>
    </w:p>
    <w:p>
      <w:pPr>
        <w:pStyle w:val="Heading2"/>
      </w:pPr>
      <w:r>
        <w:t xml:space="preserve">Why this sprint now</w:t>
      </w:r>
    </w:p>
    <w:p>
      <w:pPr>
        <w:spacing w:after="160"/>
      </w:pPr>
      <w:r>
        <w:t xml:space="preserve">ICML 2026 workshops were announced on April 6 with deadlines staggered between April 24 and May 20 — a window that maps almost exactly onto the natural cycle of dissertation-to-paper extraction. Eugene's dissertation introduces four orthogonal modifications to policy gradient methods in stochastic games, each provable and empirically validated. Each modification can become a self-contained workshop paper without overlap. Independently, Bloomsbury Technology has built production-grade infrastructure on proprietary datasets that are unusual in academic ML. Combining the two yields a portfolio with both theoretical depth and empirical distinctiveness — neither edge alone would justify an eight-paper sprint.</w:t>
      </w:r>
    </w:p>
    <w:p>
      <w:pPr>
        <w:pStyle w:val="Heading2"/>
      </w:pPr>
      <w:r>
        <w:t xml:space="preserve">What Bloomsbury Technology brings</w:t>
      </w:r>
    </w:p>
    <w:p>
      <w:pPr>
        <w:spacing w:after="160"/>
      </w:pPr>
      <w:r>
        <w:t xml:space="preserve">Two distinct edges, which compound when run in parallel.</w:t>
      </w:r>
    </w:p>
    <w:p>
      <w:pPr>
        <w:spacing w:after="160"/>
      </w:pPr>
      <w:r>
        <w:rPr>
          <w:b/>
          <w:bCs/>
        </w:rPr>
        <w:t xml:space="preserve">The theoretical edge. </w:t>
      </w:r>
      <w:r>
        <w:t xml:space="preserve">Eugene's dissertation builds on Giannou et al. (2022), introducing evidence-weighted policy gradient (with provable AM-HM variance reduction), LOLA-based opponent shaping (with basin enlargement under a spectral reinforcement condition), cooperative communication bounded by agents' self-knowledge, and sparse-policy regularisation achieving O(k log d) sample complexity. These results compose into a single update rule with provable convergence and matrix-game validation.</w:t>
      </w:r>
    </w:p>
    <w:p>
      <w:pPr>
        <w:spacing w:after="160"/>
      </w:pPr>
      <w:r>
        <w:rPr>
          <w:b/>
          <w:bCs/>
        </w:rPr>
        <w:t xml:space="preserve">The empirical edge. </w:t>
      </w:r>
      <w:r>
        <w:t xml:space="preserve">BT's methodological stack — causal intelligence (Bayesian networks, structural causal models, counterfactual reasoning), custom embeddings, graph neural networks, and rigorously validated classical ML — is purpose-built for the four domains where BT has data access: the art market, Polymarket prediction markets (with full ground-truth resolved outcomes), financial markets, and energy. Most ICML workshop submissions run on public benchmarks; ground-truth proprietary data is rare and reviewers reward it.</w:t>
      </w:r>
    </w:p>
    <w:p>
      <w:pPr>
        <w:pStyle w:val="Heading2"/>
      </w:pPr>
      <w:r>
        <w:t xml:space="preserve">Why empirical over theoretical, where forced to choose</w:t>
      </w:r>
    </w:p>
    <w:p>
      <w:pPr>
        <w:spacing w:after="160"/>
      </w:pPr>
      <w:r>
        <w:t xml:space="preserve">The portfolio leans more empirical than the original dissertation-only plan because BT's empirical work has higher value-per-hour for this sprint. The art-market causal engine, the Polymarket dataset, and the existing interpretability draft all represent research already done — the bottleneck is writeup, not method development. By contrast, dissertation-derived theoretical papers require careful extraction, tightening, and venue-specific reframing. Both lines stay in the portfolio, but the priority weighting reflects this asymmetry.</w:t>
      </w:r>
    </w:p>
    <w:p>
      <w:pPr>
        <w:pStyle w:val="Heading1"/>
      </w:pPr>
      <w:r>
        <w:t xml:space="preserve">Workshop landscape</w:t>
      </w:r>
    </w:p>
    <w:p>
      <w:pPr>
        <w:spacing w:after="160"/>
      </w:pPr>
      <w:r>
        <w:t xml:space="preserve">ICML 2026 features 44 accepted workshops. After triage against BT's expertise and the dissertation's content, eight venues emerged as strong fits:</w:t>
      </w:r>
    </w:p>
    <w:p>
      <w:pPr>
        <w:pStyle w:val="ListParagraph"/>
        <w:numPr>
          <w:ilvl w:val="0"/>
          <w:numId w:val="2"/>
        </w:numPr>
        <w:spacing w:after="100"/>
      </w:pPr>
      <w:r>
        <w:t xml:space="preserve">Hypothesis Testing — bullseye for the interpretability + Polymarket work (α). Organised by Lester Mackey, Arthur Gretton keynoting.</w:t>
      </w:r>
    </w:p>
    <w:p>
      <w:pPr>
        <w:pStyle w:val="ListParagraph"/>
        <w:numPr>
          <w:ilvl w:val="0"/>
          <w:numId w:val="2"/>
        </w:numPr>
        <w:spacing w:after="100"/>
      </w:pPr>
      <w:r>
        <w:t xml:space="preserve">NExT-Game (New Frontiers in Game-Theoretic Learning) — bullseye for the dissertation's core convergence theory (Ω). Speaker list includes Tardos, Sandholm, Ratliff.</w:t>
      </w:r>
    </w:p>
    <w:p>
      <w:pPr>
        <w:pStyle w:val="ListParagraph"/>
        <w:numPr>
          <w:ilvl w:val="0"/>
          <w:numId w:val="2"/>
        </w:numPr>
        <w:spacing w:after="100"/>
      </w:pPr>
      <w:r>
        <w:t xml:space="preserve">Forecasting as a New Frontier of Intelligence — natural home for the POLYBENCH benchmark (δ). Nicole Kagan from Kalshi is a confirmed speaker.</w:t>
      </w:r>
    </w:p>
    <w:p>
      <w:pPr>
        <w:pStyle w:val="ListParagraph"/>
        <w:numPr>
          <w:ilvl w:val="0"/>
          <w:numId w:val="2"/>
        </w:numPr>
        <w:spacing w:after="100"/>
      </w:pPr>
      <w:r>
        <w:t xml:space="preserve">Graph Foundation Models — fit for the art-market GFM (γ). Speaker list includes Leskovec, Bronstein, Zitnik.</w:t>
      </w:r>
    </w:p>
    <w:p>
      <w:pPr>
        <w:pStyle w:val="ListParagraph"/>
        <w:numPr>
          <w:ilvl w:val="0"/>
          <w:numId w:val="2"/>
        </w:numPr>
        <w:spacing w:after="100"/>
      </w:pPr>
      <w:r>
        <w:t xml:space="preserve">Culture × AI — only ICML workshop where art-market work is genuinely on-topic (β). Mixed-methods framing essential.</w:t>
      </w:r>
    </w:p>
    <w:p>
      <w:pPr>
        <w:pStyle w:val="ListParagraph"/>
        <w:numPr>
          <w:ilvl w:val="0"/>
          <w:numId w:val="2"/>
        </w:numPr>
        <w:spacing w:after="100"/>
      </w:pPr>
      <w:r>
        <w:t xml:space="preserve">Pluralistic Alignment — receptive to the empirical prediction-markets-as-aggregation paper (ε). Taylor Sorensen on organising committee.</w:t>
      </w:r>
    </w:p>
    <w:p>
      <w:pPr>
        <w:pStyle w:val="ListParagraph"/>
        <w:numPr>
          <w:ilvl w:val="0"/>
          <w:numId w:val="2"/>
        </w:numPr>
        <w:spacing w:after="100"/>
      </w:pPr>
      <w:r>
        <w:t xml:space="preserve">Philosophy Meets ML — venue for the philosopher-coauthored 𝒪→Π paper (π). Schölkopf on organising committee, Thomas Icard from Stanford. Non-archival, dual submission welcome.</w:t>
      </w:r>
    </w:p>
    <w:p>
      <w:pPr>
        <w:pStyle w:val="ListParagraph"/>
        <w:numPr>
          <w:ilvl w:val="0"/>
          <w:numId w:val="2"/>
        </w:numPr>
        <w:spacing w:after="100"/>
      </w:pPr>
      <w:r>
        <w:t xml:space="preserve">RLxF (RL from World Feedback) — late-deadline short-paper venue for the RLHF compression (RL).</w:t>
      </w:r>
    </w:p>
    <w:p>
      <w:pPr>
        <w:spacing w:after="160"/>
      </w:pPr>
      <w:r>
        <w:t xml:space="preserve">Workshops considered and rejected: High Dimensional Learning Dynamics (too crowded with scaling-laws work), Epistemic Intelligence (overlaps with Philosophy Meets ML — pick one), Mechanistic Interpretability (HyperSteer-Weight already submitted to ICML main track), Failure Modes in Agentic AI (wrong empirical flavour). The full triage of all 44 workshops is documented in earlier sprint planning notes.</w:t>
      </w:r>
    </w:p>
    <w:p>
      <w:pPr>
        <w:pStyle w:val="Heading1"/>
      </w:pPr>
      <w:r>
        <w:t xml:space="preserve">Paper portfolio</w:t>
      </w:r>
    </w:p>
    <w:p>
      <w:pPr>
        <w:spacing w:after="160"/>
      </w:pPr>
      <w:r>
        <w:t xml:space="preserve">The committed portfolio is eight papers across eight workshops with no technical overlap, plus BTHGNN as an autumn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1226"/>
        <w:gridCol w:w="1600"/>
      </w:tblGrid>
      <w:tr>
        <w:tc>
          <w:tcPr>
            <w:tcW w:type="dxa" w:w="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Code</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Paper</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Workshop</w:t>
            </w:r>
          </w:p>
        </w:tc>
        <w:tc>
          <w:tcPr>
            <w:tcW w:type="dxa" w:w="122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Deadline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rPr>
              <w:t xml:space="preserve">Tier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Interpretability + Polymarket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Hypothesis Testing</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Ω</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EW-PG + LOLA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NExT-Game</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 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δ</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POLYBENCH forecasting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Forecasting</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γ</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FM for art markets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Foundation Models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 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β</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Causal art valuation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 AI</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May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ε</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Markets as aggregation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Pluralistic Alignment</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𝒪→Π self-knowledge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Philosophy Meets ML</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RLHF reward aggregation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RLxF</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BTHGNN intern 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NeurIPS workshops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Autumn</w:t>
            </w:r>
          </w:p>
        </w:tc>
      </w:tr>
    </w:tbl>
    <w:p>
      <w:pPr>
        <w:spacing w:after="160"/>
      </w:pPr>
      <w:r>
        <w:t xml:space="preserve"> </w:t>
      </w:r>
    </w:p>
    <w:p>
      <w:pPr>
        <w:spacing w:after="160"/>
      </w:pPr>
      <w:r>
        <w:rPr>
          <w:i/>
          <w:iCs/>
        </w:rPr>
        <w:t xml:space="preserve">P1 papers are non-negotiable and lock first. P2 papers are strong adds, locked after P1 sub-teams are staffed, with four of the seven contingent on the five open decisions in section </w:t>
      </w:r>
      <w:r>
        <w:rPr>
          <w:i/>
          <w:iCs/>
        </w:rPr>
        <w:t xml:space="preserve">Open decisions</w:t>
      </w:r>
      <w:r>
        <w:t xml:space="preserve">. P3 is a one-paper buffer that ships only if early May execution is on track. BTHGNN is explicitly out of scope for the May sprint and pushed to NeurIPS workshops in September, where the intern team can develop properly without rushing.</w:t>
      </w:r>
    </w:p>
    <w:p>
      <w:pPr>
        <w:pStyle w:val="Heading2"/>
      </w:pPr>
      <w:r>
        <w:t xml:space="preserve">Paper rationale, in priority order</w:t>
      </w:r>
    </w:p>
    <w:p>
      <w:pPr>
        <w:spacing w:after="160"/>
      </w:pPr>
      <w:r>
        <w:rPr>
          <w:b/>
          <w:bCs/>
        </w:rPr>
        <w:t xml:space="preserve">α (Hypothesis Testing). </w:t>
      </w:r>
      <w:r>
        <w:t xml:space="preserve">Highest value-per-hour in the portfolio. The work exists in partial draft form; the workshop is organised by people whose research agenda matches the contribution exactly; Polymarket ground truth is rare in interpretability evaluation. This paper alone would be worth running the sprint for.</w:t>
      </w:r>
    </w:p>
    <w:p>
      <w:pPr>
        <w:spacing w:after="160"/>
      </w:pPr>
      <w:r>
        <w:rPr>
          <w:b/>
          <w:bCs/>
        </w:rPr>
        <w:t xml:space="preserve">Ω (NExT-Game). </w:t>
      </w:r>
      <w:r>
        <w:t xml:space="preserve">Theoretical anchor. The Ω-gradient framework is the dissertation's central contribution and the workshop fit is unusually clean — the speaker list reads like a who's-who of the literature Eugene's results extend. The April 24 deadline is the binding constraint of the entire sprint.</w:t>
      </w:r>
    </w:p>
    <w:p>
      <w:pPr>
        <w:spacing w:after="160"/>
      </w:pPr>
      <w:r>
        <w:rPr>
          <w:b/>
          <w:bCs/>
        </w:rPr>
        <w:t xml:space="preserve">δ (POLYBENCH Forecasting). </w:t>
      </w:r>
      <w:r>
        <w:t xml:space="preserve">Dataset moat. Polymarket's resolved-outcome ground truth is exactly the kind of evaluation signal AI forecasting research is hungry for, and few other teams have the data. A successful release would also seed downstream research and BT's reputation in the forecasting community. Conditional on BT signing off on the data release.</w:t>
      </w:r>
    </w:p>
    <w:p>
      <w:pPr>
        <w:spacing w:after="160"/>
      </w:pPr>
      <w:r>
        <w:rPr>
          <w:b/>
          <w:bCs/>
        </w:rPr>
        <w:t xml:space="preserve">γ (Graph Foundation Models). </w:t>
      </w:r>
      <w:r>
        <w:t xml:space="preserve">Highest execution risk in the portfolio. The April 24 deadline is the same day as Ω, requiring two disjoint sub-teams shipping in parallel. Conditional on BT's art-market graph being in usable schema by week 1. Fallback: a 2–4 page position paper at the same workshop, ~30 hours instead of 60–80.</w:t>
      </w:r>
    </w:p>
    <w:p>
      <w:pPr>
        <w:spacing w:after="160"/>
      </w:pPr>
      <w:r>
        <w:rPr>
          <w:b/>
          <w:bCs/>
        </w:rPr>
        <w:t xml:space="preserve">β (Culture × AI). </w:t>
      </w:r>
      <w:r>
        <w:t xml:space="preserve">Contingent on the sociologist coauthor's specialty. If they work in sociology of valuation (Beckert, Velthuis, Bourdieu lineage), the paper becomes a genuinely mixed-methods study and the workshop fit is excellent. If they work in consumer psychology or branding, the paper either drops or pivots.</w:t>
      </w:r>
    </w:p>
    <w:p>
      <w:pPr>
        <w:spacing w:after="160"/>
      </w:pPr>
      <w:r>
        <w:rPr>
          <w:b/>
          <w:bCs/>
        </w:rPr>
        <w:t xml:space="preserve">ε (Pluralistic Alignment). </w:t>
      </w:r>
      <w:r>
        <w:t xml:space="preserve">Empirical replacement for the originally planned theoretical Ch. 9 paper. Polymarket-based study of preference aggregation, framed against majority voting and reward ensembling. Non-archival venue lowers risk and the 4–8 page format is forgiving.</w:t>
      </w:r>
    </w:p>
    <w:p>
      <w:pPr>
        <w:spacing w:after="160"/>
      </w:pPr>
      <w:r>
        <w:rPr>
          <w:b/>
          <w:bCs/>
        </w:rPr>
        <w:t xml:space="preserve">π (Philosophy Meets ML). </w:t>
      </w:r>
      <w:r>
        <w:t xml:space="preserve">Contingent on the philosopher coauthor engaging substantively. The 𝒪→Π self-knowledge gap from Ch. 10 maps directly onto live debates in philosophy of mind about introspective access. Schölkopf and Icard on the committee mean rigorous philosophy is welcomed, not bolted on. Drops cleanly if the philosopher doesn't bite — the 4-page short format and late deadline contain the cost.</w:t>
      </w:r>
    </w:p>
    <w:p>
      <w:pPr>
        <w:spacing w:after="160"/>
      </w:pPr>
      <w:r>
        <w:rPr>
          <w:b/>
          <w:bCs/>
        </w:rPr>
        <w:t xml:space="preserve">RL (RLxF). </w:t>
      </w:r>
      <w:r>
        <w:t xml:space="preserve">Lowest-effort paper in the portfolio. Short proof-of-concept format, late deadline, dissertation-derived. Slot in only if everything else is on track by early May.</w:t>
      </w:r>
    </w:p>
    <w:p>
      <w:pPr>
        <w:pStyle w:val="Heading1"/>
      </w:pPr>
      <w:r>
        <w:t xml:space="preserve">Team and resource allocation</w:t>
      </w:r>
    </w:p>
    <w:p>
      <w:pPr>
        <w:pStyle w:val="Heading2"/>
      </w:pPr>
      <w:r>
        <w:t xml:space="preserve">Confirmed core</w:t>
      </w:r>
    </w:p>
    <w:p>
      <w:pPr>
        <w:pStyle w:val="ListParagraph"/>
        <w:numPr>
          <w:ilvl w:val="0"/>
          <w:numId w:val="2"/>
        </w:numPr>
        <w:spacing w:after="100"/>
      </w:pPr>
      <w:r>
        <w:rPr>
          <w:b/>
          <w:bCs/>
        </w:rPr>
        <w:t xml:space="preserve">Eugene Shcherbinin</w:t>
      </w:r>
      <w:r>
        <w:t xml:space="preserve"> — LSE BSc Mathematics &amp; Economics, BT founder. Lead author on five papers (α, Ω, ε, β, π). Cross-portfolio coherence and final theorem-statement review.</w:t>
      </w:r>
    </w:p>
    <w:p>
      <w:pPr>
        <w:pStyle w:val="ListParagraph"/>
        <w:numPr>
          <w:ilvl w:val="0"/>
          <w:numId w:val="2"/>
        </w:numPr>
        <w:spacing w:after="100"/>
      </w:pPr>
      <w:r>
        <w:rPr>
          <w:b/>
          <w:bCs/>
        </w:rPr>
        <w:t xml:space="preserve">Maxim Kalpin</w:t>
      </w:r>
      <w:r>
        <w:t xml:space="preserve"> — JKU Linz MSc AI, BT. Engineering lead: matrix-game re-runs for Ω, benchmark infrastructure for δ, graph construction for γ.</w:t>
      </w:r>
    </w:p>
    <w:p>
      <w:pPr>
        <w:pStyle w:val="ListParagraph"/>
        <w:numPr>
          <w:ilvl w:val="0"/>
          <w:numId w:val="2"/>
        </w:numPr>
        <w:spacing w:after="100"/>
      </w:pPr>
      <w:r>
        <w:rPr>
          <w:b/>
          <w:bCs/>
        </w:rPr>
        <w:t xml:space="preserve">Arina Redina</w:t>
      </w:r>
      <w:r>
        <w:t xml:space="preserve"> — Bristol BSc Mathematics, BT. Proof polishing on Ω, statistical theory on α, related-work sections across the slate. Separately leading BTHGNN (autumn track).</w:t>
      </w:r>
    </w:p>
    <w:p>
      <w:pPr>
        <w:pStyle w:val="Heading2"/>
      </w:pPr>
      <w:r>
        <w:t xml:space="preserve">Open coauthor slots</w:t>
      </w:r>
    </w:p>
    <w:p>
      <w:pPr>
        <w:spacing w:after="160"/>
      </w:pPr>
      <w:r>
        <w:t xml:space="preserve">Approximately 4–6 additional coauthors needed across the seven non-Eugene-led portions of the portfolio. A community call is in draft to recruit from BT's research network. Two specialised slots are conditional on coauthors already in conversation: a professional philosopher for π and a sociologist/marketer for β (and possibly a speculative paper σ if their specialty includes narrative economics).</w:t>
      </w:r>
    </w:p>
    <w:p>
      <w:pPr>
        <w:pStyle w:val="Heading2"/>
      </w:pPr>
      <w:r>
        <w:t xml:space="preserve">The Eugene bottleneck</w:t>
      </w:r>
    </w:p>
    <w:p>
      <w:pPr>
        <w:spacing w:after="160"/>
      </w:pPr>
      <w:r>
        <w:t xml:space="preserve">Eugene appears as lead author on five of nine papers. This is the actual constraint the deadline view hides: even with abundant grunt-work capacity from the wider BT team, intellectual ownership cannot be parallelised the same way engineering can. Two mitigations are in place. First, P2 papers stage their drafting windows so Eugene's writing time is sequential rather than concurrent. Second, several P2 papers (β, π) deliberately allocate 30–40% of the writing weight to humanities coauthors specifically to relieve Eugene's load on those papers. The sprint is workable as planned, but the buffer is thin.</w:t>
      </w:r>
    </w:p>
    <w:p>
      <w:pPr>
        <w:pStyle w:val="Heading1"/>
      </w:pPr>
      <w:r>
        <w:t xml:space="preserve">Timeline and critical path</w:t>
      </w:r>
    </w:p>
    <w:p>
      <w:pPr>
        <w:spacing w:after="160"/>
      </w:pPr>
      <w:r>
        <w:t xml:space="preserve">The sprint runs across six weeks, with two crunch points.</w:t>
      </w:r>
    </w:p>
    <w:p>
      <w:pPr>
        <w:spacing w:after="160"/>
      </w:pPr>
      <w:r>
        <w:rPr>
          <w:b/>
          <w:bCs/>
        </w:rPr>
        <w:t xml:space="preserve">Week 1 (Apr 9–16). </w:t>
      </w:r>
      <w:r>
        <w:t xml:space="preserve">Team formation and scoping. Priority 1 sub-teams formed and onboarded. α and Ω drafts in progress. γ graph construction begins in parallel. Monorepo and shared BibTeX set up.</w:t>
      </w:r>
    </w:p>
    <w:p>
      <w:pPr>
        <w:spacing w:after="160"/>
      </w:pPr>
      <w:r>
        <w:rPr>
          <w:b/>
          <w:bCs/>
        </w:rPr>
        <w:t xml:space="preserve">Week 2 (Apr 17–24) — first crunch. </w:t>
      </w:r>
      <w:r>
        <w:t xml:space="preserve">Submit Ω and γ on April 24. Two disjoint sub-teams ship simultaneously. α drafting continues; δ benchmark construction begins.</w:t>
      </w:r>
    </w:p>
    <w:p>
      <w:pPr>
        <w:spacing w:after="160"/>
      </w:pPr>
      <w:r>
        <w:rPr>
          <w:b/>
          <w:bCs/>
        </w:rPr>
        <w:t xml:space="preserve">Week 3 (Apr 25–May 1). </w:t>
      </w:r>
      <w:r>
        <w:t xml:space="preserve">Recovery from the April 24 push. β, ε, and π drafting. δ baseline runs. Sprint retrospective on the first crunch.</w:t>
      </w:r>
    </w:p>
    <w:p>
      <w:pPr>
        <w:spacing w:after="160"/>
      </w:pPr>
      <w:r>
        <w:rPr>
          <w:b/>
          <w:bCs/>
        </w:rPr>
        <w:t xml:space="preserve">Week 4 (May 2–8). </w:t>
      </w:r>
      <w:r>
        <w:t xml:space="preserve">Submit ε on May 3. β submission likely in this window pending Culture × AI deadline confirmation. RL drafting begins if staffed.</w:t>
      </w:r>
    </w:p>
    <w:p>
      <w:pPr>
        <w:spacing w:after="160"/>
      </w:pPr>
      <w:r>
        <w:rPr>
          <w:b/>
          <w:bCs/>
        </w:rPr>
        <w:t xml:space="preserve">Week 5 (May 9–15) — second crunch. </w:t>
      </w:r>
      <w:r>
        <w:t xml:space="preserve">Submit α (May 10), RL and π (May 13), and δ abstract registration (May 15). Four submissions in six days; the two short-paper formats (RL, π) and δ's 4-page limit make this manageable, but with no slack.</w:t>
      </w:r>
    </w:p>
    <w:p>
      <w:pPr>
        <w:spacing w:after="160"/>
      </w:pPr>
      <w:r>
        <w:rPr>
          <w:b/>
          <w:bCs/>
        </w:rPr>
        <w:t xml:space="preserve">Week 6 (May 16–20). </w:t>
      </w:r>
      <w:r>
        <w:t xml:space="preserve">Submit δ full paper on May 20. Sprint close, retrospective, arXiv preprint planning, follow-on planning for main-track submissions.</w:t>
      </w:r>
    </w:p>
    <w:p>
      <w:pPr>
        <w:pStyle w:val="Heading2"/>
      </w:pPr>
      <w:r>
        <w:t xml:space="preserve">Risk concentration</w:t>
      </w:r>
    </w:p>
    <w:p>
      <w:pPr>
        <w:spacing w:after="160"/>
      </w:pPr>
      <w:r>
        <w:t xml:space="preserve">April 24 is the hardest day of the sprint: two papers due at two different workshops with disjoint content, requiring two sub-teams locked by end of week 1. If γ cannot be staffed in time, it is the first thing to drop and replaced by a position-paper version at the same workshop. May 13 is the second pressure point but is structurally easier because the four submissions clustering there are mostly short-format papers.</w:t>
      </w:r>
    </w:p>
    <w:p>
      <w:pPr>
        <w:pStyle w:val="Heading1"/>
      </w:pPr>
      <w:r>
        <w:t xml:space="preserve">Open decisions</w:t>
      </w:r>
    </w:p>
    <w:p>
      <w:pPr>
        <w:spacing w:after="160"/>
      </w:pPr>
      <w:r>
        <w:t xml:space="preserve">Five questions need answers before the portfolio can be fully committed. Each gates one or more papers in the table above.</w:t>
      </w:r>
    </w:p>
    <w:p>
      <w:pPr>
        <w:spacing w:after="160"/>
      </w:pPr>
      <w:r>
        <w:rPr>
          <w:b/>
          <w:bCs/>
        </w:rPr>
        <w:t xml:space="preserve">1. What is the actual draft state of paper α? </w:t>
      </w:r>
      <w:r>
        <w:t xml:space="preserve">If partially written with results in hand, the May 10 deadline is comfortable and the priority is correct. If at idea stage, the effort estimate is too optimistic and α should drop to P2.</w:t>
      </w:r>
    </w:p>
    <w:p>
      <w:pPr>
        <w:spacing w:after="160"/>
      </w:pPr>
      <w:r>
        <w:rPr>
          <w:b/>
          <w:bCs/>
        </w:rPr>
        <w:t xml:space="preserve">2. Will BT sign off on the POLYBENCH data release? </w:t>
      </w:r>
      <w:r>
        <w:t xml:space="preserve">A dataset release is what makes δ distinctive. Without it, δ is still a viable paper as a methods study, but loses the moat that justifies P1 priority.</w:t>
      </w:r>
    </w:p>
    <w:p>
      <w:pPr>
        <w:spacing w:after="160"/>
      </w:pPr>
      <w:r>
        <w:rPr>
          <w:b/>
          <w:bCs/>
        </w:rPr>
        <w:t xml:space="preserve">3. Is BT's art-market graph in usable schema by April 16? </w:t>
      </w:r>
      <w:r>
        <w:t xml:space="preserve">If yes, γ is feasible at 60–80 hours. If no, γ either drops or pivots to a 2–4 page position paper at the same workshop.</w:t>
      </w:r>
    </w:p>
    <w:p>
      <w:pPr>
        <w:spacing w:after="160"/>
      </w:pPr>
      <w:r>
        <w:rPr>
          <w:b/>
          <w:bCs/>
        </w:rPr>
        <w:t xml:space="preserve">4. What is the philosopher coauthor's substantive specialty? </w:t>
      </w:r>
      <w:r>
        <w:t xml:space="preserve">Epistemology and philosophy of mind map cleanly to the 𝒪→Π paper as drafted. Philosophy of causality would justify a different paper drawing on the dissertation's evidence-weighting machinery, which sits even closer to Schölkopf's interests.</w:t>
      </w:r>
    </w:p>
    <w:p>
      <w:pPr>
        <w:spacing w:after="160"/>
      </w:pPr>
      <w:r>
        <w:rPr>
          <w:b/>
          <w:bCs/>
        </w:rPr>
        <w:t xml:space="preserve">5. What is the sociologist/marketer coauthor's substantive specialty? </w:t>
      </w:r>
      <w:r>
        <w:t xml:space="preserve">Sociology of valuation justifies the β reshape as drafted. Narrative economics or social influence opens a speculative additional paper (σ) on Polymarket dynamics. Consumer psychology or branding probably means dropping both and finding a different role for the coauthor.</w:t>
      </w:r>
    </w:p>
    <w:p>
      <w:pPr>
        <w:spacing w:after="160"/>
      </w:pPr>
      <w:r>
        <w:t xml:space="preserve">Each of these is decidable in days, not weeks. The portfolio cannot be locked until all five have answers.</w:t>
      </w:r>
    </w:p>
    <w:p>
      <w:pPr>
        <w:pStyle w:val="Heading1"/>
      </w:pPr>
      <w:r>
        <w:t xml:space="preserve">BTHGNN: the autumn track</w:t>
      </w:r>
    </w:p>
    <w:p>
      <w:pPr>
        <w:spacing w:after="160"/>
      </w:pPr>
      <w:r>
        <w:t xml:space="preserve">Arina is leading a separate intern project to build a Bayesian Temporal Heterogeneous Graph Neural Network on Polymarket data, with a small team (Vlad, Delphine, Minglin). The proposal is methodologically sound at its core — heterogeneous graph + temporal layer + Bayesian uncertainty over prediction-market data is a real research question with a falsifiable evaluation. Several issues need addressing before it becomes a paper: the trading framing must be removed, the irrationality score needs formal definition, baselines need to be specified, and the Monte Carlo dropout choice needs to be defended against the Foong/Folgoc critiques.</w:t>
      </w:r>
    </w:p>
    <w:p>
      <w:pPr>
        <w:spacing w:after="160"/>
      </w:pPr>
      <w:r>
        <w:t xml:space="preserve">BTHGNN should not be added to the May sprint. The team is junior (Arina is seven months into Python; the rest are at comparable stages), and rushing the work would hurt both the paper and the interns' development. The right home is NeurIPS 2026 workshops with September deadlines, which gives the team the summer to learn methods properly and a senior reviewer milestone in mid-project to stress-test results. BTHGNN should also coordinate data infrastructure with δ (POLYBENCH) so the two efforts share rather than duplicate work.</w:t>
      </w:r>
    </w:p>
    <w:p>
      <w:pPr>
        <w:pStyle w:val="Heading1"/>
      </w:pPr>
      <w:r>
        <w:t xml:space="preserve">Recommendation</w:t>
      </w:r>
    </w:p>
    <w:p>
      <w:pPr>
        <w:spacing w:after="160"/>
      </w:pPr>
      <w:r>
        <w:t xml:space="preserve">Greenlight the eight-paper portfolio at the priority weighting documented above. Lock Priority 1 sub-teams (α, Ω, δ) by end of week 1. Begin recruitment via the BT community call this weekend, with a hard reply deadline of Sunday April 12 EOD so the NExT-Game team can be locked by Monday morning.</w:t>
      </w:r>
    </w:p>
    <w:p>
      <w:pPr>
        <w:spacing w:after="160"/>
      </w:pPr>
      <w:r>
        <w:t xml:space="preserve">Resolve the five open decisions by Monday April 13. Once resolved, lock Priority 2 papers and begin parallel drafting. The April 24 crunch is the single point at which the sprint either lands or fails — if both Ω and γ ship cleanly, the rest of the portfolio is comfortable.</w:t>
      </w:r>
    </w:p>
    <w:p>
      <w:pPr>
        <w:spacing w:after="160"/>
      </w:pPr>
      <w:r>
        <w:t xml:space="preserve">Treat BTHGNN as a separate autumn track with its own milestones and a senior reviewer checkpoint at the four-week mark. Do not dilute the May sprint by trying to fit it in.</w:t>
      </w:r>
    </w:p>
    <w:p>
      <w:pPr>
        <w:spacing w:after="160"/>
      </w:pPr>
      <w:r>
        <w:t xml:space="preserve">If everything ships, BT enters July with eight workshop submissions across eight ICML venues, a partially-drafted arXiv preprint of the full dissertation framework, and seeded relationships with the NExT-Game, Hypothesis Testing, Forecasting, and Pluralistic Alignment communities. The downstream optionality on a NeurIPS 2026 main-track submission, a journal version of the Ω-gradient framework, and follow-on commercial conversations off the back of the empirical papers all run through this sprint.</w:t>
      </w:r>
    </w:p>
    <w:p>
      <w:pPr>
        <w:spacing w:after="160"/>
      </w:pPr>
      <w:r>
        <w:rPr>
          <w:i/>
          <w:iCs/>
          <w:color w:val="666666"/>
        </w:rPr>
        <w:t xml:space="preserve">— Eugene Shcherbinin, Bloomsbury Technology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sz w:val="32"/>
      <w:szCs w:val="32"/>
    </w:rPr>
  </w:style>
  <w:style w:type="paragraph" w:styleId="Heading2">
    <w:name w:val="Heading 2"/>
    <w:basedOn w:val="Normal"/>
    <w:next w:val="Normal"/>
    <w:qFormat/>
    <w:pPr>
      <w:spacing w:after="14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2026-04-11T12:30:25.863Z</dcterms:created>
  <dcterms:modified xsi:type="dcterms:W3CDTF">2026-04-11T12:30:25.864Z</dcterms:modified>
</cp:coreProperties>
</file>

<file path=docProps/custom.xml><?xml version="1.0" encoding="utf-8"?>
<Properties xmlns="http://schemas.openxmlformats.org/officeDocument/2006/custom-properties" xmlns:vt="http://schemas.openxmlformats.org/officeDocument/2006/docPropsVTypes"/>
</file>