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Meta-SWAG</w:t>
      </w:r>
    </w:p>
    <w:p>
      <w:pPr>
        <w:spacing w:after="60"/>
        <w:jc w:val="center"/>
      </w:pPr>
      <w:r>
        <w:rPr>
          <w:i/>
          <w:iCs/>
        </w:rPr>
        <w:t xml:space="preserve">Bayesian Posterior Approximation over the Meta-MDP of Multi-Agent Policy Gradient, with Application to LLM Alignment</w:t>
      </w:r>
    </w:p>
    <w:p>
      <w:pPr>
        <w:spacing w:after="280"/>
        <w:jc w:val="center"/>
      </w:pPr>
      <w:r>
        <w:t xml:space="preserve">Paper Plan v2 — Bloomsbury Technology · April 13, 2026</w:t>
      </w:r>
    </w:p>
    <w:p>
      <w:pPr>
        <w:pStyle w:val="Heading1"/>
      </w:pPr>
      <w:r>
        <w:t xml:space="preserve">What changed since v1</w:t>
      </w:r>
    </w:p>
    <w:p>
      <w:pPr>
        <w:spacing w:after="120"/>
      </w:pPr>
      <w:r>
        <w:t xml:space="preserve">Five things have shifted since the original outline. Each materially affects scope, venue, or framing.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Venue. Target is no longer NeurIPS 2026 main track in May. New target: ICML 2026 workshop on Statistical Frameworks for Uncertainty in Agentic Systems, deadline April 21, non-archival, 8 pages. Non-archival preserves NeurIPS or ICLR 2027 as a follow-up. Workshop scope is a near-perfect fit — base LLM + aligner is exactly the hierarchical composition the workshop targets.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Theorem 3 algebra is verified. The KL decomposition holds with a (1 + C²/2) multiplicative constant on the 𝒪→Π gap, where C bounds the log-density ratio of comparison policies. The unification claim survives intact and arguably strengthens — C has a natural interpretation as expressibility, pulling the L_express dimension of the horseshoe into the bound.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LLM alignment becomes a first-class application, not an afterthought. RLHF/DPO/GRPO are meta-learning algorithms in the Kim et al. sense; Meta-SWAG over a fine-tuning trajectory drops in directly. Theorem 3 reframed for the aligner gives a clean inequality: alignment quality is bounded by aligner self-knowledge of the base policy.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Coauthor strategy concrete. Aitchison's group at Bristol has the directly adjacent precedent — Laplace-LoRA for LLMs (Yang/Robeyns/Wang/Aitchison, ICLR 2024) and Bayesian Reward Models for LLM Alignment. Meta-SWAG is the policy-side complement to their reward-side posterior. Outreach via Arina's Bristol tie.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RL paper dropped from sprint. The May 13 RLxF submission was always the softest P3 commitment; its content (RLHF reward aggregation) is fully absorbed into Meta-SWAG's Theorem 1 reframing. Net: lose one P3, gain one P1-tier paper at a bullseye-fit workshop, earlier deadline.</w:t>
      </w:r>
    </w:p>
    <w:p>
      <w:pPr>
        <w:pStyle w:val="Heading2"/>
      </w:pPr>
      <w:r>
        <w:t xml:space="preserve">Updated portfolio 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100"/>
        <w:gridCol w:w="2400"/>
        <w:gridCol w:w="1480"/>
        <w:gridCol w:w="1100"/>
        <w:gridCol w:w="1500"/>
      </w:tblGrid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Code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Paper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Workshop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Deadline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Meta-SWAG (workshop)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Stat. Frameworks for Uncertainty in Agentic Systems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April 21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 (NEW)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to sprint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Ω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EW-PG + LOLA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NExT-Game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April 24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Unchanged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α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Interp. + Polymarket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Hypothesis Testing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May 10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Unchanged</w:t>
            </w:r>
          </w:p>
        </w:tc>
      </w:tr>
      <w:tr>
        <w:tc>
          <w:tcPr>
            <w:tcW w:type="dxa" w:w="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RLHF reward agg.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RLxF</w:t>
            </w:r>
          </w:p>
        </w:tc>
        <w:tc>
          <w:tcPr>
            <w:tcW w:type="dxa" w:w="1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May 13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DROPPED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Absorbed into M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Core thesis (revised)</w:t>
      </w:r>
    </w:p>
    <w:p>
      <w:pPr>
        <w:spacing w:after="120"/>
      </w:pPr>
      <w:r>
        <w:t xml:space="preserve">The meta-MDP framing of Kim et al. (2021) makes SWAG-style posterior approximation coherent in settings where it was previously incoherent. We exploit this in two places: multi-agent policy gradient (the original framing) and LLM fine-tuning (the new application). In both, three theorems characterize the resulting posterior — variance reduction (Ch. 7), basin geometry (Ch. 7 LOLA), and an irreducible self-knowledge term (Ch. 10). The third theorem applied to LLM alignment yields a novel bound: alignment quality is upper-bounded by the aligner's introspective access to the base model.</w:t>
      </w:r>
    </w:p>
    <w:p>
      <w:pPr>
        <w:spacing w:after="120"/>
      </w:pPr>
      <w:r>
        <w:t xml:space="preserve">The paper's signature move is unification. Three dissertation chapters, two distinct application domains, and one theoretical object — the Meta-SWAG posterior — are connected by a single set of theorems.</w:t>
      </w:r>
    </w:p>
    <w:p>
      <w:pPr>
        <w:pStyle w:val="Heading1"/>
      </w:pPr>
      <w:r>
        <w:t xml:space="preserve">Paper structure (8 pages)</w:t>
      </w:r>
    </w:p>
    <w:p>
      <w:pPr>
        <w:pStyle w:val="Heading2"/>
      </w:pPr>
      <w:r>
        <w:t xml:space="preserve">1. Introduction (1 page)</w:t>
      </w:r>
    </w:p>
    <w:p>
      <w:pPr>
        <w:spacing w:after="120"/>
      </w:pPr>
      <w:r>
        <w:t xml:space="preserve">Four paragraphs.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Multi-agent policy gradient and LLM fine-tuning both have local convergence theory but no principled posterior approximation.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SWAG works for supervised deep learning but breaks under non-stationarity. The meta-MDP framing of Kim et al. resolves this; we extend the resolution to the LLM fine-tuning trajectory, which is structurally a meta-MDP whose actions are aligner updates.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Three theorems unify three dissertation chapters. Two corollaries land the result in alignment: BMA reduces reward-overoptimization variance (Cor. 1.1), aligner self-knowledge bounds alignment KL (Cor. 3.1).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Empirical validation on (a) Kim et al. matrix games, (b) Llama-3-8B with DPO on AlpacaFarm reward overoptimization protocol, (c) algorithm-agnosticism check across DPO/PPO/GRPO.</w:t>
      </w:r>
    </w:p>
    <w:p>
      <w:pPr>
        <w:pStyle w:val="Heading2"/>
      </w:pPr>
      <w:r>
        <w:t xml:space="preserve">2. Background (1.25 pages)</w:t>
      </w:r>
    </w:p>
    <w:p>
      <w:pPr>
        <w:pStyle w:val="Heading3"/>
      </w:pPr>
      <w:r>
        <w:t xml:space="preserve">2.1 Meta-MDP framing covers two domains (0.5 pages)</w:t>
      </w:r>
    </w:p>
    <w:p>
      <w:pPr>
        <w:spacing w:after="120"/>
      </w:pPr>
      <w:r>
        <w:t xml:space="preserve">State Kim et al.'s meta-MDP cleanly. New framing: LLM fine-tuning is a meta-MDP whose state is the LLM's parameters at step t, action is the aligner's update (DPO / PPO / GRPO gradient step), reward is alignment objective. This is not analogy — it's literal.</w:t>
      </w:r>
    </w:p>
    <w:p>
      <w:pPr>
        <w:pStyle w:val="Heading3"/>
      </w:pPr>
      <w:r>
        <w:t xml:space="preserve">2.2 SWAG and why it fails outside the meta-MDP (0.4 pages)</w:t>
      </w:r>
    </w:p>
    <w:p>
      <w:pPr>
        <w:spacing w:after="120"/>
      </w:pPr>
      <w:r>
        <w:t xml:space="preserve">State the SWAG posterior; note assumptions (stationary loss, exchangeable iterates) and why both fail in raw RL but hold under the meta-MDP framing.</w:t>
      </w:r>
    </w:p>
    <w:p>
      <w:pPr>
        <w:pStyle w:val="Heading3"/>
      </w:pPr>
      <w:r>
        <w:t xml:space="preserve">2.3 Bayesian alignment landscape (0.35 pages)</w:t>
      </w:r>
    </w:p>
    <w:p>
      <w:pPr>
        <w:spacing w:after="120"/>
      </w:pPr>
      <w:r>
        <w:t xml:space="preserve">Position against Laplace-LoRA (Yang et al. 2024) and Bayesian Reward Models (Yang et al. 2024). Their posterior is on the reward model r_θ; Meta-SWAG's is on the aligned policy π_φ. Complementary, not competing.</w:t>
      </w:r>
    </w:p>
    <w:p>
      <w:pPr>
        <w:pStyle w:val="Heading2"/>
      </w:pPr>
      <w:r>
        <w:t xml:space="preserve">3. Meta-SWAG (1.75 pages)</w:t>
      </w:r>
    </w:p>
    <w:p>
      <w:pPr>
        <w:pStyle w:val="Heading3"/>
      </w:pPr>
      <w:r>
        <w:t xml:space="preserve">3.1 The posterior (0.5 pages)</w:t>
      </w:r>
    </w:p>
    <w:p>
      <w:pPr>
        <w:spacing w:after="120"/>
      </w:pPr>
      <w:r>
        <w:t xml:space="preserve">Given a trajectory of joint policies (or fine-tuning checkpoints) {θ_t}, define the Meta-SWAG posterior as a Gaussian with mean equal to the evidence-weighted average and covariance given by an evidence-weighted SWAG diagonal-plus-low-rank decomposition. State explicit formulae.</w:t>
      </w:r>
    </w:p>
    <w:p>
      <w:pPr>
        <w:pStyle w:val="Heading3"/>
      </w:pPr>
      <w:r>
        <w:t xml:space="preserve">3.2 The algorithm (0.5 pages)</w:t>
      </w:r>
    </w:p>
    <w:p>
      <w:pPr>
        <w:spacing w:after="120"/>
      </w:pPr>
      <w:r>
        <w:t xml:space="preserve">One boxed pseudocode. Inputs: trajectory, evidence weights. Outputs: posterior N(μ, Σ). Training cost: one running mean and covariance, identical to vanilla SWAG. Inference cost: S samples × forward pass. For LLMs, posterior is over LoRA adapter parameters — drops dimensionality by 2-3 orders of magnitude and matches what alignment actually modifies.</w:t>
      </w:r>
    </w:p>
    <w:p>
      <w:pPr>
        <w:pStyle w:val="Heading3"/>
      </w:pPr>
      <w:r>
        <w:t xml:space="preserve">3.3 Design choices (0.75 pages)</w:t>
      </w:r>
    </w:p>
    <w:p>
      <w:pPr>
        <w:spacing w:after="120"/>
      </w:pPr>
      <w:r>
        <w:t xml:space="preserve">Three subsections: why evidence-weight the mean (Dissertation §5.2); why low-rank covariance captures basin geometry (previews Theorem 2); why posterior samples are joint rather than per-agent (the coupling matters for both coalition reasoning and aligner-base coupling).</w:t>
      </w:r>
    </w:p>
    <w:p>
      <w:pPr>
        <w:pStyle w:val="Heading2"/>
      </w:pPr>
      <w:r>
        <w:t xml:space="preserve">4. Theoretical results (2 pages)</w:t>
      </w:r>
    </w:p>
    <w:p>
      <w:pPr>
        <w:spacing w:after="120"/>
      </w:pPr>
      <w:r>
        <w:t xml:space="preserve">Three theorems plus two corollaries. Each theorem connects to a different dissertation chapter; each corollary lands the theorem in LLM alignment.</w:t>
      </w:r>
    </w:p>
    <w:p>
      <w:pPr>
        <w:pStyle w:val="Heading3"/>
      </w:pPr>
      <w:r>
        <w:t xml:space="preserve">Theorem 1 — BMA dominance over point estimates</w:t>
      </w:r>
    </w:p>
    <w:p>
      <w:pPr>
        <w:spacing w:after="120"/>
      </w:pPr>
      <w:r>
        <w:rPr>
          <w:b/>
          <w:bCs/>
        </w:rPr>
        <w:t xml:space="preserve">Connects to: </w:t>
      </w:r>
      <w:r>
        <w:t xml:space="preserve">Dissertation Ch. 7, evidence-weighted policy gradient.</w:t>
      </w:r>
    </w:p>
    <w:p>
      <w:pPr>
        <w:spacing w:after="120"/>
      </w:pPr>
      <w:r>
        <w:rPr>
          <w:b/>
          <w:bCs/>
        </w:rPr>
        <w:t xml:space="preserve">Statement. </w:t>
      </w:r>
      <w:r>
        <w:t xml:space="preserve">Under the Giannou et al. regularity conditions, the Meta-SWAG Bayesian model average achieves effective variance HM(V)/AM(V) ≤ 1 times the variance of the point-estimate meta-MAPG policy. Strict inequality whenever the meta-value is non-constant across the SWAG ensemble.</w:t>
      </w:r>
    </w:p>
    <w:p>
      <w:pPr>
        <w:spacing w:after="120"/>
      </w:pPr>
      <w:r>
        <w:rPr>
          <w:b/>
          <w:bCs/>
        </w:rPr>
        <w:t xml:space="preserve">Corollary 1.1 (alignment). </w:t>
      </w:r>
      <w:r>
        <w:t xml:space="preserve">Sampling from the Meta-SWAG posterior over an aligned LLM yields strictly lower behavioural variance than the point-estimate aligned model. Under the Gao et al. (2023) reward overoptimization model, the BMA exhibits HM(V)/AM(V) less reward-hacking exploitation in BoN sampling than the MAP estimate.</w:t>
      </w:r>
    </w:p>
    <w:p>
      <w:pPr>
        <w:spacing w:after="120"/>
      </w:pPr>
      <w:r>
        <w:rPr>
          <w:b/>
          <w:bCs/>
        </w:rPr>
        <w:t xml:space="preserve">Why it matters. </w:t>
      </w:r>
      <w:r>
        <w:t xml:space="preserve">The posterior-level analogue of the AM-HM theorem. Same inequality governs gradient variance and posterior variance reduction. Corollary 1.1 is the most reviewer-relevant version: a defence against reward overoptimization that requires no additional reward model, no ensemble retraining, and no auxiliary loss.</w:t>
      </w:r>
    </w:p>
    <w:p>
      <w:pPr>
        <w:pStyle w:val="Heading3"/>
      </w:pPr>
      <w:r>
        <w:t xml:space="preserve">Theorem 2 — Posterior covariance identifies basin geometry</w:t>
      </w:r>
    </w:p>
    <w:p>
      <w:pPr>
        <w:spacing w:after="120"/>
      </w:pPr>
      <w:r>
        <w:rPr>
          <w:b/>
          <w:bCs/>
        </w:rPr>
        <w:t xml:space="preserve">Connects to: </w:t>
      </w:r>
      <w:r>
        <w:t xml:space="preserve">Dissertation Ch. 7, LOLA basin enlargement.</w:t>
      </w:r>
    </w:p>
    <w:p>
      <w:pPr>
        <w:spacing w:after="120"/>
      </w:pPr>
      <w:r>
        <w:rPr>
          <w:b/>
          <w:bCs/>
        </w:rPr>
        <w:t xml:space="preserve">Statement. </w:t>
      </w:r>
      <w:r>
        <w:t xml:space="preserve">Near a second-order stationary point θ* satisfying the spectral reinforcement condition, the Meta-SWAG posterior covariance Σ converges (T → ∞) to a matrix whose eigenspectrum is determined by the Hessian of the meta-value at θ*, with support corresponding to the basin of attraction.</w:t>
      </w:r>
    </w:p>
    <w:p>
      <w:pPr>
        <w:spacing w:after="120"/>
      </w:pPr>
      <w:r>
        <w:rPr>
          <w:b/>
          <w:bCs/>
        </w:rPr>
        <w:t xml:space="preserve">Corollary 2.1 (alignment). </w:t>
      </w:r>
      <w:r>
        <w:t xml:space="preserve">Posterior eigenvalue concentration in narrow directions is a candidate diagnostic for fragile or potentially deceptive alignment. Wide symmetric posterior = robust basin; spike along narrow directions = fragility along those parameters. Empirical signal where behavioural detection is weak (Experiment 15 in the technical report).</w:t>
      </w:r>
    </w:p>
    <w:p>
      <w:pPr>
        <w:spacing w:after="120"/>
      </w:pPr>
      <w:r>
        <w:rPr>
          <w:b/>
          <w:bCs/>
        </w:rPr>
        <w:t xml:space="preserve">Proof sketch. </w:t>
      </w:r>
      <w:r>
        <w:t xml:space="preserve">Standard asymptotic argument using the meta-MDP's stationary distribution around θ*; spectral condition bounds Markov chain mixing.</w:t>
      </w:r>
    </w:p>
    <w:p>
      <w:pPr>
        <w:pStyle w:val="Heading3"/>
      </w:pPr>
      <w:r>
        <w:t xml:space="preserve">Theorem 3 — Posterior quality bounded by the 𝒪→Π gap</w:t>
      </w:r>
    </w:p>
    <w:p>
      <w:pPr>
        <w:spacing w:after="120"/>
      </w:pPr>
      <w:r>
        <w:rPr>
          <w:b/>
          <w:bCs/>
        </w:rPr>
        <w:t xml:space="preserve">Connects to: </w:t>
      </w:r>
      <w:r>
        <w:t xml:space="preserve">Dissertation Ch. 10, self-knowledge.</w:t>
      </w:r>
    </w:p>
    <w:p>
      <w:pPr>
        <w:spacing w:after="120"/>
      </w:pPr>
      <w:r>
        <w:rPr>
          <w:b/>
          <w:bCs/>
        </w:rPr>
        <w:t xml:space="preserve">Statement (revised, with constant). </w:t>
      </w:r>
      <w:r>
        <w:t xml:space="preserve">Let π_θ be an agent's true policy, π̃_θ the agent's self-model, and π̂_θ = E_{θ'∼q_T}[π̃_{θ'}] the policy implied by the Meta-SWAG posterior. Then under the regularity condition C := sup |log(π̃_θ/π̂_θ)| &lt; ∞:</w:t>
      </w:r>
    </w:p>
    <w:p>
      <w:pPr>
        <w:spacing w:after="120"/>
      </w:pPr>
      <w:r>
        <w:t xml:space="preserve">    D_KL(π_θ ‖ π̂_θ) ≤ (1 + C²/2) · L_self^(i) + O(1/T)</w:t>
      </w:r>
    </w:p>
    <w:p>
      <w:pPr>
        <w:spacing w:after="120"/>
      </w:pPr>
      <w:r>
        <w:t xml:space="preserve">where L_self^(i) is the agent's 𝒪→Π self-knowledge gap (Dissertation §5.1).</w:t>
      </w:r>
    </w:p>
    <w:p>
      <w:pPr>
        <w:spacing w:after="120"/>
      </w:pPr>
      <w:r>
        <w:rPr>
          <w:b/>
          <w:bCs/>
        </w:rPr>
        <w:t xml:space="preserve">Corollary 3.1 (alignment). </w:t>
      </w:r>
      <w:r>
        <w:t xml:space="preserve">Apply Theorem 3 with π = base LLM policy, π̃ = aligner's self-model of the base policy, π̂ = aligned LLM via Meta-SWAG posterior. Then alignment KL is bounded by aligner self-knowledge of the base model. Mesa-optimisation is the worst case: by definition, mesa-optimisers create gaps between aligner self-model and true base policy on the deployment distribution, saturating the bound.</w:t>
      </w:r>
    </w:p>
    <w:p>
      <w:pPr>
        <w:spacing w:after="120"/>
      </w:pPr>
      <w:r>
        <w:rPr>
          <w:b/>
          <w:bCs/>
        </w:rPr>
        <w:t xml:space="preserve">Why it matters. </w:t>
      </w:r>
      <w:r>
        <w:t xml:space="preserve">The unifying result. The dissertation's self-knowledge gap — currently a standalone Ch. 10 concept — is precisely the irreducible error in posterior approximation. Connects posterior quality, coalition formation, introspection, and (via Cor. 3.1) alignment fragility into a single object.</w:t>
      </w:r>
    </w:p>
    <w:p>
      <w:pPr>
        <w:spacing w:after="120"/>
      </w:pPr>
      <w:r>
        <w:rPr>
          <w:b/>
          <w:bCs/>
        </w:rPr>
        <w:t xml:space="preserve">Verified on whiteboard April 13. </w:t>
      </w:r>
      <w:r>
        <w:t xml:space="preserve">KL decomposition: D_KL(π ‖ π̂) = D_KL(π ‖ π̃) + E_π[log(π̃/π̂)]. Change of measure on the cross-term gives a residual bounded by C·√(L_self · D_KL(π̃ ‖ π̂)) via Pinsker. Young's inequality 2ab ≤ a² + b² yields the (1 + C²/2) constant. SWAG term is O(1/T) by the standard Maddox-style bound under the meta-MDP stationary distribution from Theorem 2.</w:t>
      </w:r>
    </w:p>
    <w:p>
      <w:pPr>
        <w:pStyle w:val="Heading2"/>
      </w:pPr>
      <w:r>
        <w:t xml:space="preserve">5. Experiments (1.5 pages)</w:t>
      </w:r>
    </w:p>
    <w:p>
      <w:pPr>
        <w:spacing w:after="120"/>
      </w:pPr>
      <w:r>
        <w:t xml:space="preserve">Four experiments. The first three were in v1; the fourth is new and is the headline result for the agentic-systems workshop audience.</w:t>
      </w:r>
    </w:p>
    <w:p>
      <w:pPr>
        <w:pStyle w:val="Heading3"/>
      </w:pPr>
      <w:r>
        <w:t xml:space="preserve">5.1 BMA variance reduction (validates Theorem 1)</w:t>
      </w:r>
    </w:p>
    <w:p>
      <w:pPr>
        <w:spacing w:after="120"/>
      </w:pPr>
      <w:r>
        <w:t xml:space="preserve">Matrix games: matching pennies, stag hunt, IPD. Compare meta-MAPG point estimate, vanilla SWAG, Meta-SWAG with evidence weighting. Expected: Meta-SWAG variance = HM/AM × vanilla SWAG variance, both dominating the point estimate. Cost: trivial (CPU).</w:t>
      </w:r>
    </w:p>
    <w:p>
      <w:pPr>
        <w:pStyle w:val="Heading3"/>
      </w:pPr>
      <w:r>
        <w:t xml:space="preserve">5.2 Basin geometry from posterior (validates Theorem 2)</w:t>
      </w:r>
    </w:p>
    <w:p>
      <w:pPr>
        <w:spacing w:after="120"/>
      </w:pPr>
      <w:r>
        <w:t xml:space="preserve">Iterated PD at varying LOLA strengths. Train Meta-SWAG, measure posterior eigenspectrum, compare to analytically computed basin size. Expected: eigenvalue ratio tracks basin size linearly. Cost: trivial (CPU).</w:t>
      </w:r>
    </w:p>
    <w:p>
      <w:pPr>
        <w:pStyle w:val="Heading3"/>
      </w:pPr>
      <w:r>
        <w:t xml:space="preserve">5.3 Reward overoptimization on Llama-3-8B with DPO (validates Cor. 1.1)</w:t>
      </w:r>
    </w:p>
    <w:p>
      <w:pPr>
        <w:spacing w:after="120"/>
      </w:pPr>
      <w:r>
        <w:t xml:space="preserve">Headline empirical experiment. Reproduce the Gao/Coste/Yang BoN protocol on AlpacaFarm with a gold reward model. Three conditions: MAP DPO checkpoint, Laplace-LoRA reward model (Yang et al. 2024 baseline), Meta-SWAG posterior over the aligned policy. Measure proxy vs gold reward gap as BoN k increases.</w:t>
      </w:r>
    </w:p>
    <w:p>
      <w:pPr>
        <w:spacing w:after="120"/>
      </w:pPr>
      <w:r>
        <w:rPr>
          <w:b/>
          <w:bCs/>
        </w:rPr>
        <w:t xml:space="preserve">Expected result. </w:t>
      </w:r>
      <w:r>
        <w:t xml:space="preserve">Meta-SWAG matches or beats Laplace-LoRA on the gap-reduction metric, while requiring zero additional models — only the SWAG running statistics computed during the existing DPO training run. This is the differentiating empirical claim.</w:t>
      </w:r>
    </w:p>
    <w:p>
      <w:pPr>
        <w:pStyle w:val="Heading3"/>
      </w:pPr>
      <w:r>
        <w:t xml:space="preserve">5.4 Algorithm-agnosticism across DPO / PPO / GRPO (paper's distinctive empirical edge)</w:t>
      </w:r>
    </w:p>
    <w:p>
      <w:pPr>
        <w:spacing w:after="120"/>
      </w:pPr>
      <w:r>
        <w:t xml:space="preserve">Same Llama-3-8B backbone, three aligners. Show Meta-SWAG sits on top of each without modification and gives the same variance-reduction signal in all three cases. This is the claim that differentiates Meta-SWAG from LoRA-ensemble approaches (which require N full trainings per aligner). One figure, three rows, dramatic visual contrast.</w:t>
      </w:r>
    </w:p>
    <w:p>
      <w:pPr>
        <w:pStyle w:val="Heading2"/>
      </w:pPr>
      <w:r>
        <w:t xml:space="preserve">6. Related work (0.5 pages)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Bayesian reward modelling — Yang et al. 2024 (Laplace-LoRA reward), Coste et al. 2024 (RM ensembles), Eisenstein et al. 2023. Distinguishing claim: their posteriors are on r_θ, ours on π_φ. Complementary.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Meta-learning in MARL — Kim, Al-Shedivat, MeVa, M-FOS. Distinguishing claim: Meta-SWAG is orthogonal to the meta-learning algorithm; sits on top of any of them.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Bayesian deep learning — Maddox SWAG, Izmailov subspace inference, Yang/Robeyns/Wang/Aitchison Laplace-LoRA. Meta-SWAG is the first SWAG-style posterior over multi-agent meta-MDPs and the first applied to LLM fine-tuning trajectories.</w:t>
      </w:r>
    </w:p>
    <w:p>
      <w:pPr>
        <w:pStyle w:val="Heading2"/>
      </w:pPr>
      <w:r>
        <w:t xml:space="preserve">7. Discussion (0.5 pages)</w:t>
      </w:r>
    </w:p>
    <w:p>
      <w:pPr>
        <w:pStyle w:val="Heading3"/>
      </w:pPr>
      <w:r>
        <w:t xml:space="preserve">7.1 Limitations</w:t>
      </w:r>
    </w:p>
    <w:p>
      <w:pPr>
        <w:spacing w:after="120"/>
      </w:pPr>
      <w:r>
        <w:t xml:space="preserve">Gaussian assumption — wrong in bimodal alignment basins. MultiSWAG is the natural extension. Theorem 3 bound tight only at convergence. The (1 + C²/2) constant is loose for highly expressive policy families; tighter via χ² bounds, deferred.</w:t>
      </w:r>
    </w:p>
    <w:p>
      <w:pPr>
        <w:pStyle w:val="Heading3"/>
      </w:pPr>
      <w:r>
        <w:t xml:space="preserve">7.2 Implications and future work</w:t>
      </w:r>
    </w:p>
    <w:p>
      <w:pPr>
        <w:spacing w:after="120"/>
      </w:pPr>
      <w:r>
        <w:t xml:space="preserve">Three: extension to MoE router posteriors (one-paragraph teaser of the planned MoE follow-up); MultiSWAG for multi-equilibrium alignment; integration with causal meta-learning. Single sentence noting the broader Ω-gradient framework all four modifications admit Meta-SWAG variants.</w:t>
      </w:r>
    </w:p>
    <w:p>
      <w:pPr>
        <w:pStyle w:val="Heading1"/>
      </w:pPr>
      <w:r>
        <w:t xml:space="preserve">Sprint timeline (April 13 → April 21)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66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Deliverable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Sun Apr 13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Eugene + Arina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90-min whiteboard: confirm Theorem 3 algebra (already done — KL bound holds with (1 + C²/2) constant)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 Apr 14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Eugene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Send Aitchison/Ober outreach email; lock theorem statements (3 theorems, two corollaries on alignment)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Tue Apr 15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Maxim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Meta-SWAG implementation on TRL DPO trainer; LoRA-only posterior to keep dimensionality tractable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Wed Apr 16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Maxim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Reproduce Gao/Coste/Yang BoN baseline on AlpacaFarm 1.4B (single GPU)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Thu Apr 17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Maxim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Meta-SWAG over DPO fine-tuning trajectory; collect posterior statistics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Fri Apr 18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Eugene + Arina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Sections 2–4 draft (background, Meta-SWAG algorithm, theorems with proof sketches)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Sat Apr 19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Eugene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Sections 5–7 draft (experiments, related work, discussion)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Sun Apr 20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Polish pass, appendix proofs, abstract; coauthor sign-off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Mon Apr 21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Eugene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Submit to Statistical Frameworks for Uncertainty in Agentic Systems workshop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Compute budget for Meta-SWAG (within $50K total)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Cost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BoN baseline reproduction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$200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AlpacaFarm 1.4B, single 80GB GPU, ~24 hours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Meta-SWAG over DPO trajectory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$300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Llama-3-8B + LoRA + DPO with SWAG tracking, ~36 hours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Algorithm-agnosticism (PPO, GRPO)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$500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model, swap aligner; demonstrates Meta-SWAG sits on top of any aligner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Theorem-prediction diagnostics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$200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Re-run with extra logging: per-iterate posterior eigenvalues, AM-HM ratio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Reserve / re-runs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$300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Reviewer-requested ablations come later, not before submission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 for April 21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~$1.5K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3% of the $50K budget — leaves $48.5K for MoE + BTGFM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Coauthor recruitment</w:t>
      </w:r>
    </w:p>
    <w:p>
      <w:pPr>
        <w:spacing w:after="120"/>
      </w:pPr>
      <w:r>
        <w:t xml:space="preserve">Outreach order, send Monday April 14: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Sebastian Ober (primary). Aitchison's longtime collaborator on deep Wishart processes and Gaussian-posterior approximations. More likely to have bandwidth than Aitchison himself; directly works on the technical machinery Meta-SWAG needs. Email subject: "Extending Laplace-LoRA from reward to policy posteriors".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Laurence Aitchison (secondary, copy on Ober email). Bristol PI. Current focus is LLM interpretability (sparse autoencoders), but Meta-SWAG is a natural continuation of his Laplace-LoRA agenda. Even if he doesn't coauthor, getting his read on Theorem 3 before submission is valuable.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Arina warm intro. Confirm Monday morning whether Arina has a real connection (took a course, knows students). If yes, she's cc'd as the Bristol tie. If not, the cold email leads with the Laplace-LoRA continuation framing instead.</w:t>
      </w:r>
    </w:p>
    <w:p>
      <w:pPr>
        <w:spacing w:after="120"/>
      </w:pPr>
      <w:r>
        <w:t xml:space="preserve">Fallback if both decline: submit as BT-only. The paper does not depend on the coauthor for technical correctness — just for relationship-seeding with the BDL community.</w:t>
      </w:r>
    </w:p>
    <w:p>
      <w:pPr>
        <w:pStyle w:val="Heading1"/>
      </w:pPr>
      <w:r>
        <w:t xml:space="preserve">Risk register</w:t>
      </w:r>
    </w:p>
    <w:p>
      <w:pPr>
        <w:pStyle w:val="Heading2"/>
      </w:pPr>
      <w:r>
        <w:t xml:space="preserve">Risk 1 — Empirical experiments don't land by April 20</w:t>
      </w:r>
    </w:p>
    <w:p>
      <w:pPr>
        <w:spacing w:after="120"/>
      </w:pPr>
      <w:r>
        <w:t xml:space="preserve">Highest risk. Llama-3-8B + DPO + SWAG tracking + AlpacaFarm BoN protocol is a 5-day engineering effort under ideal conditions and we have 7 days. Mitigation: Maxim starts April 14, ahead of theorem finalisation. If by April 18 the LLM experiment is not producing clean numbers, the paper falls back to a position-paper format using only Experiments 5.1 and 5.2 (matrix games), with the LLM experiment as future work. This is still publishable at the workshop — the theory is the spine, and Cor. 3.1 is novel even without the experiment.</w:t>
      </w:r>
    </w:p>
    <w:p>
      <w:pPr>
        <w:pStyle w:val="Heading2"/>
      </w:pPr>
      <w:r>
        <w:t xml:space="preserve">Risk 2 — Aitchison/Ober already working on something similar</w:t>
      </w:r>
    </w:p>
    <w:p>
      <w:pPr>
        <w:spacing w:after="120"/>
      </w:pPr>
      <w:r>
        <w:t xml:space="preserve">Possible. Their group is active and Bayesian alignment is hot. Mitigation: the cold email mentions Meta-SWAG specifically; if they're working on overlapping ideas, they'll say so and a coauthor arrangement is the natural resolution. The downside is recoverable — at worst we lose two days waiting for a response.</w:t>
      </w:r>
    </w:p>
    <w:p>
      <w:pPr>
        <w:pStyle w:val="Heading2"/>
      </w:pPr>
      <w:r>
        <w:t xml:space="preserve">Risk 3 — Workshop scope mismatch</w:t>
      </w:r>
    </w:p>
    <w:p>
      <w:pPr>
        <w:spacing w:after="120"/>
      </w:pPr>
      <w:r>
        <w:t xml:space="preserve">The Statistical Frameworks for Uncertainty in Agentic Systems workshop emphasizes conformal prediction, distribution-free guarantees, and sequential testing. Meta-SWAG is parametric Bayesian, not distribution-free. Mitigation: frame the contribution as "a parametric posterior approximation with computable uncertainty estimates for hierarchical aligner-base agentic systems" and explicitly compare to conformal alternatives in the discussion. The workshop scope statement explicitly invites theoretical contributions and the chairs are Bayesian-friendly.</w:t>
      </w:r>
    </w:p>
    <w:p>
      <w:pPr>
        <w:pStyle w:val="Heading2"/>
      </w:pPr>
      <w:r>
        <w:t xml:space="preserve">Risk 4 — April 24 Ω crunch contention</w:t>
      </w:r>
    </w:p>
    <w:p>
      <w:pPr>
        <w:spacing w:after="120"/>
      </w:pPr>
      <w:r>
        <w:t xml:space="preserve">Eugene is on the critical path of both M (April 21) and Ω (April 24). Three-day buffer between them is real but tight. Mitigation: April 22-24 is reserved for Ω finalisation; M needs to be locked April 20 EOD with no exceptions. Maxim and Arina own most of the M week-2 engineering; Eugene's load is concentrated on April 14 (theorem statements) and April 19-20 (writing pass).</w:t>
      </w:r>
    </w:p>
    <w:p>
      <w:pPr>
        <w:pStyle w:val="Heading1"/>
      </w:pPr>
      <w:r>
        <w:t xml:space="preserve">Open decisions to resolve before April 14 EOD</w:t>
      </w:r>
    </w:p>
    <w:p>
      <w:pPr>
        <w:spacing w:after="120"/>
      </w:pPr>
      <w:r>
        <w:t xml:space="preserve">Three. Each gates one piece of the plan.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Compute provider with H100 + InfiniBand for the Llama-3-8B experiment. Together AI, Lambda, or CoreWeave preferred. If only spot-market A100s available, scope the experiment to a 7B model on a single 80GB GPU instead — still publishable, marginally less impressive.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Arina's Bristol connection to Aitchison's group. Real (took a course / knows Ober/Milsom/Anson) or institutional only? Determines whether the coauthor email is warm or cold.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Whether to spend the half-day on a χ² version of Theorem 3 to remove the (1 + C²/2) constant. Tighter bound, stronger regularity assumption. Vote: no — keep the cleaner Pinsker-Young version for the workshop, defer the χ² refinement to the NeurIPS follow-up.</w:t>
      </w:r>
    </w:p>
    <w:p>
      <w:pPr>
        <w:pStyle w:val="Heading1"/>
      </w:pPr>
      <w:r>
        <w:t xml:space="preserve">Why this version is stronger than v1</w:t>
      </w:r>
    </w:p>
    <w:p>
      <w:pPr>
        <w:spacing w:after="120"/>
      </w:pPr>
      <w:r>
        <w:t xml:space="preserve">Three reasons, ranked.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Cor. 3.1 is genuinely novel and reviewer-relevant. "Alignment quality is bounded by aligner self-knowledge of the base policy" is a clean theoretical statement of what the alignment community already believes intuitively. The mesa-optimisation special case is the kind of result that gets cited even by people who don't read the proofs.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Algorithm-agnosticism (Experiment 5.4) is the most differentiating empirical claim a Bayesian alignment paper can make in 2026. DPO/PPO/GRPO horse-race papers are saturated; a method that sits orthogonally on top of all three is rare.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Workshop fit beats main-track ambition for this submission. Statistical Frameworks for Uncertainty in Agentic Systems is bullseye scope, non-archival (NeurIPS preserved), 8 pages (room to breathe), early deadline (April 21 vs May NeurIPS), and the chairs are exactly the demographic that will appreciate the paper. Better to land a strong workshop paper now than gamble a marginal main-track submission later.</w:t>
      </w:r>
    </w:p>
    <w:p>
      <w:pPr>
        <w:spacing w:before="360"/>
        <w:jc w:val="right"/>
      </w:pPr>
      <w:r>
        <w:rPr>
          <w:i/>
          <w:iCs/>
        </w:rPr>
        <w:t xml:space="preserve">— Eugene Shcherbinin, Bloomsbury Technology</w:t>
      </w:r>
    </w:p>
    <w:sectPr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Meta-SWAG Paper Plan v2</dc:title>
  <dc:creator>Eugene Shcherbinin / Bloomsbury Technology</dc:creator>
  <cp:lastModifiedBy>Un-named</cp:lastModifiedBy>
  <cp:revision>1</cp:revision>
  <dcterms:created xsi:type="dcterms:W3CDTF">2026-04-13T10:47:36.453Z</dcterms:created>
  <dcterms:modified xsi:type="dcterms:W3CDTF">2026-04-13T10:47:36.454Z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