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c>
          <w:tcPr>
            <w:tcW w:type="dxa" w:w="9360"/>
            <w:tcMar>
              <w:top w:w="220" w:type="dxa"/>
              <w:start w:w="260" w:type="dxa"/>
              <w:bottom w:w="260" w:type="dxa"/>
              <w:end w:w="260" w:type="dxa"/>
            </w:tcMar>
            <w:vAlign w:val="center"/>
            <w:shd w:fill="2B1924" w:val="clear"/>
          </w:tcPr>
          <w:p>
            <w:pPr>
              <w:spacing w:after="440"/>
            </w:pPr>
            <w:r>
              <w:drawing>
                <wp:inline xmlns:a="http://schemas.openxmlformats.org/drawingml/2006/main" xmlns:pic="http://schemas.openxmlformats.org/drawingml/2006/picture">
                  <wp:extent cx="2148840" cy="552559"/>
                  <wp:docPr id="1" name="Picture 1" descr="Logotipo D’ACCORD" title="Logotipo D’ACCO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cord-logotipo-branc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5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CADERNO DE ANÁLISE DE PELE  ·  DAC-AP-03</w:t>
            </w:r>
          </w:p>
          <w:p>
            <w:pPr>
              <w:spacing w:after="200" w:line="221" w:lineRule="auto"/>
            </w:pPr>
            <w:r>
              <w:rPr>
                <w:rFonts w:ascii="Arial Narrow" w:hAnsi="Arial Narrow" w:eastAsia="Arial Narrow"/>
                <w:b/>
                <w:color w:val="FFFFFF"/>
                <w:sz w:val="56"/>
              </w:rPr>
              <w:t>ARQUITETURA DA SOLUÇÃO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color w:val="FFF0F5"/>
                <w:sz w:val="23"/>
              </w:rPr>
              <w:t>Arquitetura lógica, componentes, dados, integrações, estados e limites de segurança.</w:t>
            </w:r>
          </w:p>
        </w:tc>
      </w:tr>
    </w:tbl>
    <w:p>
      <w:pPr>
        <w:spacing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7DDE2"/>
          <w:left w:val="single" w:sz="5" w:space="0" w:color="E7DDE2"/>
          <w:bottom w:val="single" w:sz="5" w:space="0" w:color="E7DDE2"/>
          <w:right w:val="single" w:sz="5" w:space="0" w:color="E7DDE2"/>
          <w:insideH w:val="single" w:sz="5" w:space="0" w:color="E7DDE2"/>
          <w:insideV w:val="single" w:sz="5" w:space="0" w:color="E7DDE2"/>
        </w:tblBorders>
      </w:tblPr>
      <w:tblGrid>
        <w:gridCol w:w="1880"/>
        <w:gridCol w:w="74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VERSÃO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1.0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STATUS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Proposta para validação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DATA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30 de agosto de 2026</w:t>
            </w:r>
          </w:p>
        </w:tc>
      </w:tr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0F5" w:val="clea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941564"/>
                <w:sz w:val="16"/>
              </w:rPr>
              <w:t>RESPONSÁVEL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color w:val="241820"/>
                <w:sz w:val="19"/>
              </w:rPr>
              <w:t>D’ACCORD · Produto, Engenharia e Curadoria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9D286F"/>
          <w:left w:val="single" w:sz="0" w:space="0" w:color="9D286F"/>
          <w:bottom w:val="single" w:sz="0" w:space="0" w:color="9D286F"/>
          <w:right w:val="single" w:sz="0" w:space="0" w:color="9D286F"/>
          <w:insideH w:val="single" w:sz="0" w:space="0" w:color="9D286F"/>
          <w:insideV w:val="single" w:sz="0" w:space="0" w:color="9D286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9D286F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DECISÃO NORTEADORA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A arquitetura deve isolar o provedor de visão, manter a decisão de segurança sob controle da D’ACCORD e permitir excluir a foto sem perder a auditabilidade da recomendação.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 Narrow" w:hAnsi="Arial Narrow" w:eastAsia="Arial Narrow"/>
          <w:b/>
          <w:color w:val="941564"/>
          <w:sz w:val="27"/>
        </w:rPr>
        <w:t>Mapa do caderno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200"/>
        <w:gridCol w:w="5400"/>
        <w:gridCol w:w="2760"/>
      </w:tblGrid>
      <w:tr>
        <w:trPr>
          <w:tblHeader w:val="true"/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DOCUMENTO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RELAÇÃO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DAC-AP-01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Planejamento e escopo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DAC-AP-02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da funcionalidade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DAC-AP-03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Arquitetura da solução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ESTE DOCUMENTO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DAC-AP-04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Implementação técnica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DAC-AP-05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Tecnologias e ferramentas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DAC-AP-06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Regras de negócio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DAC-AP-07</w:t>
            </w:r>
          </w:p>
        </w:tc>
        <w:tc>
          <w:tcPr>
            <w:tcW w:type="dxa" w:w="54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Requisitos não funcionais</w:t>
            </w:r>
          </w:p>
        </w:tc>
        <w:tc>
          <w:tcPr>
            <w:tcW w:type="dxa" w:w="27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  <w:tr>
        <w:trPr>
          <w:cantSplit/>
        </w:trPr>
        <w:tc>
          <w:tcPr>
            <w:tcW w:type="dxa" w:w="12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DAC-AP-08</w:t>
            </w:r>
          </w:p>
        </w:tc>
        <w:tc>
          <w:tcPr>
            <w:tcW w:type="dxa" w:w="54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Plano de desenvolvimento</w:t>
            </w:r>
          </w:p>
        </w:tc>
        <w:tc>
          <w:tcPr>
            <w:tcW w:type="dxa" w:w="27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Documento complementar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1. Visão arquitetural</w:t>
      </w:r>
    </w:p>
    <w:p>
      <w:r>
        <w:drawing>
          <wp:inline xmlns:a="http://schemas.openxmlformats.org/drawingml/2006/main" xmlns:pic="http://schemas.openxmlformats.org/drawingml/2006/picture">
            <wp:extent cx="5897880" cy="3112770"/>
            <wp:docPr id="2" name="Picture 2" descr="Arquitetura lógica da análise cosmética visual D’ACCORD" title="Arquitetura lógica da análise cosmética visual D’AC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log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1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i/>
          <w:color w:val="6F6068"/>
          <w:sz w:val="16"/>
        </w:rPr>
        <w:t>Figura 1 — Fluxo desacoplado por sessão e provider adapter, com trilhos transversais de privacidade e avaliação.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2. Princípios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Privacy by design: foto temporária, identificadores pseudônimos e nenhuma imagem em logs.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Safety first: exclusões rígidas e alertas são determinísticos e precedem o ranking.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Provider agnostic: toda integração de visão implementa SkinAnalysisProvider.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Explicabilidade por dados: motivos vêm de regras e atributos do catálogo, não de texto inventado.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Assíncrono e idempotente: rede instável, webhook duplicado e retry não duplicam análise.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Fail closed para segurança: sem confiança ou dados essenciais, não há recomendação completa.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3. Componentes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600"/>
        <w:gridCol w:w="2700"/>
        <w:gridCol w:w="5060"/>
      </w:tblGrid>
      <w:tr>
        <w:trPr>
          <w:tblHeader w:val="true"/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CAMADA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Experiência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Analysis Capture</w:t>
            </w:r>
          </w:p>
        </w:tc>
        <w:tc>
          <w:tcPr>
            <w:tcW w:type="dxa" w:w="5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Câmera/upload, guia de pose, qualidade e consentimento.</w:t>
            </w:r>
          </w:p>
        </w:tc>
      </w:tr>
      <w:tr>
        <w:trPr>
          <w:cantSplit/>
        </w:trPr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Experiência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Questionnaire</w:t>
            </w:r>
          </w:p>
        </w:tc>
        <w:tc>
          <w:tcPr>
            <w:tcW w:type="dxa" w:w="5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Perfil, restrições, alergias, contexto e preferências.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Aplicação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Analysis Session Service</w:t>
            </w:r>
          </w:p>
        </w:tc>
        <w:tc>
          <w:tcPr>
            <w:tcW w:type="dxa" w:w="5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Ciclo de vida, idempotência, retenção e autorização.</w:t>
            </w:r>
          </w:p>
        </w:tc>
      </w:tr>
      <w:tr>
        <w:trPr>
          <w:cantSplit/>
        </w:trPr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Domínio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Safety Rules Engine</w:t>
            </w:r>
          </w:p>
        </w:tc>
        <w:tc>
          <w:tcPr>
            <w:tcW w:type="dxa" w:w="5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Exclusões rígidas, alertas e motivo codificado.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Domínio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Recommendation Engine</w:t>
            </w:r>
          </w:p>
        </w:tc>
        <w:tc>
          <w:tcPr>
            <w:tcW w:type="dxa" w:w="5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Pontuação, diversidade, rotina e explicações.</w:t>
            </w:r>
          </w:p>
        </w:tc>
      </w:tr>
      <w:tr>
        <w:trPr>
          <w:cantSplit/>
        </w:trPr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Integração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SkinAnalysisProvider</w:t>
            </w:r>
          </w:p>
        </w:tc>
        <w:tc>
          <w:tcPr>
            <w:tcW w:type="dxa" w:w="5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Upload temporário, task_id, webhook/polling e normalização.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Dados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PostgreSQL</w:t>
            </w:r>
          </w:p>
        </w:tc>
        <w:tc>
          <w:tcPr>
            <w:tcW w:type="dxa" w:w="5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Sessões, respostas, findings, catálogo, regras e auditoria.</w:t>
            </w:r>
          </w:p>
        </w:tc>
      </w:tr>
      <w:tr>
        <w:trPr>
          <w:cantSplit/>
        </w:trPr>
        <w:tc>
          <w:tcPr>
            <w:tcW w:type="dxa" w:w="16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Dados</w:t>
            </w:r>
          </w:p>
        </w:tc>
        <w:tc>
          <w:tcPr>
            <w:tcW w:type="dxa" w:w="27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Object Storage</w:t>
            </w:r>
          </w:p>
        </w:tc>
        <w:tc>
          <w:tcPr>
            <w:tcW w:type="dxa" w:w="506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Selfie privada e temporária com lifecycle/deleção explícita.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Operação</w:t>
            </w:r>
          </w:p>
        </w:tc>
        <w:tc>
          <w:tcPr>
            <w:tcW w:type="dxa" w:w="27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Telemetry</w:t>
            </w:r>
          </w:p>
        </w:tc>
        <w:tc>
          <w:tcPr>
            <w:tcW w:type="dxa" w:w="506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Traces, métricas, erros e correlação sem PII sensível.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4. Fluxo de sequência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1) Cliente aceita consentimento operacional e inicia sessão.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2) API gera URL de upload temporária e restrita ao objeto da sessão.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3) Cliente envia a selfie; servidor executa/valida quality gate e sela respostas do questionário.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4) Provider adapter cria tarefa assíncrona e persiste task_id sem expor credenciais.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5) Webhook assinado atualiza status; polling atua como fallback.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6) Normalizador converte resultado externo para SkinFinding interno com confiança e versão.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7) Safety Rules Engine bloqueia itens incompatíveis e decide se é possível continuar.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8) Recommendation Engine monta rotina, persiste snapshot explicável e elimina a foto.</w:t>
      </w:r>
    </w:p>
    <w:p>
      <w:pPr>
        <w:pStyle w:val="ListBullet"/>
        <w:widowControl/>
      </w:pPr>
      <w:r>
        <w:rPr>
          <w:rFonts w:ascii="Arial" w:hAnsi="Arial" w:eastAsia="Arial"/>
          <w:sz w:val="20"/>
        </w:rPr>
        <w:t>9) Cliente consulta sessão e recebe somente o resultado autorizado.</w:t>
      </w: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5. Modelo de dados lógico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900"/>
        <w:gridCol w:w="4740"/>
        <w:gridCol w:w="2720"/>
      </w:tblGrid>
      <w:tr>
        <w:trPr>
          <w:tblHeader w:val="true"/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4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CAMPOS ESSENCIAIS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RETENÇÃO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consents</w:t>
            </w:r>
          </w:p>
        </w:tc>
        <w:tc>
          <w:tcPr>
            <w:tcW w:type="dxa" w:w="4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subject_id, purpose, version, accepted_at, revoked_at</w:t>
            </w:r>
          </w:p>
        </w:tc>
        <w:tc>
          <w:tcPr>
            <w:tcW w:type="dxa" w:w="2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Enquanto necessário para comprovação + política legal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analysis_sessions</w:t>
            </w:r>
          </w:p>
        </w:tc>
        <w:tc>
          <w:tcPr>
            <w:tcW w:type="dxa" w:w="4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id, subject_id, status, expires_at, provider, rule_version</w:t>
            </w:r>
          </w:p>
        </w:tc>
        <w:tc>
          <w:tcPr>
            <w:tcW w:type="dxa" w:w="2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90 dias sem histórico; configurável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questionnaire_responses</w:t>
            </w:r>
          </w:p>
        </w:tc>
        <w:tc>
          <w:tcPr>
            <w:tcW w:type="dxa" w:w="4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session_id, schema_version, answers_json</w:t>
            </w:r>
          </w:p>
        </w:tc>
        <w:tc>
          <w:tcPr>
            <w:tcW w:type="dxa" w:w="2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Mesmo ciclo do resultado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analysis_findings</w:t>
            </w:r>
          </w:p>
        </w:tc>
        <w:tc>
          <w:tcPr>
            <w:tcW w:type="dxa" w:w="4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session_id, concern, score, confidence, region, model_version</w:t>
            </w:r>
          </w:p>
        </w:tc>
        <w:tc>
          <w:tcPr>
            <w:tcW w:type="dxa" w:w="2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Sem face embedding; mesmo ciclo do resultado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image_objects</w:t>
            </w:r>
          </w:p>
        </w:tc>
        <w:tc>
          <w:tcPr>
            <w:tcW w:type="dxa" w:w="4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session_id, object_key, checksum, deleted_at</w:t>
            </w:r>
          </w:p>
        </w:tc>
        <w:tc>
          <w:tcPr>
            <w:tcW w:type="dxa" w:w="2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Apagar após processamento; limite padrão de 24 h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products</w:t>
            </w:r>
          </w:p>
        </w:tc>
        <w:tc>
          <w:tcPr>
            <w:tcW w:type="dxa" w:w="4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sku, status, price, stock, category, anvisa_ref</w:t>
            </w:r>
          </w:p>
        </w:tc>
        <w:tc>
          <w:tcPr>
            <w:tcW w:type="dxa" w:w="2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Enquanto produto ativo + histórico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ingredients</w:t>
            </w:r>
          </w:p>
        </w:tc>
        <w:tc>
          <w:tcPr>
            <w:tcW w:type="dxa" w:w="4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inci_name, aliases, evidence_level</w:t>
            </w:r>
          </w:p>
        </w:tc>
        <w:tc>
          <w:tcPr>
            <w:tcW w:type="dxa" w:w="2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Versionado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product_ingredients</w:t>
            </w:r>
          </w:p>
        </w:tc>
        <w:tc>
          <w:tcPr>
            <w:tcW w:type="dxa" w:w="4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product_id, ingredient_id, position</w:t>
            </w:r>
          </w:p>
        </w:tc>
        <w:tc>
          <w:tcPr>
            <w:tcW w:type="dxa" w:w="2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Versionado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compatibility_rules</w:t>
            </w:r>
          </w:p>
        </w:tc>
        <w:tc>
          <w:tcPr>
            <w:tcW w:type="dxa" w:w="4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condition, effect, severity, version, rationale</w:t>
            </w:r>
          </w:p>
        </w:tc>
        <w:tc>
          <w:tcPr>
            <w:tcW w:type="dxa" w:w="2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Imutável por versão</w:t>
            </w:r>
          </w:p>
        </w:tc>
      </w:tr>
      <w:tr>
        <w:trPr>
          <w:cantSplit/>
        </w:trPr>
        <w:tc>
          <w:tcPr>
            <w:tcW w:type="dxa" w:w="190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recommendations</w:t>
            </w:r>
          </w:p>
        </w:tc>
        <w:tc>
          <w:tcPr>
            <w:tcW w:type="dxa" w:w="474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session_id, product_snapshot, reasons, exclusions, score</w:t>
            </w:r>
          </w:p>
        </w:tc>
        <w:tc>
          <w:tcPr>
            <w:tcW w:type="dxa" w:w="272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Conforme opt-in/histórico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audit_events</w:t>
            </w:r>
          </w:p>
        </w:tc>
        <w:tc>
          <w:tcPr>
            <w:tcW w:type="dxa" w:w="474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actor, action, target, policy_version, timestamp</w:t>
            </w:r>
          </w:p>
        </w:tc>
        <w:tc>
          <w:tcPr>
            <w:tcW w:type="dxa" w:w="272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Sem resposta bruta ou foto; política legal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6. Contratos de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4568C"/>
          <w:left w:val="single" w:sz="5" w:space="0" w:color="B4568C"/>
          <w:bottom w:val="single" w:sz="5" w:space="0" w:color="B4568C"/>
          <w:right w:val="single" w:sz="5" w:space="0" w:color="B4568C"/>
          <w:insideH w:val="single" w:sz="5" w:space="0" w:color="B4568C"/>
          <w:insideV w:val="single" w:sz="5" w:space="0" w:color="B4568C"/>
        </w:tblBorders>
      </w:tblPr>
      <w:tblGrid>
        <w:gridCol w:w="1150"/>
        <w:gridCol w:w="4230"/>
        <w:gridCol w:w="3980"/>
      </w:tblGrid>
      <w:tr>
        <w:trPr>
          <w:tblHeader w:val="true"/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ROTA</w:t>
            </w:r>
          </w:p>
        </w:tc>
        <w:tc>
          <w:tcPr>
            <w:tcW w:type="dxa" w:w="3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1924" w:val="clea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FUNÇÃO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POST</w:t>
            </w:r>
          </w:p>
        </w:tc>
        <w:tc>
          <w:tcPr>
            <w:tcW w:type="dxa" w:w="42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/api/analysis/sessions</w:t>
            </w:r>
          </w:p>
        </w:tc>
        <w:tc>
          <w:tcPr>
            <w:tcW w:type="dxa" w:w="39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Criar sessão e registrar consentimento/versionamento</w:t>
            </w:r>
          </w:p>
        </w:tc>
      </w:tr>
      <w:tr>
        <w:trPr>
          <w:cantSplit/>
        </w:trPr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POST</w:t>
            </w:r>
          </w:p>
        </w:tc>
        <w:tc>
          <w:tcPr>
            <w:tcW w:type="dxa" w:w="42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/api/analysis/sessions/:id/upload-url</w:t>
            </w:r>
          </w:p>
        </w:tc>
        <w:tc>
          <w:tcPr>
            <w:tcW w:type="dxa" w:w="39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Gerar URL curta para PUT do objeto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POST</w:t>
            </w:r>
          </w:p>
        </w:tc>
        <w:tc>
          <w:tcPr>
            <w:tcW w:type="dxa" w:w="42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/api/analysis/sessions/:id/submit</w:t>
            </w:r>
          </w:p>
        </w:tc>
        <w:tc>
          <w:tcPr>
            <w:tcW w:type="dxa" w:w="39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Selar questionário e iniciar validação/análise</w:t>
            </w:r>
          </w:p>
        </w:tc>
      </w:tr>
      <w:tr>
        <w:trPr>
          <w:cantSplit/>
        </w:trPr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GET</w:t>
            </w:r>
          </w:p>
        </w:tc>
        <w:tc>
          <w:tcPr>
            <w:tcW w:type="dxa" w:w="42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/api/analysis/sessions/:id</w:t>
            </w:r>
          </w:p>
        </w:tc>
        <w:tc>
          <w:tcPr>
            <w:tcW w:type="dxa" w:w="39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Consultar status/resultados autorizados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DELETE</w:t>
            </w:r>
          </w:p>
        </w:tc>
        <w:tc>
          <w:tcPr>
            <w:tcW w:type="dxa" w:w="42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/api/analysis/sessions/:id</w:t>
            </w:r>
          </w:p>
        </w:tc>
        <w:tc>
          <w:tcPr>
            <w:tcW w:type="dxa" w:w="39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Eliminar foto, respostas e resultado conforme política</w:t>
            </w:r>
          </w:p>
        </w:tc>
      </w:tr>
      <w:tr>
        <w:trPr>
          <w:cantSplit/>
        </w:trPr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POST</w:t>
            </w:r>
          </w:p>
        </w:tc>
        <w:tc>
          <w:tcPr>
            <w:tcW w:type="dxa" w:w="42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/api/analysis/providers/perfect/webhook</w:t>
            </w:r>
          </w:p>
        </w:tc>
        <w:tc>
          <w:tcPr>
            <w:tcW w:type="dxa" w:w="39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Receber evento assinado e idempotente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POST</w:t>
            </w:r>
          </w:p>
        </w:tc>
        <w:tc>
          <w:tcPr>
            <w:tcW w:type="dxa" w:w="423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/api/recommendations</w:t>
            </w:r>
          </w:p>
        </w:tc>
        <w:tc>
          <w:tcPr>
            <w:tcW w:type="dxa" w:w="3980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Gerar/regerar recomendação com snapshot</w:t>
            </w:r>
          </w:p>
        </w:tc>
      </w:tr>
      <w:tr>
        <w:trPr>
          <w:cantSplit/>
        </w:trPr>
        <w:tc>
          <w:tcPr>
            <w:tcW w:type="dxa" w:w="115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/>
                <w:color w:val="241820"/>
                <w:sz w:val="16"/>
              </w:rPr>
              <w:t>GET</w:t>
            </w:r>
          </w:p>
        </w:tc>
        <w:tc>
          <w:tcPr>
            <w:tcW w:type="dxa" w:w="423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/api/catalog/products</w:t>
            </w:r>
          </w:p>
        </w:tc>
        <w:tc>
          <w:tcPr>
            <w:tcW w:type="dxa" w:w="3980"/>
            <w:shd w:fill="F8EEF3" w:val="clear"/>
          </w:tcPr>
          <w:p>
            <w:pPr>
              <w:spacing w:after="0" w:line="264" w:lineRule="auto"/>
            </w:pPr>
            <w:r>
              <w:rPr>
                <w:rFonts w:ascii="Arial" w:hAnsi="Arial" w:eastAsia="Arial"/>
                <w:b w:val="0"/>
                <w:color w:val="241820"/>
                <w:sz w:val="16"/>
              </w:rPr>
              <w:t>Consultar produtos elegíveis e filtros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7. Limites de confiança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2B1924"/>
          <w:left w:val="single" w:sz="0" w:space="0" w:color="2B1924"/>
          <w:bottom w:val="single" w:sz="0" w:space="0" w:color="2B1924"/>
          <w:right w:val="single" w:sz="0" w:space="0" w:color="2B1924"/>
          <w:insideH w:val="single" w:sz="0" w:space="0" w:color="2B1924"/>
          <w:insideV w:val="single" w:sz="0" w:space="0" w:color="2B192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2B1924" w:val="clear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D9B7A7"/>
                <w:sz w:val="16"/>
              </w:rPr>
              <w:t>REGRA DE ARQUITETURA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Doenças, alergias e medicamentos entram apenas pelo questionário e por validação humana/curatorial. O provider de imagem não é fonte de verdade clínica.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 Narrow" w:hAnsi="Arial Narrow" w:eastAsia="Arial Narrow"/>
          <w:b/>
          <w:color w:val="2B1924"/>
          <w:sz w:val="34"/>
        </w:rPr>
        <w:t>Referências e fontes de decisão</w:t>
      </w:r>
    </w:p>
    <w:p>
      <w:pPr>
        <w:widowControl/>
      </w:pPr>
      <w:r>
        <w:rPr>
          <w:rFonts w:ascii="Arial" w:hAnsi="Arial" w:eastAsia="Arial"/>
        </w:rPr>
        <w:t>As fontes abaixo sustentam as decisões técnicas e de produto. As regras finais de privacidade e enquadramento regulatório devem ser validadas por assessoria jurídica e especialistas clínicos antes do piloto.</w:t>
      </w:r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[LOR-01] L’Oréal e ModiFace: análise de pele por IA, base de imagens e fluxo selfie → sinais → rotina. </w:t>
      </w:r>
      <w:hyperlink r:id="rId11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[LOR-02] L’Oréal R&amp;I: bastidores dos analisadores de pele, variação de selfies e contexto de estilo de vida. </w:t>
      </w:r>
      <w:hyperlink r:id="rId12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[PER-01] Perfect Corp AI Skin Analysis API v2.1: tarefas assíncronas, ações e consulta de status. </w:t>
      </w:r>
      <w:hyperlink r:id="rId13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[ANPD-01] ANPD: perguntas frequentes sobre LGPD, dados pessoais sensíveis e tratamento. </w:t>
      </w:r>
      <w:hyperlink r:id="rId14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[ANV-01] Anvisa: conceitos e definições de produtos para saúde e software com finalidade médica. </w:t>
      </w:r>
      <w:hyperlink r:id="rId15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[MDN-01] MDN: getUserMedia e exigência de contexto seguro para câmera no navegador. </w:t>
      </w:r>
      <w:hyperlink r:id="rId16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[DRZ-01] Drizzle ORM: esquema TypeScript, consultas tipadas e PostgreSQL. </w:t>
      </w:r>
      <w:hyperlink r:id="rId17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[R2-01] Cloudflare R2: URLs pré-assinadas e acesso temporário a objetos. </w:t>
      </w:r>
      <w:hyperlink r:id="rId18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p>
      <w:pPr>
        <w:pStyle w:val="ListBullet"/>
        <w:keepLines/>
        <w:spacing w:line="240" w:lineRule="auto" w:after="20"/>
      </w:pPr>
      <w:r>
        <w:rPr>
          <w:rFonts w:ascii="Arial" w:hAnsi="Arial" w:eastAsia="Arial"/>
          <w:color w:val="241820"/>
          <w:sz w:val="17"/>
        </w:rPr>
        <w:t xml:space="preserve">[OTEL-01] OpenTelemetry JavaScript: traces, métricas e instrumentação. </w:t>
      </w:r>
      <w:hyperlink r:id="rId19">
        <w:r>
          <w:rPr>
            <w:rFonts w:ascii="Arial" w:hAnsi="Arial"/>
            <w:color w:val="941564"/>
            <w:u w:val="single"/>
            <w:sz w:val="17"/>
            <w:szCs w:val="17"/>
          </w:rPr>
          <w:t>Acessar fonte</w:t>
        </w:r>
      </w:hyperlink>
    </w:p>
    <w:sectPr w:rsidR="00FC693F" w:rsidRPr="0006063C" w:rsidSect="00034616">
      <w:pgSz w:w="12240" w:h="15840"/>
      <w:pgMar w:top="1440" w:right="1440" w:bottom="1181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rial" w:hAnsi="Arial"/>
      <w:color w:val="2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2B19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9415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Narrow" w:hAnsi="Arial Narrow"/>
      <w:b/>
      <w:bCs/>
      <w:color w:val="2B19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loreal.com/en/news/research-innovation/loreal-and-modiface-an-artificial-intelligencepowered-skin-diagnostic" TargetMode="External"/><Relationship Id="rId12" Type="http://schemas.openxmlformats.org/officeDocument/2006/relationships/hyperlink" Target="https://www.loreal.com/en/articles/science-and-technology/ri-behind-the-scenes-of-the-skin-analyzer-apps/" TargetMode="External"/><Relationship Id="rId13" Type="http://schemas.openxmlformats.org/officeDocument/2006/relationships/hyperlink" Target="https://docs.perfectcorp.com/reference/ai_skin_analysis/v2.1" TargetMode="External"/><Relationship Id="rId14" Type="http://schemas.openxmlformats.org/officeDocument/2006/relationships/hyperlink" Target="https://www.gov.br/anpd/pt-br/acesso-a-informacao/perguntas-frequentes/perguntas-frequentes" TargetMode="External"/><Relationship Id="rId15" Type="http://schemas.openxmlformats.org/officeDocument/2006/relationships/hyperlink" Target="https://www.gov.br/anvisa/pt-br/acessoainformacao/perguntasfrequentes/produtosparasaude/conceitos-e-definicoes" TargetMode="External"/><Relationship Id="rId16" Type="http://schemas.openxmlformats.org/officeDocument/2006/relationships/hyperlink" Target="https://developer.mozilla.org/en-US/docs/Web/API/MediaDevices/getUserMedia" TargetMode="External"/><Relationship Id="rId17" Type="http://schemas.openxmlformats.org/officeDocument/2006/relationships/hyperlink" Target="https://orm.drizzle.team/docs/overview" TargetMode="External"/><Relationship Id="rId18" Type="http://schemas.openxmlformats.org/officeDocument/2006/relationships/hyperlink" Target="https://developers.cloudflare.com/r2/api/s3/presigned-urls/" TargetMode="External"/><Relationship Id="rId19" Type="http://schemas.openxmlformats.org/officeDocument/2006/relationships/hyperlink" Target="https://opentelemetry.io/docs/languages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D’ACCORD · DAC-AP-03</dc:title>
  <dc:subject>Planejamento da funcionalidade de análise cosmética visual</dc:subject>
  <dc:creator>D’ACCORD</dc:creator>
  <cp:keywords>D’ACCORD, skincare inteligente, análise de pele, requisitos, arquitetura</cp:keywords>
  <dc:description>Documento de projeto — 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