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2B1924"/>
          <w:left w:val="single" w:sz="0" w:space="0" w:color="2B1924"/>
          <w:bottom w:val="single" w:sz="0" w:space="0" w:color="2B1924"/>
          <w:right w:val="single" w:sz="0" w:space="0" w:color="2B1924"/>
          <w:insideH w:val="single" w:sz="0" w:space="0" w:color="2B1924"/>
          <w:insideV w:val="single" w:sz="0" w:space="0" w:color="2B1924"/>
        </w:tblBorders>
      </w:tblPr>
      <w:tblGrid>
        <w:gridCol w:w="9360"/>
      </w:tblGrid>
      <w:tr>
        <w:tc>
          <w:tcPr>
            <w:tcW w:type="dxa" w:w="9360"/>
            <w:tcMar>
              <w:top w:w="220" w:type="dxa"/>
              <w:start w:w="260" w:type="dxa"/>
              <w:bottom w:w="260" w:type="dxa"/>
              <w:end w:w="260" w:type="dxa"/>
            </w:tcMar>
            <w:vAlign w:val="center"/>
            <w:shd w:fill="2B1924" w:val="clear"/>
          </w:tcPr>
          <w:p>
            <w:pPr>
              <w:spacing w:after="440"/>
            </w:pPr>
            <w:r>
              <w:drawing>
                <wp:inline xmlns:a="http://schemas.openxmlformats.org/drawingml/2006/main" xmlns:pic="http://schemas.openxmlformats.org/drawingml/2006/picture">
                  <wp:extent cx="2148840" cy="552559"/>
                  <wp:docPr id="1" name="Picture 1" descr="Logotipo D’ACCORD" title="Logotipo D’ACCOR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ccord-logotipo-branc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52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Arial" w:hAnsi="Arial" w:eastAsia="Arial"/>
                <w:b/>
                <w:color w:val="D9B7A7"/>
                <w:sz w:val="16"/>
              </w:rPr>
              <w:t>CADERNO DE ANÁLISE DE PELE  ·  DAC-AP-04</w:t>
            </w:r>
          </w:p>
          <w:p>
            <w:pPr>
              <w:spacing w:after="200" w:line="221" w:lineRule="auto"/>
            </w:pPr>
            <w:r>
              <w:rPr>
                <w:rFonts w:ascii="Arial Narrow" w:hAnsi="Arial Narrow" w:eastAsia="Arial Narrow"/>
                <w:b/>
                <w:color w:val="FFFFFF"/>
                <w:sz w:val="56"/>
              </w:rPr>
              <w:t>IMPLEMENTAÇÃO TÉCNICA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/>
                <w:color w:val="FFF0F5"/>
                <w:sz w:val="23"/>
              </w:rPr>
              <w:t>Estrutura do código, contratos TypeScript, integração assíncrona, ranking e testes.</w:t>
            </w:r>
          </w:p>
        </w:tc>
      </w:tr>
    </w:tbl>
    <w:p>
      <w:pPr>
        <w:spacing w:after="1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E7DDE2"/>
          <w:left w:val="single" w:sz="5" w:space="0" w:color="E7DDE2"/>
          <w:bottom w:val="single" w:sz="5" w:space="0" w:color="E7DDE2"/>
          <w:right w:val="single" w:sz="5" w:space="0" w:color="E7DDE2"/>
          <w:insideH w:val="single" w:sz="5" w:space="0" w:color="E7DDE2"/>
          <w:insideV w:val="single" w:sz="5" w:space="0" w:color="E7DDE2"/>
        </w:tblBorders>
      </w:tblPr>
      <w:tblGrid>
        <w:gridCol w:w="1880"/>
        <w:gridCol w:w="7480"/>
      </w:tblGrid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VERSÃO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1.0</w:t>
            </w:r>
          </w:p>
        </w:tc>
      </w:tr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STATUS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Proposta para validação</w:t>
            </w:r>
          </w:p>
        </w:tc>
      </w:tr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DATA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30 de agosto de 2026</w:t>
            </w:r>
          </w:p>
        </w:tc>
      </w:tr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RESPONSÁVEL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D’ACCORD · Produto, Engenharia e Curadoria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9D286F"/>
          <w:left w:val="single" w:sz="0" w:space="0" w:color="9D286F"/>
          <w:bottom w:val="single" w:sz="0" w:space="0" w:color="9D286F"/>
          <w:right w:val="single" w:sz="0" w:space="0" w:color="9D286F"/>
          <w:insideH w:val="single" w:sz="0" w:space="0" w:color="9D286F"/>
          <w:insideV w:val="single" w:sz="0" w:space="0" w:color="9D286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9D286F" w:val="clear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D9B7A7"/>
                <w:sz w:val="16"/>
              </w:rPr>
              <w:t>DECISÃO NORTEADORA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Implementar de dentro para fora: domínio e regras primeiro, adapters externos depois. A aplicação deve funcionar com um provider mock antes de consumir uma análise paga.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Narrow" w:hAnsi="Arial Narrow" w:eastAsia="Arial Narrow"/>
          <w:b/>
          <w:color w:val="941564"/>
          <w:sz w:val="27"/>
        </w:rPr>
        <w:t>Mapa do caderno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200"/>
        <w:gridCol w:w="5400"/>
        <w:gridCol w:w="2760"/>
      </w:tblGrid>
      <w:tr>
        <w:trPr>
          <w:tblHeader w:val="true"/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DOCUMENTO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RELAÇÃO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DAC-AP-01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Planejamento e escopo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DAC-AP-02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Requisitos da funcionalidade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DAC-AP-03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Arquitetura da solução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DAC-AP-04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Implementação técnica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ESTE DOCUMENTO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DAC-AP-05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Tecnologias e ferramentas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DAC-AP-06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Regras de negócio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DAC-AP-07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Requisitos não funcionais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DAC-AP-08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Plano de desenvolvimento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1. Organização proposta no repositório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2B1924"/>
          <w:left w:val="single" w:sz="0" w:space="0" w:color="2B1924"/>
          <w:bottom w:val="single" w:sz="0" w:space="0" w:color="2B1924"/>
          <w:right w:val="single" w:sz="0" w:space="0" w:color="2B1924"/>
          <w:insideH w:val="single" w:sz="0" w:space="0" w:color="2B1924"/>
          <w:insideV w:val="single" w:sz="0" w:space="0" w:color="2B1924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2B1924" w:val="clea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FFF0F5"/>
                <w:sz w:val="15"/>
              </w:rPr>
              <w:t>src/</w:t>
              <w:br/>
              <w:t xml:space="preserve">  app/analise/                      # captura e progresso</w:t>
              <w:br/>
              <w:t xml:space="preserve">  app/questionario/                 # formulário versionado</w:t>
              <w:br/>
              <w:t xml:space="preserve">  app/recomendacoes/                # resultado e rotina</w:t>
              <w:br/>
              <w:t xml:space="preserve">  app/api/analysis/sessions/...      # Route Handlers</w:t>
              <w:br/>
              <w:t xml:space="preserve">  modules/analysis/{domain,service,providers}/</w:t>
              <w:br/>
              <w:t xml:space="preserve">  modules/questionnaire/{schema,service}/</w:t>
              <w:br/>
              <w:t xml:space="preserve">  modules/catalog/{domain,repository}/</w:t>
              <w:br/>
              <w:t xml:space="preserve">  modules/recommendation/{rules,ranker,explanations}/</w:t>
              <w:br/>
              <w:t xml:space="preserve">  modules/privacy/{consent,retention,deletion}/</w:t>
              <w:br/>
              <w:t xml:space="preserve">  db/{schema,migrations,client}.ts</w:t>
              <w:br/>
              <w:t xml:space="preserve">  lib/{env,telemetry,security}.ts</w:t>
              <w:br/>
              <w:t>tests/{unit,integration,e2e,fixtures}/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2. Contrato interno do provedor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2B1924"/>
          <w:left w:val="single" w:sz="0" w:space="0" w:color="2B1924"/>
          <w:bottom w:val="single" w:sz="0" w:space="0" w:color="2B1924"/>
          <w:right w:val="single" w:sz="0" w:space="0" w:color="2B1924"/>
          <w:insideH w:val="single" w:sz="0" w:space="0" w:color="2B1924"/>
          <w:insideV w:val="single" w:sz="0" w:space="0" w:color="2B1924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2B1924" w:val="clea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FFF0F5"/>
                <w:sz w:val="15"/>
              </w:rPr>
              <w:t>export type SkinConcern =</w:t>
              <w:br/>
              <w:t xml:space="preserve">  | "redness" | "oiliness" | "pores" | "texture"</w:t>
              <w:br/>
              <w:t xml:space="preserve">  | "pigmentation" | "radiance" | "dark_circles";</w:t>
              <w:br/>
              <w:br/>
              <w:t>export interface SkinFinding {</w:t>
              <w:br/>
              <w:t xml:space="preserve">  concern: SkinConcern;</w:t>
              <w:br/>
              <w:t xml:space="preserve">  score: number;       // 0..100, normalizado pela D’ACCORD</w:t>
              <w:br/>
              <w:t xml:space="preserve">  confidence: number;  // 0..1</w:t>
              <w:br/>
              <w:t xml:space="preserve">  regions: string[];</w:t>
              <w:br/>
              <w:t xml:space="preserve">  modelVersion: string;</w:t>
              <w:br/>
              <w:t>}</w:t>
              <w:br/>
              <w:br/>
              <w:t>export interface SkinAnalysisProvider {</w:t>
              <w:br/>
              <w:t xml:space="preserve">  createTask(input: { sourceUrl: string; correlationId: string }):</w:t>
              <w:br/>
              <w:t xml:space="preserve">    Promise&lt;{ externalTaskId: string }&gt;;</w:t>
              <w:br/>
              <w:t xml:space="preserve">  getTask(externalTaskId: string): Promise&lt;ProviderTaskResult&gt;;</w:t>
              <w:br/>
              <w:t xml:space="preserve">  verifyWebhook(headers: Headers, rawBody: string): boolean;</w:t>
              <w:br/>
              <w:t xml:space="preserve">  normalize(result: unknown): SkinFinding[];</w:t>
              <w:br/>
              <w:t>}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Arial" w:hAnsi="Arial" w:eastAsia="Arial"/>
        </w:rPr>
        <w:t>O adapter impede que campos específicos do fornecedor atravessem o domínio. Mudanças de versão, unidade ou nome de sinal ficam isoladas no normalizador.</w:t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3. Validação de entrada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2B1924"/>
          <w:left w:val="single" w:sz="0" w:space="0" w:color="2B1924"/>
          <w:bottom w:val="single" w:sz="0" w:space="0" w:color="2B1924"/>
          <w:right w:val="single" w:sz="0" w:space="0" w:color="2B1924"/>
          <w:insideH w:val="single" w:sz="0" w:space="0" w:color="2B1924"/>
          <w:insideV w:val="single" w:sz="0" w:space="0" w:color="2B1924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2B1924" w:val="clea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FFF0F5"/>
                <w:sz w:val="15"/>
              </w:rPr>
              <w:t>const submitAnalysisSchema = z.object({</w:t>
              <w:br/>
              <w:t xml:space="preserve">  consentVersion: z.string().min(1),</w:t>
              <w:br/>
              <w:t xml:space="preserve">  questionnaireVersion: z.string().min(1),</w:t>
              <w:br/>
              <w:t xml:space="preserve">  answers: z.object({</w:t>
              <w:br/>
              <w:t xml:space="preserve">    ageConfirmed: z.literal(true),</w:t>
              <w:br/>
              <w:t xml:space="preserve">    knownAllergies: z.array(z.string()).max(30),</w:t>
              <w:br/>
              <w:t xml:space="preserve">    diagnosedConditions: z.array(z.string()).max(20),</w:t>
              <w:br/>
              <w:t xml:space="preserve">    currentMedications: z.array(z.string()).max(30),</w:t>
              <w:br/>
              <w:t xml:space="preserve">    sensitivities: z.array(z.string()).max(20),</w:t>
              <w:br/>
              <w:t xml:space="preserve">    preferences: z.object({ fragranceFree: z.boolean(), budgetMax: z.number().positive() })</w:t>
              <w:br/>
              <w:t xml:space="preserve">  })</w:t>
              <w:br/>
              <w:t>});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4. Orquestração assíncrona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Criar idempotency_key por sessão e operação; persistir antes da chamada externa.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Usar URL GET pré-assinada curta apenas quando o provedor exigir uma URL acessível.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Validar assinatura do webhook sobre o corpo bruto; rejeitar timestamp antigo e replay.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Aceitar webhooks duplicados sem repetir normalização, ranking ou cobrança.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Aplicar retry apenas em 429/5xx/timeouts com backoff e limite; erros de validação não devem repetir.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Expirar a sessão em 120 segundos para o usuário, mas finalizar deleção mesmo após timeout.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2B1924"/>
          <w:left w:val="single" w:sz="0" w:space="0" w:color="2B1924"/>
          <w:bottom w:val="single" w:sz="0" w:space="0" w:color="2B1924"/>
          <w:right w:val="single" w:sz="0" w:space="0" w:color="2B1924"/>
          <w:insideH w:val="single" w:sz="0" w:space="0" w:color="2B1924"/>
          <w:insideV w:val="single" w:sz="0" w:space="0" w:color="2B1924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2B1924" w:val="clea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FFF0F5"/>
                <w:sz w:val="15"/>
              </w:rPr>
              <w:t>draft -&gt; validating -&gt; needs_retake</w:t>
              <w:br/>
              <w:t xml:space="preserve">                  -&gt; queued -&gt; processing -&gt; ready -&gt; recommended</w:t>
              <w:br/>
              <w:t xml:space="preserve">                                      -&gt; error / expired</w:t>
              <w:br/>
              <w:t>ready -&gt; blocked  # alerta ou ausência de opção segura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5. Motor de segurança e ranking</w:t>
      </w:r>
    </w:p>
    <w:p>
      <w:pPr>
        <w:widowControl/>
      </w:pPr>
      <w:r>
        <w:rPr>
          <w:rFonts w:ascii="Arial" w:hAnsi="Arial" w:eastAsia="Arial"/>
        </w:rPr>
        <w:t>A decisão ocorre em duas passagens. Na primeira, filtros rígidos removem produtos; na segunda, produtos elegíveis recebem pontuação. Nunca usar pesos negativos para simular um bloqueio.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2B1924"/>
          <w:left w:val="single" w:sz="0" w:space="0" w:color="2B1924"/>
          <w:bottom w:val="single" w:sz="0" w:space="0" w:color="2B1924"/>
          <w:right w:val="single" w:sz="0" w:space="0" w:color="2B1924"/>
          <w:insideH w:val="single" w:sz="0" w:space="0" w:color="2B1924"/>
          <w:insideV w:val="single" w:sz="0" w:space="0" w:color="2B1924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2B1924" w:val="clear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FFF0F5"/>
                <w:sz w:val="15"/>
              </w:rPr>
              <w:t>eligible = products.filter(product =&gt;</w:t>
              <w:br/>
              <w:t xml:space="preserve">  !hasDeclaredAllergen(product, profile) &amp;&amp;</w:t>
              <w:br/>
              <w:t xml:space="preserve">  !hasHardContraindication(product, profile) &amp;&amp;</w:t>
              <w:br/>
              <w:t xml:space="preserve">  product.catalogCompleteness === "approved"</w:t>
              <w:br/>
              <w:t>);</w:t>
              <w:br/>
              <w:br/>
              <w:t>score =</w:t>
              <w:br/>
              <w:t xml:space="preserve">  concernFit * 0.40 +</w:t>
              <w:br/>
              <w:t xml:space="preserve">  skinProfileFit * 0.20 +</w:t>
              <w:br/>
              <w:t xml:space="preserve">  routineCompatibility * 0.15 +</w:t>
              <w:br/>
              <w:t xml:space="preserve">  preferenceFit * 0.10 +</w:t>
              <w:br/>
              <w:t xml:space="preserve">  evidenceQuality * 0.10 +</w:t>
              <w:br/>
              <w:t xml:space="preserve">  availability * 0.05;</w:t>
            </w:r>
          </w:p>
        </w:tc>
      </w:tr>
    </w:tbl>
    <w:p>
      <w:pPr>
        <w:spacing w:after="20"/>
      </w:pPr>
    </w:p>
    <w:p>
      <w:pPr>
        <w:pStyle w:val="ListBullet"/>
        <w:widowControl/>
      </w:pPr>
      <w:r>
        <w:rPr>
          <w:rFonts w:ascii="Arial" w:hAnsi="Arial" w:eastAsia="Arial"/>
          <w:sz w:val="20"/>
        </w:rPr>
        <w:t>Registrar rule_ids que excluíram ou favoreceram cada SKU.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Aplicar limites de rotina: um limpador, um tratamento principal por período, hidratante e fotoproteção quando aplicável.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Evitar combinações potencialmente irritantes conforme regra curatorial versionada.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Usar preço e estoque somente depois de segurança e compatibilidade.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Gerar motivos com templates baseados em fatos; LLM opcional apenas para reformulação, nunca para decidir segurança.</w:t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6. Quality gate de imagem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2000"/>
        <w:gridCol w:w="3520"/>
        <w:gridCol w:w="3840"/>
      </w:tblGrid>
      <w:tr>
        <w:trPr>
          <w:tblHeader w:val="true"/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VERIFICAÇÃO</w:t>
            </w:r>
          </w:p>
        </w:tc>
        <w:tc>
          <w:tcPr>
            <w:tcW w:type="dxa" w:w="3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AÇÃO DE FALHA</w:t>
            </w:r>
          </w:p>
        </w:tc>
        <w:tc>
          <w:tcPr>
            <w:tcW w:type="dxa" w:w="3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IMPLEMENTAÇÃO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Uma face</w:t>
            </w:r>
          </w:p>
        </w:tc>
        <w:tc>
          <w:tcPr>
            <w:tcW w:type="dxa" w:w="35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Pedir foto individual</w:t>
            </w:r>
          </w:p>
        </w:tc>
        <w:tc>
          <w:tcPr>
            <w:tcW w:type="dxa" w:w="384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Detecção local/servidor; sem persistir embedding</w:t>
            </w:r>
          </w:p>
        </w:tc>
      </w:tr>
      <w:tr>
        <w:trPr>
          <w:cantSplit/>
        </w:trPr>
        <w:tc>
          <w:tcPr>
            <w:tcW w:type="dxa" w:w="20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Pose frontal</w:t>
            </w:r>
          </w:p>
        </w:tc>
        <w:tc>
          <w:tcPr>
            <w:tcW w:type="dxa" w:w="352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Exibir guia de alinhamento</w:t>
            </w:r>
          </w:p>
        </w:tc>
        <w:tc>
          <w:tcPr>
            <w:tcW w:type="dxa" w:w="384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Landmarks/ângulos com limiar validado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Nitidez</w:t>
            </w:r>
          </w:p>
        </w:tc>
        <w:tc>
          <w:tcPr>
            <w:tcW w:type="dxa" w:w="35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Pedir limpeza da lente/estabilidade</w:t>
            </w:r>
          </w:p>
        </w:tc>
        <w:tc>
          <w:tcPr>
            <w:tcW w:type="dxa" w:w="384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Variância de Laplaciano ou sinal do provider</w:t>
            </w:r>
          </w:p>
        </w:tc>
      </w:tr>
      <w:tr>
        <w:trPr>
          <w:cantSplit/>
        </w:trPr>
        <w:tc>
          <w:tcPr>
            <w:tcW w:type="dxa" w:w="20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Iluminação</w:t>
            </w:r>
          </w:p>
        </w:tc>
        <w:tc>
          <w:tcPr>
            <w:tcW w:type="dxa" w:w="352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Evitar contraluz e sombras</w:t>
            </w:r>
          </w:p>
        </w:tc>
        <w:tc>
          <w:tcPr>
            <w:tcW w:type="dxa" w:w="384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Histograma por região facial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Resolução</w:t>
            </w:r>
          </w:p>
        </w:tc>
        <w:tc>
          <w:tcPr>
            <w:tcW w:type="dxa" w:w="35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Pedir nova captura</w:t>
            </w:r>
          </w:p>
        </w:tc>
        <w:tc>
          <w:tcPr>
            <w:tcW w:type="dxa" w:w="384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Mínimo definido por contrato do provider</w:t>
            </w:r>
          </w:p>
        </w:tc>
      </w:tr>
      <w:tr>
        <w:trPr>
          <w:cantSplit/>
        </w:trPr>
        <w:tc>
          <w:tcPr>
            <w:tcW w:type="dxa" w:w="20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Oclusão</w:t>
            </w:r>
          </w:p>
        </w:tc>
        <w:tc>
          <w:tcPr>
            <w:tcW w:type="dxa" w:w="352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Remover óculos escuros/cabelo do rosto</w:t>
            </w:r>
          </w:p>
        </w:tc>
        <w:tc>
          <w:tcPr>
            <w:tcW w:type="dxa" w:w="384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Landmarks e cobertura de regiões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7. Estratégia de testes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NÍVEL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COBERTURA OBRIGATÓRIA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Unitário</w:t>
            </w:r>
          </w:p>
        </w:tc>
        <w:tc>
          <w:tcPr>
            <w:tcW w:type="dxa" w:w="74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Regras de exclusão, pesos, rotina, normalização, expiração e idempotência.</w:t>
            </w:r>
          </w:p>
        </w:tc>
      </w:tr>
      <w:tr>
        <w:trPr>
          <w:cantSplit/>
        </w:trPr>
        <w:tc>
          <w:tcPr>
            <w:tcW w:type="dxa" w:w="19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Contrato</w:t>
            </w:r>
          </w:p>
        </w:tc>
        <w:tc>
          <w:tcPr>
            <w:tcW w:type="dxa" w:w="74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Fixtures reais anonimizadas do provider; schema drift e mapeamento de versões.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Integração</w:t>
            </w:r>
          </w:p>
        </w:tc>
        <w:tc>
          <w:tcPr>
            <w:tcW w:type="dxa" w:w="74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PostgreSQL + storage + webhook; deleção e retries.</w:t>
            </w:r>
          </w:p>
        </w:tc>
      </w:tr>
      <w:tr>
        <w:trPr>
          <w:cantSplit/>
        </w:trPr>
        <w:tc>
          <w:tcPr>
            <w:tcW w:type="dxa" w:w="19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E2E</w:t>
            </w:r>
          </w:p>
        </w:tc>
        <w:tc>
          <w:tcPr>
            <w:tcW w:type="dxa" w:w="74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Consentimento, câmera/upload, retake, resultado, bloqueio e exclusão.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Segurança</w:t>
            </w:r>
          </w:p>
        </w:tc>
        <w:tc>
          <w:tcPr>
            <w:tcW w:type="dxa" w:w="74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URL expirada, acesso cruzado, webhook falso, arquivo malicioso e ausência de PII em logs.</w:t>
            </w:r>
          </w:p>
        </w:tc>
      </w:tr>
      <w:tr>
        <w:trPr>
          <w:cantSplit/>
        </w:trPr>
        <w:tc>
          <w:tcPr>
            <w:tcW w:type="dxa" w:w="19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Avaliação</w:t>
            </w:r>
          </w:p>
        </w:tc>
        <w:tc>
          <w:tcPr>
            <w:tcW w:type="dxa" w:w="74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Métricas de qualidade por tom de pele, dispositivo e iluminação; revisão por especialista.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8. Definition of Done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Código tipado, lint e build verdes.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Critérios de aceite e testes automatizados vinculados ao requisito.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Logs e traces sem foto, resposta sensível ou URL assinada.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Migração reversível e política de retenção exercitada.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Revisão de curadoria para qualquer regra de compatibilidade alterada.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Métricas por grupo revisadas antes da ativação para usuários reais.</w:t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Referências e fontes de decisão</w:t>
      </w:r>
    </w:p>
    <w:p>
      <w:pPr>
        <w:widowControl/>
      </w:pPr>
      <w:r>
        <w:rPr>
          <w:rFonts w:ascii="Arial" w:hAnsi="Arial" w:eastAsia="Arial"/>
        </w:rPr>
        <w:t>As fontes abaixo sustentam as decisões técnicas e de produto. As regras finais de privacidade e enquadramento regulatório devem ser validadas por assessoria jurídica e especialistas clínicos antes do piloto.</w:t>
      </w:r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[LOR-01] L’Oréal e ModiFace: análise de pele por IA, base de imagens e fluxo selfie → sinais → rotina. </w:t>
      </w:r>
      <w:hyperlink r:id="rId10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[LOR-02] L’Oréal R&amp;I: bastidores dos analisadores de pele, variação de selfies e contexto de estilo de vida. </w:t>
      </w:r>
      <w:hyperlink r:id="rId11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[PER-01] Perfect Corp AI Skin Analysis API v2.1: tarefas assíncronas, ações e consulta de status. </w:t>
      </w:r>
      <w:hyperlink r:id="rId12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[ANPD-01] ANPD: perguntas frequentes sobre LGPD, dados pessoais sensíveis e tratamento. </w:t>
      </w:r>
      <w:hyperlink r:id="rId13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[ANV-01] Anvisa: conceitos e definições de produtos para saúde e software com finalidade médica. </w:t>
      </w:r>
      <w:hyperlink r:id="rId14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[MDN-01] MDN: getUserMedia e exigência de contexto seguro para câmera no navegador. </w:t>
      </w:r>
      <w:hyperlink r:id="rId15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[DRZ-01] Drizzle ORM: esquema TypeScript, consultas tipadas e PostgreSQL. </w:t>
      </w:r>
      <w:hyperlink r:id="rId16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[R2-01] Cloudflare R2: URLs pré-assinadas e acesso temporário a objetos. </w:t>
      </w:r>
      <w:hyperlink r:id="rId17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[OTEL-01] OpenTelemetry JavaScript: traces, métricas e instrumentação. </w:t>
      </w:r>
      <w:hyperlink r:id="rId18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sectPr w:rsidR="00FC693F" w:rsidRPr="0006063C" w:rsidSect="00034616">
      <w:pgSz w:w="12240" w:h="15840"/>
      <w:pgMar w:top="1440" w:right="1440" w:bottom="1181" w:left="1440" w:header="648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93" w:lineRule="auto"/>
    </w:pPr>
    <w:rPr>
      <w:rFonts w:ascii="Arial" w:hAnsi="Arial"/>
      <w:color w:val="2418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40" w:lineRule="auto"/>
      <w:outlineLvl w:val="0"/>
    </w:pPr>
    <w:rPr>
      <w:rFonts w:asciiTheme="majorHAnsi" w:eastAsiaTheme="majorEastAsia" w:hAnsiTheme="majorHAnsi" w:cstheme="majorBidi" w:ascii="Arial Narrow" w:hAnsi="Arial Narrow"/>
      <w:b/>
      <w:bCs/>
      <w:color w:val="2B19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 Narrow" w:hAnsi="Arial Narrow"/>
      <w:b/>
      <w:bCs/>
      <w:color w:val="9415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 Narrow" w:hAnsi="Arial Narrow"/>
      <w:b/>
      <w:bCs/>
      <w:color w:val="2B19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loreal.com/en/news/research-innovation/loreal-and-modiface-an-artificial-intelligencepowered-skin-diagnostic" TargetMode="External"/><Relationship Id="rId11" Type="http://schemas.openxmlformats.org/officeDocument/2006/relationships/hyperlink" Target="https://www.loreal.com/en/articles/science-and-technology/ri-behind-the-scenes-of-the-skin-analyzer-apps/" TargetMode="External"/><Relationship Id="rId12" Type="http://schemas.openxmlformats.org/officeDocument/2006/relationships/hyperlink" Target="https://docs.perfectcorp.com/reference/ai_skin_analysis/v2.1" TargetMode="External"/><Relationship Id="rId13" Type="http://schemas.openxmlformats.org/officeDocument/2006/relationships/hyperlink" Target="https://www.gov.br/anpd/pt-br/acesso-a-informacao/perguntas-frequentes/perguntas-frequentes" TargetMode="External"/><Relationship Id="rId14" Type="http://schemas.openxmlformats.org/officeDocument/2006/relationships/hyperlink" Target="https://www.gov.br/anvisa/pt-br/acessoainformacao/perguntasfrequentes/produtosparasaude/conceitos-e-definicoes" TargetMode="External"/><Relationship Id="rId15" Type="http://schemas.openxmlformats.org/officeDocument/2006/relationships/hyperlink" Target="https://developer.mozilla.org/en-US/docs/Web/API/MediaDevices/getUserMedia" TargetMode="External"/><Relationship Id="rId16" Type="http://schemas.openxmlformats.org/officeDocument/2006/relationships/hyperlink" Target="https://orm.drizzle.team/docs/overview" TargetMode="External"/><Relationship Id="rId17" Type="http://schemas.openxmlformats.org/officeDocument/2006/relationships/hyperlink" Target="https://developers.cloudflare.com/r2/api/s3/presigned-urls/" TargetMode="External"/><Relationship Id="rId18" Type="http://schemas.openxmlformats.org/officeDocument/2006/relationships/hyperlink" Target="https://opentelemetry.io/docs/languages/j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D’ACCORD · DAC-AP-04</dc:title>
  <dc:subject>Planejamento da funcionalidade de análise cosmética visual</dc:subject>
  <dc:creator>D’ACCORD</dc:creator>
  <cp:keywords>D’ACCORD, skincare inteligente, análise de pele, requisitos, arquitetura</cp:keywords>
  <dc:description>Documento de projeto — versão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