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DAC-AP-05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TECNOLOGIAS E FERRAMENTAS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Stack recomendada, finalidade, configuração, uso seguro e critérios de substituição.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Evitar um framework de agentes no MVP. A análise é um workflow previsível: visão especializada + regras determinísticas + catálogo. Menos abstração significa mais auditabilidade.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Stack-alvo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900"/>
        <w:gridCol w:w="3200"/>
        <w:gridCol w:w="42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PAPEL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POR QUE AGORA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Next.js 16 + React 19</w:t>
            </w:r>
          </w:p>
        </w:tc>
        <w:tc>
          <w:tcPr>
            <w:tcW w:type="dxa" w:w="3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Web, Route Handlers e UI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Já é a base do repositório; mantém uma aplicação única.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TypeScript + Zod</w:t>
            </w:r>
          </w:p>
        </w:tc>
        <w:tc>
          <w:tcPr>
            <w:tcW w:type="dxa" w:w="3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Contratos e validação runtime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Reduz schema drift entre UI, API e provider.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PostgreSQL</w:t>
            </w:r>
          </w:p>
        </w:tc>
        <w:tc>
          <w:tcPr>
            <w:tcW w:type="dxa" w:w="3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Dados relacionais e auditoria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Adequado para catálogo, regras versionadas e sessões.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Drizzle ORM/Kit</w:t>
            </w:r>
          </w:p>
        </w:tc>
        <w:tc>
          <w:tcPr>
            <w:tcW w:type="dxa" w:w="3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Schema e migrações em TypeScript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Leve, tipado e próximo de SQL [DRZ-01].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Cloudflare R2 ou S3</w:t>
            </w:r>
          </w:p>
        </w:tc>
        <w:tc>
          <w:tcPr>
            <w:tcW w:type="dxa" w:w="3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Selfies temporárias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Bucket privado, lifecycle e URL pré-assinada curta [R2-01].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Perfect Corp v2.1 (POC)</w:t>
            </w:r>
          </w:p>
        </w:tc>
        <w:tc>
          <w:tcPr>
            <w:tcW w:type="dxa" w:w="3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Análise especializada por selfie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API assíncrona com sinais de skincare e status [PER-01].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Vitest + Testing Library</w:t>
            </w:r>
          </w:p>
        </w:tc>
        <w:tc>
          <w:tcPr>
            <w:tcW w:type="dxa" w:w="3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Testes unitários/componentes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Feedback rápido para regras e formulários.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Playwright</w:t>
            </w:r>
          </w:p>
        </w:tc>
        <w:tc>
          <w:tcPr>
            <w:tcW w:type="dxa" w:w="3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Testes E2E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Valida câmera simulada, uploads, estados e acessibilidade.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OpenTelemetry + Sentry</w:t>
            </w:r>
          </w:p>
        </w:tc>
        <w:tc>
          <w:tcPr>
            <w:tcW w:type="dxa" w:w="3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Traces, métricas e erros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Correlação de sessão sem conteúdo sensível [OTEL-01].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GitHub Actions</w:t>
            </w:r>
          </w:p>
        </w:tc>
        <w:tc>
          <w:tcPr>
            <w:tcW w:type="dxa" w:w="3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CI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Executa typecheck, lint, testes, build e verificações de segurança.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Como usar cada bloco</w:t>
      </w: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2.1 Next.js e TypeScript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Manter páginas de captura e questionário como Client Components somente onde câmera/estado local forem necessários.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Usar Route Handlers para criar sessões, assinar uploads e receber webhooks; regras de domínio ficam fora de src/app.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Validar variáveis no boot e payloads com Zod; nunca usar tipos TypeScript como substituto da validação runtime.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Ler a documentação local da versão instalada antes de alterar APIs do framework, conforme AGENTS.md.</w:t>
      </w: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2.2 PostgreSQL + Drizzle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2B1924" w:val="clea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0F5"/>
                <w:sz w:val="15"/>
              </w:rPr>
              <w:t># dependências planejadas</w:t>
              <w:br/>
              <w:t>npm install drizzle-orm pg zod</w:t>
              <w:br/>
              <w:t>npm install -D drizzle-kit @types/pg</w:t>
              <w:br/>
              <w:br/>
              <w:t># fluxo de migração</w:t>
              <w:br/>
              <w:t>npx drizzle-kit generate</w:t>
              <w:br/>
              <w:t>npx drizzle-kit migrate</w:t>
            </w:r>
          </w:p>
        </w:tc>
      </w:tr>
    </w:tbl>
    <w:p>
      <w:pPr>
        <w:spacing w:after="20"/>
      </w:pPr>
    </w:p>
    <w:p>
      <w:pPr>
        <w:pStyle w:val="ListBullet"/>
        <w:widowControl/>
      </w:pPr>
      <w:r>
        <w:rPr>
          <w:rFonts w:ascii="Arial" w:hAnsi="Arial" w:eastAsia="Arial"/>
          <w:sz w:val="20"/>
        </w:rPr>
        <w:t>Definir enums de status e constraints no banco, não apenas no frontend.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Versionar compatibility_rules; nunca editar retroativamente uma regra usada em recomendação antiga.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Guardar snapshots mínimos do produto/regras usados no resultado para auditoria.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Separar papéis do banco para aplicação, migração e leitura operacional.</w:t>
      </w: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2.3 Object storage privado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Cliente solicita URL PUT com validade de até 5 minutos e chave aleatória vinculada à sessão.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Restringir Content-Type, tamanho e caminho; validar magic bytes após upload.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Provider recebe URL GET curta ou upload direto conforme contrato.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Aplicação apaga o objeto após normalização; lifecycle atua como rede de segurança em até 24 horas.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Tratar URL pré-assinada como bearer token: não registrar, não enviar para analytics e não reaproveitar [R2-01].</w:t>
      </w: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2.4 Provider de visão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Executar POC com conjunto consentido e diversificado antes de contratar volume.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Selecionar somente sinais dentro do escopo D’ACCORD; não expor todas as features apenas porque a API oferece.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Preferir webhook assinado; implementar polling no intervalo retornado como contingência [PER-01].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Registrar versão do engine e normalizador; comparar mudanças antes de promover nova versão.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Exigir DPA, local de processamento, prazo de deleção, suboperadores e proibição de treino/reuso sem opt-in separado.</w:t>
      </w: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2.5 Observabilidade e avaliação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Propagar correlation_id da sessão entre API, storage e provider.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Criar spans: session.create, upload.verify, quality_gate, provider.task, provider.normalize, safety_rules, ranker e delete.image.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Métricas sem PII: latência, retries, retake rate, falhas por código, distribuição de confiança e cobertura de catálogo.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Usar Sentry para exceções com scrub de headers, respostas, URLs assinadas e payloads do questionário.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Avaliar outputs offline por versão; não enviar selfies a ferramentas de observabilidade.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Variáveis e segredos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2B1924" w:val="clea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0F5"/>
                <w:sz w:val="15"/>
              </w:rPr>
              <w:t>DATABASE_URL=</w:t>
              <w:br/>
              <w:t>OBJECT_STORAGE_ENDPOINT=</w:t>
              <w:br/>
              <w:t>OBJECT_STORAGE_BUCKET=</w:t>
              <w:br/>
              <w:t>OBJECT_STORAGE_ACCESS_KEY_ID=</w:t>
              <w:br/>
              <w:t>OBJECT_STORAGE_SECRET_ACCESS_KEY=</w:t>
              <w:br/>
              <w:t>SKIN_ANALYSIS_PROVIDER=mock|perfect</w:t>
              <w:br/>
              <w:t>SKIN_ANALYSIS_API_BASE_URL=</w:t>
              <w:br/>
              <w:t>SKIN_ANALYSIS_API_KEY=</w:t>
              <w:br/>
              <w:t>SKIN_ANALYSIS_WEBHOOK_SECRET=</w:t>
              <w:br/>
              <w:t>ANALYSIS_IMAGE_RETENTION_HOURS=24</w:t>
              <w:br/>
              <w:t>ANALYSIS_RESULT_RETENTION_DAYS=90</w:t>
              <w:br/>
              <w:t>OTEL_EXPORTER_OTLP_ENDPOINT=</w:t>
              <w:br/>
              <w:t>SENTRY_DSN=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2B1924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SEGURANÇA DE SEGREDOS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Segredos ficam no gerenciador do ambiente, nunca em NEXT_PUBLIC_*, no repositório, em prints ou em logs. Rotacionar credenciais do provider e storage por ambiente.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Critérios de seleção e substituição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100"/>
        <w:gridCol w:w="3860"/>
        <w:gridCol w:w="340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FERRAMENTA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GATE DE ADOÇÃO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SINAL DE TROCA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Provider de visão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Qualidade por grupo, DPA, SLA, deleção e custo por análise</w:t>
            </w:r>
          </w:p>
        </w:tc>
        <w:tc>
          <w:tcPr>
            <w:tcW w:type="dxa" w:w="3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Viés não mitigado, schema instável ou contrato incompatível com LGPD</w:t>
            </w:r>
          </w:p>
        </w:tc>
      </w:tr>
      <w:tr>
        <w:trPr>
          <w:cantSplit/>
        </w:trPr>
        <w:tc>
          <w:tcPr>
            <w:tcW w:type="dxa" w:w="21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Storage</w:t>
            </w:r>
          </w:p>
        </w:tc>
        <w:tc>
          <w:tcPr>
            <w:tcW w:type="dxa" w:w="38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Bucket privado, região, lifecycle, auditoria e KMS</w:t>
            </w:r>
          </w:p>
        </w:tc>
        <w:tc>
          <w:tcPr>
            <w:tcW w:type="dxa" w:w="3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Sem deleção verificável ou egress incompatível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Banco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Backups, PITR, região e conexão serverless</w:t>
            </w:r>
          </w:p>
        </w:tc>
        <w:tc>
          <w:tcPr>
            <w:tcW w:type="dxa" w:w="3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Limites de conexão/latência ou ausência de governança</w:t>
            </w:r>
          </w:p>
        </w:tc>
      </w:tr>
      <w:tr>
        <w:trPr>
          <w:cantSplit/>
        </w:trPr>
        <w:tc>
          <w:tcPr>
            <w:tcW w:type="dxa" w:w="21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Observabilidade</w:t>
            </w:r>
          </w:p>
        </w:tc>
        <w:tc>
          <w:tcPr>
            <w:tcW w:type="dxa" w:w="38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Scrub de PII, retenção e controle de acesso</w:t>
            </w:r>
          </w:p>
        </w:tc>
        <w:tc>
          <w:tcPr>
            <w:tcW w:type="dxa" w:w="3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Coleta involuntária de dados sensíveis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0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[DRZ-01] Drizzle ORM: esquema TypeScript, consultas tipadas e PostgreSQL. </w:t>
      </w:r>
      <w:hyperlink r:id="rId16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[R2-01] Cloudflare R2: URLs pré-assinadas e acesso temporário a objetos. </w:t>
      </w:r>
      <w:hyperlink r:id="rId17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[OTEL-01] OpenTelemetry JavaScript: traces, métricas e instrumentação. </w:t>
      </w:r>
      <w:hyperlink r:id="rId18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oreal.com/en/news/research-innovation/loreal-and-modiface-an-artificial-intelligencepowered-skin-diagnostic" TargetMode="External"/><Relationship Id="rId11" Type="http://schemas.openxmlformats.org/officeDocument/2006/relationships/hyperlink" Target="https://www.loreal.com/en/articles/science-and-technology/ri-behind-the-scenes-of-the-skin-analyzer-apps/" TargetMode="External"/><Relationship Id="rId12" Type="http://schemas.openxmlformats.org/officeDocument/2006/relationships/hyperlink" Target="https://docs.perfectcorp.com/reference/ai_skin_analysis/v2.1" TargetMode="External"/><Relationship Id="rId13" Type="http://schemas.openxmlformats.org/officeDocument/2006/relationships/hyperlink" Target="https://www.gov.br/anpd/pt-br/acesso-a-informacao/perguntas-frequentes/perguntas-frequentes" TargetMode="External"/><Relationship Id="rId14" Type="http://schemas.openxmlformats.org/officeDocument/2006/relationships/hyperlink" Target="https://www.gov.br/anvisa/pt-br/acessoainformacao/perguntasfrequentes/produtosparasaude/conceitos-e-definicoes" TargetMode="External"/><Relationship Id="rId15" Type="http://schemas.openxmlformats.org/officeDocument/2006/relationships/hyperlink" Target="https://developer.mozilla.org/en-US/docs/Web/API/MediaDevices/getUserMedia" TargetMode="External"/><Relationship Id="rId16" Type="http://schemas.openxmlformats.org/officeDocument/2006/relationships/hyperlink" Target="https://orm.drizzle.team/docs/overview" TargetMode="External"/><Relationship Id="rId17" Type="http://schemas.openxmlformats.org/officeDocument/2006/relationships/hyperlink" Target="https://developers.cloudflare.com/r2/api/s3/presigned-urls/" TargetMode="External"/><Relationship Id="rId18" Type="http://schemas.openxmlformats.org/officeDocument/2006/relationships/hyperlink" Target="https://opentelemetry.io/docs/languages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DAC-AP-05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