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DAC-AP-06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REGRAS DE NEGÓCIO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Políticas determinísticas de elegibilidade, segurança, recomendação, privacidade e operação.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Toda regra crítica deve ter identificador, versão, responsável, justificativa, data de vigência e teste. Segurança não pode depender de texto gerado.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Escopo e linguagem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RN-01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experiência chama-se análise cosmética visual; o termo diagnóstico médico não deve ser usado na interface.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RN-02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funcionalidade não confirma doença, alergia, gestação, uso seguro de medicamento ou necessidade terapêutica.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RN-03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Condições de saúde e medicamentos são autorreferidos e utilizados apenas para limitar/encaminhar.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RN-04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Usuários menores de 18 anos não participam do MVP.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RN-05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Quando o sistema não puder orientar com segurança, deve declarar a limitação e recomendar avaliação profissional.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Captura e confiança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RN-06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análise paga só inicia após o quality gate aprovar uma face, pose, nitidez, luz e resolução.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RN-07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O usuário recebe um motivo prioritário por tentativa; mensagens genéricas como 'foto inválida' são proibidas.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RN-08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Se qualquer sinal crítico estiver abaixo do limiar de confiança, ele não pode sustentar uma afirmação ou recomendação.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RN-09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Baixa confiança global resulta em nova captura; resultado por questionário só é permitido quando claramente identificado e seguro.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Segurança e elegibilidade de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RN-10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Alergia declarada ou correspondência de alias INCI é exclusão rígida.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RN-11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Produto sem lista INCI validada, status comercial ou regras mínimas fica inelegível.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RN-12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Condição/medicamento declarados que exijam julgamento clínico bloqueiam o tratamento relacionado e encaminham para profissional.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RN-13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Fragrância, textura e orçamento são preferências; tornam-se bloqueio apenas quando configurados como restrição explícita.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RN-14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Estoque ou margem nunca reabilitam produto excluído por segurança.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RN-15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Uma regra crítica nova entra em vigor somente após revisão de curadoria e teste de regressão.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RN-16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Em conflito entre regras, prevalece a de maior severidade; empate usa a versão mais específica e recente.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Ranking e composição da rotina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RN-17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O ranking ocorre apenas sobre produtos elegíveis e usa pesos versionados.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RN-18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recomendação mostra produto principal e até duas alternativas com motivos distintos.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RN-19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rotina evita redundância e conflitos curatoriais; passos essenciais têm prioridade sobre quantidade de itens.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RN-20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Cada recomendação deve ser reconstruível a partir de findings, questionário, catálogo e versões das regras.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RN-21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Texto de explicação não pode acrescentar benefício, contraindicação ou certeza ausente nos dados estruturados.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RN-22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Disponibilidade, preço e margem são desempate após compatibilidade, evidência e preferência.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Privacidade e consentimento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RN-23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Consentimento operacional e opt-in de melhoria/pesquisa são independentes e revogáveis.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RN-24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foto bruta é eliminada após o processamento; 24 horas é o teto automático de contingência, não a meta.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RN-25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Nenhum template biométrico, face embedding ou identificação facial será criado.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RN-26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Logs, analytics, suporte e ferramentas de erro não recebem selfie, URL assinada, alergias, doenças ou medicamentos.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RN-27</w:t>
            </w:r>
          </w:p>
        </w:tc>
        <w:tc>
          <w:tcPr>
            <w:tcW w:type="dxa" w:w="81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 exclusão solicitada pelo titular remove imagem, respostas e resultado, preservando apenas o registro mínimo legal/auditável não sensível.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RN-28</w:t>
            </w:r>
          </w:p>
        </w:tc>
        <w:tc>
          <w:tcPr>
            <w:tcW w:type="dxa" w:w="81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O provider não pode reutilizar a foto para treino, marketing ou melhoria sem opt-in específico e contrato correspondente.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6. Alertas e encaminhamento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Pergunta de alerta deve ser direta e autorreferida: lesão aberta, dor intensa, sangramento, reação aguda, infecção suspeita ou piora rápida.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Resposta afirmativa interrompe recomendações de tratamento e orienta avaliação profissional; não nomeia diagnóstico.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Em uso de prescrição dermatológica, a D’ACCORD limita-se a produtos neutros aprovados pela regra ou orienta consulta.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Em dúvida de alergia, o sistema não infere segurança; orienta profissional e teste de contato quando a curadoria permitir.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7. Governança das regras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rule_id e versão</w:t>
            </w:r>
          </w:p>
        </w:tc>
        <w:tc>
          <w:tcPr>
            <w:tcW w:type="dxa" w:w="66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Identificador imutável e versão semântica</w:t>
            </w:r>
          </w:p>
        </w:tc>
      </w:tr>
      <w:tr>
        <w:trPr>
          <w:cantSplit/>
        </w:trPr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owner</w:t>
            </w:r>
          </w:p>
        </w:tc>
        <w:tc>
          <w:tcPr>
            <w:tcW w:type="dxa" w:w="66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Curadoria, Produto, Jurídico ou Engenharia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severity</w:t>
            </w:r>
          </w:p>
        </w:tc>
        <w:tc>
          <w:tcPr>
            <w:tcW w:type="dxa" w:w="66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block, warn, score ou information</w:t>
            </w:r>
          </w:p>
        </w:tc>
      </w:tr>
      <w:tr>
        <w:trPr>
          <w:cantSplit/>
        </w:trPr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condition/effect</w:t>
            </w:r>
          </w:p>
        </w:tc>
        <w:tc>
          <w:tcPr>
            <w:tcW w:type="dxa" w:w="66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Expressão estruturada e resultado determinístico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rationale/source</w:t>
            </w:r>
          </w:p>
        </w:tc>
        <w:tc>
          <w:tcPr>
            <w:tcW w:type="dxa" w:w="66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Justificativa e evidência/referência</w:t>
            </w:r>
          </w:p>
        </w:tc>
      </w:tr>
      <w:tr>
        <w:trPr>
          <w:cantSplit/>
        </w:trPr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effective_at/retired_at</w:t>
            </w:r>
          </w:p>
        </w:tc>
        <w:tc>
          <w:tcPr>
            <w:tcW w:type="dxa" w:w="66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Janela de vigência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test_cases</w:t>
            </w:r>
          </w:p>
        </w:tc>
        <w:tc>
          <w:tcPr>
            <w:tcW w:type="dxa" w:w="66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Casos positivos, negativos e de conflito</w:t>
            </w:r>
          </w:p>
        </w:tc>
      </w:tr>
      <w:tr>
        <w:trPr>
          <w:cantSplit/>
        </w:trPr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approval</w:t>
            </w:r>
          </w:p>
        </w:tc>
        <w:tc>
          <w:tcPr>
            <w:tcW w:type="dxa" w:w="66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7"/>
              </w:rPr>
              <w:t>Revisores e data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0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oreal.com/en/news/research-innovation/loreal-and-modiface-an-artificial-intelligencepowered-skin-diagnostic" TargetMode="External"/><Relationship Id="rId11" Type="http://schemas.openxmlformats.org/officeDocument/2006/relationships/hyperlink" Target="https://www.loreal.com/en/articles/science-and-technology/ri-behind-the-scenes-of-the-skin-analyzer-apps/" TargetMode="External"/><Relationship Id="rId12" Type="http://schemas.openxmlformats.org/officeDocument/2006/relationships/hyperlink" Target="https://docs.perfectcorp.com/reference/ai_skin_analysis/v2.1" TargetMode="External"/><Relationship Id="rId13" Type="http://schemas.openxmlformats.org/officeDocument/2006/relationships/hyperlink" Target="https://www.gov.br/anpd/pt-br/acesso-a-informacao/perguntas-frequentes/perguntas-frequentes" TargetMode="External"/><Relationship Id="rId14" Type="http://schemas.openxmlformats.org/officeDocument/2006/relationships/hyperlink" Target="https://www.gov.br/anvisa/pt-br/acessoainformacao/perguntasfrequentes/produtosparasaude/conceitos-e-definicoes" TargetMode="External"/><Relationship Id="rId15" Type="http://schemas.openxmlformats.org/officeDocument/2006/relationships/hyperlink" Target="https://developer.mozilla.org/en-US/docs/Web/API/MediaDevices/getUser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DAC-AP-06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