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2B1924"/>
          <w:left w:val="single" w:sz="0" w:space="0" w:color="2B1924"/>
          <w:bottom w:val="single" w:sz="0" w:space="0" w:color="2B1924"/>
          <w:right w:val="single" w:sz="0" w:space="0" w:color="2B1924"/>
          <w:insideH w:val="single" w:sz="0" w:space="0" w:color="2B1924"/>
          <w:insideV w:val="single" w:sz="0" w:space="0" w:color="2B1924"/>
        </w:tblBorders>
      </w:tblPr>
      <w:tblGrid>
        <w:gridCol w:w="9360"/>
      </w:tblGrid>
      <w:tr>
        <w:tc>
          <w:tcPr>
            <w:tcW w:type="dxa" w:w="9360"/>
            <w:tcMar>
              <w:top w:w="220" w:type="dxa"/>
              <w:start w:w="260" w:type="dxa"/>
              <w:bottom w:w="260" w:type="dxa"/>
              <w:end w:w="260" w:type="dxa"/>
            </w:tcMar>
            <w:vAlign w:val="center"/>
            <w:shd w:fill="2B1924" w:val="clear"/>
          </w:tcPr>
          <w:p>
            <w:pPr>
              <w:spacing w:after="440"/>
            </w:pPr>
            <w:r>
              <w:drawing>
                <wp:inline xmlns:a="http://schemas.openxmlformats.org/drawingml/2006/main" xmlns:pic="http://schemas.openxmlformats.org/drawingml/2006/picture">
                  <wp:extent cx="2148840" cy="552559"/>
                  <wp:docPr id="1" name="Picture 1" descr="Logotipo D’ACCORD" title="Logotipo D’ACCORD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ccord-logotipo-branc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525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/>
            </w:pPr>
            <w:r>
              <w:rPr>
                <w:rFonts w:ascii="Arial" w:hAnsi="Arial" w:eastAsia="Arial"/>
                <w:b/>
                <w:color w:val="D9B7A7"/>
                <w:sz w:val="16"/>
              </w:rPr>
              <w:t>CADERNO DE ANÁLISE DE PELE  ·  DAC-AP-07</w:t>
            </w:r>
          </w:p>
          <w:p>
            <w:pPr>
              <w:spacing w:after="200" w:line="221" w:lineRule="auto"/>
            </w:pPr>
            <w:r>
              <w:rPr>
                <w:rFonts w:ascii="Arial Narrow" w:hAnsi="Arial Narrow" w:eastAsia="Arial Narrow"/>
                <w:b/>
                <w:color w:val="FFFFFF"/>
                <w:sz w:val="56"/>
              </w:rPr>
              <w:t>REQUISITOS NÃO FUNCIONAIS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Arial"/>
                <w:color w:val="FFF0F5"/>
                <w:sz w:val="23"/>
              </w:rPr>
              <w:t>Qualidade, segurança, privacidade, desempenho, disponibilidade, acessibilidade e avaliação de IA.</w:t>
            </w:r>
          </w:p>
        </w:tc>
      </w:tr>
    </w:tbl>
    <w:p>
      <w:pPr>
        <w:spacing w:after="1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E7DDE2"/>
          <w:left w:val="single" w:sz="5" w:space="0" w:color="E7DDE2"/>
          <w:bottom w:val="single" w:sz="5" w:space="0" w:color="E7DDE2"/>
          <w:right w:val="single" w:sz="5" w:space="0" w:color="E7DDE2"/>
          <w:insideH w:val="single" w:sz="5" w:space="0" w:color="E7DDE2"/>
          <w:insideV w:val="single" w:sz="5" w:space="0" w:color="E7DDE2"/>
        </w:tblBorders>
      </w:tblPr>
      <w:tblGrid>
        <w:gridCol w:w="1880"/>
        <w:gridCol w:w="7480"/>
      </w:tblGrid>
      <w:tr>
        <w:tc>
          <w:tcPr>
            <w:tcW w:type="dxa" w:w="1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0F5" w:val="clea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941564"/>
                <w:sz w:val="16"/>
              </w:rPr>
              <w:t>VERSÃO</w:t>
            </w:r>
          </w:p>
        </w:tc>
        <w:tc>
          <w:tcPr>
            <w:tcW w:type="dxa" w:w="7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241820"/>
                <w:sz w:val="19"/>
              </w:rPr>
              <w:t>1.0</w:t>
            </w:r>
          </w:p>
        </w:tc>
      </w:tr>
      <w:tr>
        <w:tc>
          <w:tcPr>
            <w:tcW w:type="dxa" w:w="1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0F5" w:val="clea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941564"/>
                <w:sz w:val="16"/>
              </w:rPr>
              <w:t>STATUS</w:t>
            </w:r>
          </w:p>
        </w:tc>
        <w:tc>
          <w:tcPr>
            <w:tcW w:type="dxa" w:w="7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241820"/>
                <w:sz w:val="19"/>
              </w:rPr>
              <w:t>Proposta para validação</w:t>
            </w:r>
          </w:p>
        </w:tc>
      </w:tr>
      <w:tr>
        <w:tc>
          <w:tcPr>
            <w:tcW w:type="dxa" w:w="1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0F5" w:val="clea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941564"/>
                <w:sz w:val="16"/>
              </w:rPr>
              <w:t>DATA</w:t>
            </w:r>
          </w:p>
        </w:tc>
        <w:tc>
          <w:tcPr>
            <w:tcW w:type="dxa" w:w="7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241820"/>
                <w:sz w:val="19"/>
              </w:rPr>
              <w:t>30 de agosto de 2026</w:t>
            </w:r>
          </w:p>
        </w:tc>
      </w:tr>
      <w:tr>
        <w:tc>
          <w:tcPr>
            <w:tcW w:type="dxa" w:w="1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0F5" w:val="clea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941564"/>
                <w:sz w:val="16"/>
              </w:rPr>
              <w:t>RESPONSÁVEL</w:t>
            </w:r>
          </w:p>
        </w:tc>
        <w:tc>
          <w:tcPr>
            <w:tcW w:type="dxa" w:w="7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241820"/>
                <w:sz w:val="19"/>
              </w:rPr>
              <w:t>D’ACCORD · Produto, Engenharia e Curadoria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9D286F"/>
          <w:left w:val="single" w:sz="0" w:space="0" w:color="9D286F"/>
          <w:bottom w:val="single" w:sz="0" w:space="0" w:color="9D286F"/>
          <w:right w:val="single" w:sz="0" w:space="0" w:color="9D286F"/>
          <w:insideH w:val="single" w:sz="0" w:space="0" w:color="9D286F"/>
          <w:insideV w:val="single" w:sz="0" w:space="0" w:color="9D286F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9D286F" w:val="clear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color w:val="D9B7A7"/>
                <w:sz w:val="16"/>
              </w:rPr>
              <w:t>DECISÃO NORTEADORA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Requisitos não funcionais críticos são gates de lançamento. Uma interface bonita não compensa viés, exclusão insegura, vazamento de foto ou ausência de deleção verificável.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 Narrow" w:hAnsi="Arial Narrow" w:eastAsia="Arial Narrow"/>
          <w:b/>
          <w:color w:val="941564"/>
          <w:sz w:val="27"/>
        </w:rPr>
        <w:t>Mapa do caderno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B4568C"/>
          <w:left w:val="single" w:sz="5" w:space="0" w:color="B4568C"/>
          <w:bottom w:val="single" w:sz="5" w:space="0" w:color="B4568C"/>
          <w:right w:val="single" w:sz="5" w:space="0" w:color="B4568C"/>
          <w:insideH w:val="single" w:sz="5" w:space="0" w:color="B4568C"/>
          <w:insideV w:val="single" w:sz="5" w:space="0" w:color="B4568C"/>
        </w:tblBorders>
      </w:tblPr>
      <w:tblGrid>
        <w:gridCol w:w="1200"/>
        <w:gridCol w:w="5400"/>
        <w:gridCol w:w="2760"/>
      </w:tblGrid>
      <w:tr>
        <w:trPr>
          <w:tblHeader w:val="true"/>
          <w:cantSplit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1924" w:val="clea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CÓDIGO</w:t>
            </w:r>
          </w:p>
        </w:tc>
        <w:tc>
          <w:tcPr>
            <w:tcW w:type="dxa" w:w="5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1924" w:val="clea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DOCUMENTO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1924" w:val="clea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RELAÇÃO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DAC-AP-01</w:t>
            </w:r>
          </w:p>
        </w:tc>
        <w:tc>
          <w:tcPr>
            <w:tcW w:type="dxa" w:w="54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Planejamento e escopo</w:t>
            </w:r>
          </w:p>
        </w:tc>
        <w:tc>
          <w:tcPr>
            <w:tcW w:type="dxa" w:w="276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Documento complementar</w:t>
            </w:r>
          </w:p>
        </w:tc>
      </w:tr>
      <w:tr>
        <w:trPr>
          <w:cantSplit/>
        </w:trPr>
        <w:tc>
          <w:tcPr>
            <w:tcW w:type="dxa" w:w="12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DAC-AP-02</w:t>
            </w:r>
          </w:p>
        </w:tc>
        <w:tc>
          <w:tcPr>
            <w:tcW w:type="dxa" w:w="54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Requisitos da funcionalidade</w:t>
            </w:r>
          </w:p>
        </w:tc>
        <w:tc>
          <w:tcPr>
            <w:tcW w:type="dxa" w:w="276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Documento complementar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DAC-AP-03</w:t>
            </w:r>
          </w:p>
        </w:tc>
        <w:tc>
          <w:tcPr>
            <w:tcW w:type="dxa" w:w="54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Arquitetura da solução</w:t>
            </w:r>
          </w:p>
        </w:tc>
        <w:tc>
          <w:tcPr>
            <w:tcW w:type="dxa" w:w="276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Documento complementar</w:t>
            </w:r>
          </w:p>
        </w:tc>
      </w:tr>
      <w:tr>
        <w:trPr>
          <w:cantSplit/>
        </w:trPr>
        <w:tc>
          <w:tcPr>
            <w:tcW w:type="dxa" w:w="12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DAC-AP-04</w:t>
            </w:r>
          </w:p>
        </w:tc>
        <w:tc>
          <w:tcPr>
            <w:tcW w:type="dxa" w:w="54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Implementação técnica</w:t>
            </w:r>
          </w:p>
        </w:tc>
        <w:tc>
          <w:tcPr>
            <w:tcW w:type="dxa" w:w="276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Documento complementar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DAC-AP-05</w:t>
            </w:r>
          </w:p>
        </w:tc>
        <w:tc>
          <w:tcPr>
            <w:tcW w:type="dxa" w:w="54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Tecnologias e ferramentas</w:t>
            </w:r>
          </w:p>
        </w:tc>
        <w:tc>
          <w:tcPr>
            <w:tcW w:type="dxa" w:w="276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Documento complementar</w:t>
            </w:r>
          </w:p>
        </w:tc>
      </w:tr>
      <w:tr>
        <w:trPr>
          <w:cantSplit/>
        </w:trPr>
        <w:tc>
          <w:tcPr>
            <w:tcW w:type="dxa" w:w="12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DAC-AP-06</w:t>
            </w:r>
          </w:p>
        </w:tc>
        <w:tc>
          <w:tcPr>
            <w:tcW w:type="dxa" w:w="54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Regras de negócio</w:t>
            </w:r>
          </w:p>
        </w:tc>
        <w:tc>
          <w:tcPr>
            <w:tcW w:type="dxa" w:w="276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Documento complementar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DAC-AP-07</w:t>
            </w:r>
          </w:p>
        </w:tc>
        <w:tc>
          <w:tcPr>
            <w:tcW w:type="dxa" w:w="54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Requisitos não funcionais</w:t>
            </w:r>
          </w:p>
        </w:tc>
        <w:tc>
          <w:tcPr>
            <w:tcW w:type="dxa" w:w="276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ESTE DOCUMENTO</w:t>
            </w:r>
          </w:p>
        </w:tc>
      </w:tr>
      <w:tr>
        <w:trPr>
          <w:cantSplit/>
        </w:trPr>
        <w:tc>
          <w:tcPr>
            <w:tcW w:type="dxa" w:w="12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DAC-AP-08</w:t>
            </w:r>
          </w:p>
        </w:tc>
        <w:tc>
          <w:tcPr>
            <w:tcW w:type="dxa" w:w="54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Plano de desenvolvimento</w:t>
            </w:r>
          </w:p>
        </w:tc>
        <w:tc>
          <w:tcPr>
            <w:tcW w:type="dxa" w:w="276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Documento complementar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Arial Narrow" w:hAnsi="Arial Narrow" w:eastAsia="Arial Narrow"/>
          <w:b/>
          <w:color w:val="2B1924"/>
          <w:sz w:val="34"/>
        </w:rPr>
        <w:t>1. Matriz de requisitos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B4568C"/>
          <w:left w:val="single" w:sz="5" w:space="0" w:color="B4568C"/>
          <w:bottom w:val="single" w:sz="5" w:space="0" w:color="B4568C"/>
          <w:right w:val="single" w:sz="5" w:space="0" w:color="B4568C"/>
          <w:insideH w:val="single" w:sz="5" w:space="0" w:color="B4568C"/>
          <w:insideV w:val="single" w:sz="5" w:space="0" w:color="B4568C"/>
        </w:tblBorders>
      </w:tblPr>
      <w:tblGrid>
        <w:gridCol w:w="1050"/>
        <w:gridCol w:w="1600"/>
        <w:gridCol w:w="4380"/>
        <w:gridCol w:w="2330"/>
      </w:tblGrid>
      <w:tr>
        <w:trPr>
          <w:tblHeader w:val="true"/>
          <w:cantSplit/>
        </w:trPr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1924" w:val="clea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ID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1924" w:val="clea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DIMENSÃO</w:t>
            </w:r>
          </w:p>
        </w:tc>
        <w:tc>
          <w:tcPr>
            <w:tcW w:type="dxa" w:w="4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1924" w:val="clea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META</w:t>
            </w:r>
          </w:p>
        </w:tc>
        <w:tc>
          <w:tcPr>
            <w:tcW w:type="dxa" w:w="23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1924" w:val="clea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EVIDÊNCIA</w:t>
            </w:r>
          </w:p>
        </w:tc>
      </w:tr>
      <w:tr>
        <w:trPr>
          <w:cantSplit/>
        </w:trPr>
        <w:tc>
          <w:tcPr>
            <w:tcW w:type="dxa" w:w="105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RNF-001</w:t>
            </w:r>
          </w:p>
        </w:tc>
        <w:tc>
          <w:tcPr>
            <w:tcW w:type="dxa" w:w="16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Desempenho</w:t>
            </w:r>
          </w:p>
        </w:tc>
        <w:tc>
          <w:tcPr>
            <w:tcW w:type="dxa" w:w="438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LCP p75 ≤ 2,5 s em mobile; criação de sessão p95 ≤ 400 ms.</w:t>
            </w:r>
          </w:p>
        </w:tc>
        <w:tc>
          <w:tcPr>
            <w:tcW w:type="dxa" w:w="233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Web Vitals e traces por rota</w:t>
            </w:r>
          </w:p>
        </w:tc>
      </w:tr>
      <w:tr>
        <w:trPr>
          <w:cantSplit/>
        </w:trPr>
        <w:tc>
          <w:tcPr>
            <w:tcW w:type="dxa" w:w="105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RNF-002</w:t>
            </w:r>
          </w:p>
        </w:tc>
        <w:tc>
          <w:tcPr>
            <w:tcW w:type="dxa" w:w="16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Tempo de análise</w:t>
            </w:r>
          </w:p>
        </w:tc>
        <w:tc>
          <w:tcPr>
            <w:tcW w:type="dxa" w:w="438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P90 ≤ 30 s; timeout visível em 120 s.</w:t>
            </w:r>
          </w:p>
        </w:tc>
        <w:tc>
          <w:tcPr>
            <w:tcW w:type="dxa" w:w="233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Métrica por provider/device/rede</w:t>
            </w:r>
          </w:p>
        </w:tc>
      </w:tr>
      <w:tr>
        <w:trPr>
          <w:cantSplit/>
        </w:trPr>
        <w:tc>
          <w:tcPr>
            <w:tcW w:type="dxa" w:w="105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RNF-003</w:t>
            </w:r>
          </w:p>
        </w:tc>
        <w:tc>
          <w:tcPr>
            <w:tcW w:type="dxa" w:w="16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Disponibilidade</w:t>
            </w:r>
          </w:p>
        </w:tc>
        <w:tc>
          <w:tcPr>
            <w:tcW w:type="dxa" w:w="438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99,5% mensal no MVP, excluindo indisponibilidade contratual do provider identificada separadamente.</w:t>
            </w:r>
          </w:p>
        </w:tc>
        <w:tc>
          <w:tcPr>
            <w:tcW w:type="dxa" w:w="233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SLI por componente</w:t>
            </w:r>
          </w:p>
        </w:tc>
      </w:tr>
      <w:tr>
        <w:trPr>
          <w:cantSplit/>
        </w:trPr>
        <w:tc>
          <w:tcPr>
            <w:tcW w:type="dxa" w:w="105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RNF-004</w:t>
            </w:r>
          </w:p>
        </w:tc>
        <w:tc>
          <w:tcPr>
            <w:tcW w:type="dxa" w:w="16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Escalabilidade</w:t>
            </w:r>
          </w:p>
        </w:tc>
        <w:tc>
          <w:tcPr>
            <w:tcW w:type="dxa" w:w="438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Suportar 10 análises/s em pico sem duplicar tarefas; crescimento horizontal da API.</w:t>
            </w:r>
          </w:p>
        </w:tc>
        <w:tc>
          <w:tcPr>
            <w:tcW w:type="dxa" w:w="233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Teste de carga e idempotência</w:t>
            </w:r>
          </w:p>
        </w:tc>
      </w:tr>
      <w:tr>
        <w:trPr>
          <w:cantSplit/>
        </w:trPr>
        <w:tc>
          <w:tcPr>
            <w:tcW w:type="dxa" w:w="105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RNF-005</w:t>
            </w:r>
          </w:p>
        </w:tc>
        <w:tc>
          <w:tcPr>
            <w:tcW w:type="dxa" w:w="16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Segurança</w:t>
            </w:r>
          </w:p>
        </w:tc>
        <w:tc>
          <w:tcPr>
            <w:tcW w:type="dxa" w:w="438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TLS, bucket privado, least privilege, webhook assinado, rate limit e validação de arquivo.</w:t>
            </w:r>
          </w:p>
        </w:tc>
        <w:tc>
          <w:tcPr>
            <w:tcW w:type="dxa" w:w="233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Pentest/checklist OWASP</w:t>
            </w:r>
          </w:p>
        </w:tc>
      </w:tr>
      <w:tr>
        <w:trPr>
          <w:cantSplit/>
        </w:trPr>
        <w:tc>
          <w:tcPr>
            <w:tcW w:type="dxa" w:w="105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RNF-006</w:t>
            </w:r>
          </w:p>
        </w:tc>
        <w:tc>
          <w:tcPr>
            <w:tcW w:type="dxa" w:w="16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Privacidade</w:t>
            </w:r>
          </w:p>
        </w:tc>
        <w:tc>
          <w:tcPr>
            <w:tcW w:type="dxa" w:w="438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Foto eliminada após uso e em até 24 h; opt-ins separados; zero conteúdo sensível em logs.</w:t>
            </w:r>
          </w:p>
        </w:tc>
        <w:tc>
          <w:tcPr>
            <w:tcW w:type="dxa" w:w="233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Teste automatizado + auditoria</w:t>
            </w:r>
          </w:p>
        </w:tc>
      </w:tr>
      <w:tr>
        <w:trPr>
          <w:cantSplit/>
        </w:trPr>
        <w:tc>
          <w:tcPr>
            <w:tcW w:type="dxa" w:w="105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RNF-007</w:t>
            </w:r>
          </w:p>
        </w:tc>
        <w:tc>
          <w:tcPr>
            <w:tcW w:type="dxa" w:w="16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Acessibilidade</w:t>
            </w:r>
          </w:p>
        </w:tc>
        <w:tc>
          <w:tcPr>
            <w:tcW w:type="dxa" w:w="438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WCAG 2.2 AA; fluxo utilizável por teclado e leitor de tela; instruções não dependem só de cor.</w:t>
            </w:r>
          </w:p>
        </w:tc>
        <w:tc>
          <w:tcPr>
            <w:tcW w:type="dxa" w:w="233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axe + Playwright + revisão manual</w:t>
            </w:r>
          </w:p>
        </w:tc>
      </w:tr>
      <w:tr>
        <w:trPr>
          <w:cantSplit/>
        </w:trPr>
        <w:tc>
          <w:tcPr>
            <w:tcW w:type="dxa" w:w="105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RNF-008</w:t>
            </w:r>
          </w:p>
        </w:tc>
        <w:tc>
          <w:tcPr>
            <w:tcW w:type="dxa" w:w="16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Compatibilidade</w:t>
            </w:r>
          </w:p>
        </w:tc>
        <w:tc>
          <w:tcPr>
            <w:tcW w:type="dxa" w:w="438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Últimas duas versões de Chrome, Safari, Edge e Firefox; câmera com fallback de upload.</w:t>
            </w:r>
          </w:p>
        </w:tc>
        <w:tc>
          <w:tcPr>
            <w:tcW w:type="dxa" w:w="233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Matriz BrowserStack/local</w:t>
            </w:r>
          </w:p>
        </w:tc>
      </w:tr>
      <w:tr>
        <w:trPr>
          <w:cantSplit/>
        </w:trPr>
        <w:tc>
          <w:tcPr>
            <w:tcW w:type="dxa" w:w="105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RNF-009</w:t>
            </w:r>
          </w:p>
        </w:tc>
        <w:tc>
          <w:tcPr>
            <w:tcW w:type="dxa" w:w="16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Observabilidade</w:t>
            </w:r>
          </w:p>
        </w:tc>
        <w:tc>
          <w:tcPr>
            <w:tcW w:type="dxa" w:w="438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100% das sessões com correlation_id; traces sem PII; alertas para erro, latência e deleção.</w:t>
            </w:r>
          </w:p>
        </w:tc>
        <w:tc>
          <w:tcPr>
            <w:tcW w:type="dxa" w:w="233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Dashboards e amostragem</w:t>
            </w:r>
          </w:p>
        </w:tc>
      </w:tr>
      <w:tr>
        <w:trPr>
          <w:cantSplit/>
        </w:trPr>
        <w:tc>
          <w:tcPr>
            <w:tcW w:type="dxa" w:w="105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RNF-010</w:t>
            </w:r>
          </w:p>
        </w:tc>
        <w:tc>
          <w:tcPr>
            <w:tcW w:type="dxa" w:w="16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Manutenibilidade</w:t>
            </w:r>
          </w:p>
        </w:tc>
        <w:tc>
          <w:tcPr>
            <w:tcW w:type="dxa" w:w="438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Módulos de domínio sem dependência do provider; cobertura ≥ 90% nas regras críticas.</w:t>
            </w:r>
          </w:p>
        </w:tc>
        <w:tc>
          <w:tcPr>
            <w:tcW w:type="dxa" w:w="233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Arquitetura + coverage</w:t>
            </w:r>
          </w:p>
        </w:tc>
      </w:tr>
      <w:tr>
        <w:trPr>
          <w:cantSplit/>
        </w:trPr>
        <w:tc>
          <w:tcPr>
            <w:tcW w:type="dxa" w:w="105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RNF-011</w:t>
            </w:r>
          </w:p>
        </w:tc>
        <w:tc>
          <w:tcPr>
            <w:tcW w:type="dxa" w:w="16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Auditabilidade</w:t>
            </w:r>
          </w:p>
        </w:tc>
        <w:tc>
          <w:tcPr>
            <w:tcW w:type="dxa" w:w="438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Resultado registra versões do provider, normalizador, catálogo e regras.</w:t>
            </w:r>
          </w:p>
        </w:tc>
        <w:tc>
          <w:tcPr>
            <w:tcW w:type="dxa" w:w="233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Replay sem foto</w:t>
            </w:r>
          </w:p>
        </w:tc>
      </w:tr>
      <w:tr>
        <w:trPr>
          <w:cantSplit/>
        </w:trPr>
        <w:tc>
          <w:tcPr>
            <w:tcW w:type="dxa" w:w="105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RNF-012</w:t>
            </w:r>
          </w:p>
        </w:tc>
        <w:tc>
          <w:tcPr>
            <w:tcW w:type="dxa" w:w="16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Portabilidade</w:t>
            </w:r>
          </w:p>
        </w:tc>
        <w:tc>
          <w:tcPr>
            <w:tcW w:type="dxa" w:w="438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Provider substituível por adapter e fixtures de contrato.</w:t>
            </w:r>
          </w:p>
        </w:tc>
        <w:tc>
          <w:tcPr>
            <w:tcW w:type="dxa" w:w="233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Teste com mock + segundo adapter</w:t>
            </w:r>
          </w:p>
        </w:tc>
      </w:tr>
      <w:tr>
        <w:trPr>
          <w:cantSplit/>
        </w:trPr>
        <w:tc>
          <w:tcPr>
            <w:tcW w:type="dxa" w:w="105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RNF-013</w:t>
            </w:r>
          </w:p>
        </w:tc>
        <w:tc>
          <w:tcPr>
            <w:tcW w:type="dxa" w:w="16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Recuperação</w:t>
            </w:r>
          </w:p>
        </w:tc>
        <w:tc>
          <w:tcPr>
            <w:tcW w:type="dxa" w:w="438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RPO ≤ 24 h e RTO ≤ 4 h para dados persistentes; fotos temporárias não são restauradas.</w:t>
            </w:r>
          </w:p>
        </w:tc>
        <w:tc>
          <w:tcPr>
            <w:tcW w:type="dxa" w:w="233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Teste de restore</w:t>
            </w:r>
          </w:p>
        </w:tc>
      </w:tr>
      <w:tr>
        <w:trPr>
          <w:cantSplit/>
        </w:trPr>
        <w:tc>
          <w:tcPr>
            <w:tcW w:type="dxa" w:w="105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RNF-014</w:t>
            </w:r>
          </w:p>
        </w:tc>
        <w:tc>
          <w:tcPr>
            <w:tcW w:type="dxa" w:w="16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Localização</w:t>
            </w:r>
          </w:p>
        </w:tc>
        <w:tc>
          <w:tcPr>
            <w:tcW w:type="dxa" w:w="438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pt-BR no MVP; textos e enumerações desacoplados para i18n futura.</w:t>
            </w:r>
          </w:p>
        </w:tc>
        <w:tc>
          <w:tcPr>
            <w:tcW w:type="dxa" w:w="233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Lint de strings e catálogo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rial Narrow" w:hAnsi="Arial Narrow" w:eastAsia="Arial Narrow"/>
          <w:b/>
          <w:color w:val="2B1924"/>
          <w:sz w:val="34"/>
        </w:rPr>
        <w:t>2. Segurança e privacidade</w:t>
      </w:r>
    </w:p>
    <w:p>
      <w:pPr>
        <w:pStyle w:val="ListBullet"/>
        <w:widowControl/>
      </w:pPr>
      <w:r>
        <w:rPr>
          <w:rFonts w:ascii="Arial" w:hAnsi="Arial" w:eastAsia="Arial"/>
          <w:sz w:val="20"/>
        </w:rPr>
        <w:t>Classificar selfie, alergias, doenças e medicamentos como dados de alta sensibilidade; aplicar acesso por função e ambiente.</w:t>
      </w:r>
    </w:p>
    <w:p>
      <w:pPr>
        <w:pStyle w:val="ListBullet"/>
        <w:widowControl/>
      </w:pPr>
      <w:r>
        <w:rPr>
          <w:rFonts w:ascii="Arial" w:hAnsi="Arial" w:eastAsia="Arial"/>
          <w:sz w:val="20"/>
        </w:rPr>
        <w:t>Não armazenar a imagem em PostgreSQL; guardar somente object_key aleatório, checksum e deleted_at.</w:t>
      </w:r>
    </w:p>
    <w:p>
      <w:pPr>
        <w:pStyle w:val="ListBullet"/>
        <w:widowControl/>
      </w:pPr>
      <w:r>
        <w:rPr>
          <w:rFonts w:ascii="Arial" w:hAnsi="Arial" w:eastAsia="Arial"/>
          <w:sz w:val="20"/>
        </w:rPr>
        <w:t>Recusar arquivos acima do limite, formatos inesperados, polyglots e conteúdo que não passe pela decodificação segura.</w:t>
      </w:r>
    </w:p>
    <w:p>
      <w:pPr>
        <w:pStyle w:val="ListBullet"/>
        <w:widowControl/>
      </w:pPr>
      <w:r>
        <w:rPr>
          <w:rFonts w:ascii="Arial" w:hAnsi="Arial" w:eastAsia="Arial"/>
          <w:sz w:val="20"/>
        </w:rPr>
        <w:t>URL pré-assinada deve permitir uma operação em um objeto, com expiração curta; ela é um bearer token [R2-01].</w:t>
      </w:r>
    </w:p>
    <w:p>
      <w:pPr>
        <w:pStyle w:val="ListBullet"/>
        <w:widowControl/>
      </w:pPr>
      <w:r>
        <w:rPr>
          <w:rFonts w:ascii="Arial" w:hAnsi="Arial" w:eastAsia="Arial"/>
          <w:sz w:val="20"/>
        </w:rPr>
        <w:t>Segregar chaves de desenvolvimento, homologação e produção; rotação e revogação documentadas.</w:t>
      </w:r>
    </w:p>
    <w:p>
      <w:pPr>
        <w:pStyle w:val="ListBullet"/>
        <w:widowControl/>
      </w:pPr>
      <w:r>
        <w:rPr>
          <w:rFonts w:ascii="Arial" w:hAnsi="Arial" w:eastAsia="Arial"/>
          <w:sz w:val="20"/>
        </w:rPr>
        <w:t>Executar threat model antes do piloto: acesso cruzado, replay de webhook, SSRF via source URL, enumeração de sessões, upload malicioso e insider risk.</w:t>
      </w:r>
    </w:p>
    <w:p>
      <w:pPr>
        <w:pStyle w:val="Heading1"/>
        <w:keepNext/>
      </w:pPr>
      <w:r>
        <w:rPr>
          <w:rFonts w:ascii="Arial Narrow" w:hAnsi="Arial Narrow" w:eastAsia="Arial Narrow"/>
          <w:b/>
          <w:color w:val="2B1924"/>
          <w:sz w:val="34"/>
        </w:rPr>
        <w:t>3. Protocolo de avaliação da análise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B4568C"/>
          <w:left w:val="single" w:sz="5" w:space="0" w:color="B4568C"/>
          <w:bottom w:val="single" w:sz="5" w:space="0" w:color="B4568C"/>
          <w:right w:val="single" w:sz="5" w:space="0" w:color="B4568C"/>
          <w:insideH w:val="single" w:sz="5" w:space="0" w:color="B4568C"/>
          <w:insideV w:val="single" w:sz="5" w:space="0" w:color="B4568C"/>
        </w:tblBorders>
      </w:tblPr>
      <w:tblGrid>
        <w:gridCol w:w="2200"/>
        <w:gridCol w:w="3740"/>
        <w:gridCol w:w="3420"/>
      </w:tblGrid>
      <w:tr>
        <w:trPr>
          <w:tblHeader w:val="true"/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1924" w:val="clea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DIMENSÃO</w:t>
            </w:r>
          </w:p>
        </w:tc>
        <w:tc>
          <w:tcPr>
            <w:tcW w:type="dxa" w:w="37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1924" w:val="clea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MÉTRICA</w:t>
            </w:r>
          </w:p>
        </w:tc>
        <w:tc>
          <w:tcPr>
            <w:tcW w:type="dxa" w:w="34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1924" w:val="clea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GATE INICIAL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Quality gate</w:t>
            </w:r>
          </w:p>
        </w:tc>
        <w:tc>
          <w:tcPr>
            <w:tcW w:type="dxa" w:w="374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Taxa de aprovação/rejeição correta por condição</w:t>
            </w:r>
          </w:p>
        </w:tc>
        <w:tc>
          <w:tcPr>
            <w:tcW w:type="dxa" w:w="342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≥ 90% e diferença entre grupos ≤ 5 p.p.</w:t>
            </w:r>
          </w:p>
        </w:tc>
      </w:tr>
      <w:tr>
        <w:trPr>
          <w:cantSplit/>
        </w:trPr>
        <w:tc>
          <w:tcPr>
            <w:tcW w:type="dxa" w:w="22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Concordância de sinais</w:t>
            </w:r>
          </w:p>
        </w:tc>
        <w:tc>
          <w:tcPr>
            <w:tcW w:type="dxa" w:w="374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Correlação/MAE e kappa vs. especialistas</w:t>
            </w:r>
          </w:p>
        </w:tc>
        <w:tc>
          <w:tcPr>
            <w:tcW w:type="dxa" w:w="342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Definido por sinal após estudo piloto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Confiança</w:t>
            </w:r>
          </w:p>
        </w:tc>
        <w:tc>
          <w:tcPr>
            <w:tcW w:type="dxa" w:w="374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Erro condicionado por faixa de confidence</w:t>
            </w:r>
          </w:p>
        </w:tc>
        <w:tc>
          <w:tcPr>
            <w:tcW w:type="dxa" w:w="342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Faixas monotônicas e calibradas</w:t>
            </w:r>
          </w:p>
        </w:tc>
      </w:tr>
      <w:tr>
        <w:trPr>
          <w:cantSplit/>
        </w:trPr>
        <w:tc>
          <w:tcPr>
            <w:tcW w:type="dxa" w:w="22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Equidade</w:t>
            </w:r>
          </w:p>
        </w:tc>
        <w:tc>
          <w:tcPr>
            <w:tcW w:type="dxa" w:w="374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Erro e rejeição por tom de pele, idade e device tier</w:t>
            </w:r>
          </w:p>
        </w:tc>
        <w:tc>
          <w:tcPr>
            <w:tcW w:type="dxa" w:w="342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Nenhum grupo ultrapassa limite aprovado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Segurança</w:t>
            </w:r>
          </w:p>
        </w:tc>
        <w:tc>
          <w:tcPr>
            <w:tcW w:type="dxa" w:w="374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Aplicação de exclusões rígidas</w:t>
            </w:r>
          </w:p>
        </w:tc>
        <w:tc>
          <w:tcPr>
            <w:tcW w:type="dxa" w:w="342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100% em dataset de regras</w:t>
            </w:r>
          </w:p>
        </w:tc>
      </w:tr>
      <w:tr>
        <w:trPr>
          <w:cantSplit/>
        </w:trPr>
        <w:tc>
          <w:tcPr>
            <w:tcW w:type="dxa" w:w="22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Explicabilidade</w:t>
            </w:r>
          </w:p>
        </w:tc>
        <w:tc>
          <w:tcPr>
            <w:tcW w:type="dxa" w:w="374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Motivos corretos e compreensíveis</w:t>
            </w:r>
          </w:p>
        </w:tc>
        <w:tc>
          <w:tcPr>
            <w:tcW w:type="dxa" w:w="342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≥ 95% corretos; ≥ 80% compreendidos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Deleção</w:t>
            </w:r>
          </w:p>
        </w:tc>
        <w:tc>
          <w:tcPr>
            <w:tcW w:type="dxa" w:w="374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Objetos ausentes após conclusão/solicitação</w:t>
            </w:r>
          </w:p>
        </w:tc>
        <w:tc>
          <w:tcPr>
            <w:tcW w:type="dxa" w:w="342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100%, incluindo retries e erros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Arial" w:hAnsi="Arial" w:eastAsia="Arial"/>
        </w:rPr>
        <w:t>O dataset piloto deve ser consentido e estratificado. Base recomendada: pelo menos 300 sessões distribuídas por tons de pele, faixas etárias, níveis de aparelho e condições de luz; subset de ao menos 120 imagens revisado de forma cega por dois especialistas, com adjudicação de discordâncias. Esses números são ponto de partida e devem ser refinados por poder estatístico.</w:t>
      </w:r>
    </w:p>
    <w:p>
      <w:pPr>
        <w:pStyle w:val="Heading1"/>
        <w:keepNext/>
      </w:pPr>
      <w:r>
        <w:rPr>
          <w:rFonts w:ascii="Arial Narrow" w:hAnsi="Arial Narrow" w:eastAsia="Arial Narrow"/>
          <w:b/>
          <w:color w:val="2B1924"/>
          <w:sz w:val="34"/>
        </w:rPr>
        <w:t>4. Guardrails online e flywheel offline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B4568C"/>
          <w:left w:val="single" w:sz="5" w:space="0" w:color="B4568C"/>
          <w:bottom w:val="single" w:sz="5" w:space="0" w:color="B4568C"/>
          <w:right w:val="single" w:sz="5" w:space="0" w:color="B4568C"/>
          <w:insideH w:val="single" w:sz="5" w:space="0" w:color="B4568C"/>
          <w:insideV w:val="single" w:sz="5" w:space="0" w:color="B4568C"/>
        </w:tblBorders>
      </w:tblPr>
      <w:tblGrid>
        <w:gridCol w:w="1800"/>
        <w:gridCol w:w="3780"/>
        <w:gridCol w:w="3780"/>
      </w:tblGrid>
      <w:tr>
        <w:trPr>
          <w:tblHeader w:val="true"/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1924" w:val="clea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TIPO</w:t>
            </w:r>
          </w:p>
        </w:tc>
        <w:tc>
          <w:tcPr>
            <w:tcW w:type="dxa" w:w="3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1924" w:val="clea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EXECUTA ONLINE</w:t>
            </w:r>
          </w:p>
        </w:tc>
        <w:tc>
          <w:tcPr>
            <w:tcW w:type="dxa" w:w="3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1924" w:val="clea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EXECUTA OFFLINE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7"/>
              </w:rPr>
              <w:t>Guardrail</w:t>
            </w:r>
          </w:p>
        </w:tc>
        <w:tc>
          <w:tcPr>
            <w:tcW w:type="dxa" w:w="378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7"/>
              </w:rPr>
              <w:t>Consentimento, elegibilidade, arquivo, baixa confiança, alergia, contraindicação, alerta, timeout e autorização</w:t>
            </w:r>
          </w:p>
        </w:tc>
        <w:tc>
          <w:tcPr>
            <w:tcW w:type="dxa" w:w="378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7"/>
              </w:rPr>
              <w:t>Revisão de incidentes e falsos bloqueios</w:t>
            </w:r>
          </w:p>
        </w:tc>
      </w:tr>
      <w:tr>
        <w:trPr>
          <w:cantSplit/>
        </w:trPr>
        <w:tc>
          <w:tcPr>
            <w:tcW w:type="dxa" w:w="18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7"/>
              </w:rPr>
              <w:t>Flywheel</w:t>
            </w:r>
          </w:p>
        </w:tc>
        <w:tc>
          <w:tcPr>
            <w:tcW w:type="dxa" w:w="378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7"/>
              </w:rPr>
              <w:t>Somente telemetria agregada necessária</w:t>
            </w:r>
          </w:p>
        </w:tc>
        <w:tc>
          <w:tcPr>
            <w:tcW w:type="dxa" w:w="378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7"/>
              </w:rPr>
              <w:t>Qualidade por grupo, drift de provider, retakes, satisfação, conversão e análise de erros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rial Narrow" w:hAnsi="Arial Narrow" w:eastAsia="Arial Narrow"/>
          <w:b/>
          <w:color w:val="2B1924"/>
          <w:sz w:val="34"/>
        </w:rPr>
        <w:t>5. Critérios de lançamento</w:t>
      </w:r>
    </w:p>
    <w:p>
      <w:pPr>
        <w:pStyle w:val="ListBullet"/>
        <w:widowControl/>
      </w:pPr>
      <w:r>
        <w:rPr>
          <w:rFonts w:ascii="Arial" w:hAnsi="Arial" w:eastAsia="Arial"/>
          <w:sz w:val="20"/>
        </w:rPr>
        <w:t>DPO/Jurídico aprovam consentimento, aviso de privacidade, retenção e DPA do provider.</w:t>
      </w:r>
    </w:p>
    <w:p>
      <w:pPr>
        <w:pStyle w:val="ListBullet"/>
        <w:widowControl/>
      </w:pPr>
      <w:r>
        <w:rPr>
          <w:rFonts w:ascii="Arial" w:hAnsi="Arial" w:eastAsia="Arial"/>
          <w:sz w:val="20"/>
        </w:rPr>
        <w:t>Curadoria aprova catálogo mínimo, aliases INCI e casos de teste de todas as regras críticas.</w:t>
      </w:r>
    </w:p>
    <w:p>
      <w:pPr>
        <w:pStyle w:val="ListBullet"/>
        <w:widowControl/>
      </w:pPr>
      <w:r>
        <w:rPr>
          <w:rFonts w:ascii="Arial" w:hAnsi="Arial" w:eastAsia="Arial"/>
          <w:sz w:val="20"/>
        </w:rPr>
        <w:t>Segurança confirma threat model, testes de acesso e ausência de dados sensíveis em logs.</w:t>
      </w:r>
    </w:p>
    <w:p>
      <w:pPr>
        <w:pStyle w:val="ListBullet"/>
        <w:widowControl/>
      </w:pPr>
      <w:r>
        <w:rPr>
          <w:rFonts w:ascii="Arial" w:hAnsi="Arial" w:eastAsia="Arial"/>
          <w:sz w:val="20"/>
        </w:rPr>
        <w:t>Avaliação demonstra desempenho aceitável por grupo; gaps documentados têm mitigação e limite de confiança.</w:t>
      </w:r>
    </w:p>
    <w:p>
      <w:pPr>
        <w:pStyle w:val="ListBullet"/>
        <w:widowControl/>
      </w:pPr>
      <w:r>
        <w:rPr>
          <w:rFonts w:ascii="Arial" w:hAnsi="Arial" w:eastAsia="Arial"/>
          <w:sz w:val="20"/>
        </w:rPr>
        <w:t>Deleção é comprovada em fluxo feliz, erro, timeout, retry e solicitação do titular.</w:t>
      </w:r>
    </w:p>
    <w:p>
      <w:pPr>
        <w:pStyle w:val="ListBullet"/>
        <w:widowControl/>
      </w:pPr>
      <w:r>
        <w:rPr>
          <w:rFonts w:ascii="Arial" w:hAnsi="Arial" w:eastAsia="Arial"/>
          <w:sz w:val="20"/>
        </w:rPr>
        <w:t>Plano de incidentes e rollback permite desligar provider/análise sem derrubar o ecommerce.</w:t>
      </w:r>
    </w:p>
    <w:p>
      <w:pPr>
        <w:pStyle w:val="Heading1"/>
        <w:keepNext/>
      </w:pPr>
      <w:r>
        <w:rPr>
          <w:rFonts w:ascii="Arial Narrow" w:hAnsi="Arial Narrow" w:eastAsia="Arial Narrow"/>
          <w:b/>
          <w:color w:val="2B1924"/>
          <w:sz w:val="34"/>
        </w:rPr>
        <w:t>Referências e fontes de decisão</w:t>
      </w:r>
    </w:p>
    <w:p>
      <w:pPr>
        <w:widowControl/>
      </w:pPr>
      <w:r>
        <w:rPr>
          <w:rFonts w:ascii="Arial" w:hAnsi="Arial" w:eastAsia="Arial"/>
        </w:rPr>
        <w:t>As fontes abaixo sustentam as decisões técnicas e de produto. As regras finais de privacidade e enquadramento regulatório devem ser validadas por assessoria jurídica e especialistas clínicos antes do piloto.</w:t>
      </w:r>
    </w:p>
    <w:p>
      <w:pPr>
        <w:pStyle w:val="ListBullet"/>
        <w:keepLines/>
        <w:spacing w:line="240" w:lineRule="auto" w:after="20"/>
      </w:pPr>
      <w:r>
        <w:rPr>
          <w:rFonts w:ascii="Arial" w:hAnsi="Arial" w:eastAsia="Arial"/>
          <w:color w:val="241820"/>
          <w:sz w:val="17"/>
        </w:rPr>
        <w:t xml:space="preserve">[LOR-01] L’Oréal e ModiFace: análise de pele por IA, base de imagens e fluxo selfie → sinais → rotina. </w:t>
      </w:r>
      <w:hyperlink r:id="rId10">
        <w:r>
          <w:rPr>
            <w:rFonts w:ascii="Arial" w:hAnsi="Arial"/>
            <w:color w:val="941564"/>
            <w:u w:val="single"/>
            <w:sz w:val="17"/>
            <w:szCs w:val="17"/>
          </w:rPr>
          <w:t>Acessar fonte</w:t>
        </w:r>
      </w:hyperlink>
    </w:p>
    <w:p>
      <w:pPr>
        <w:pStyle w:val="ListBullet"/>
        <w:keepLines/>
        <w:spacing w:line="240" w:lineRule="auto" w:after="20"/>
      </w:pPr>
      <w:r>
        <w:rPr>
          <w:rFonts w:ascii="Arial" w:hAnsi="Arial" w:eastAsia="Arial"/>
          <w:color w:val="241820"/>
          <w:sz w:val="17"/>
        </w:rPr>
        <w:t xml:space="preserve">[LOR-02] L’Oréal R&amp;I: bastidores dos analisadores de pele, variação de selfies e contexto de estilo de vida. </w:t>
      </w:r>
      <w:hyperlink r:id="rId11">
        <w:r>
          <w:rPr>
            <w:rFonts w:ascii="Arial" w:hAnsi="Arial"/>
            <w:color w:val="941564"/>
            <w:u w:val="single"/>
            <w:sz w:val="17"/>
            <w:szCs w:val="17"/>
          </w:rPr>
          <w:t>Acessar fonte</w:t>
        </w:r>
      </w:hyperlink>
    </w:p>
    <w:p>
      <w:pPr>
        <w:pStyle w:val="ListBullet"/>
        <w:keepLines/>
        <w:spacing w:line="240" w:lineRule="auto" w:after="20"/>
      </w:pPr>
      <w:r>
        <w:rPr>
          <w:rFonts w:ascii="Arial" w:hAnsi="Arial" w:eastAsia="Arial"/>
          <w:color w:val="241820"/>
          <w:sz w:val="17"/>
        </w:rPr>
        <w:t xml:space="preserve">[PER-01] Perfect Corp AI Skin Analysis API v2.1: tarefas assíncronas, ações e consulta de status. </w:t>
      </w:r>
      <w:hyperlink r:id="rId12">
        <w:r>
          <w:rPr>
            <w:rFonts w:ascii="Arial" w:hAnsi="Arial"/>
            <w:color w:val="941564"/>
            <w:u w:val="single"/>
            <w:sz w:val="17"/>
            <w:szCs w:val="17"/>
          </w:rPr>
          <w:t>Acessar fonte</w:t>
        </w:r>
      </w:hyperlink>
    </w:p>
    <w:p>
      <w:pPr>
        <w:pStyle w:val="ListBullet"/>
        <w:keepLines/>
        <w:spacing w:line="240" w:lineRule="auto" w:after="20"/>
      </w:pPr>
      <w:r>
        <w:rPr>
          <w:rFonts w:ascii="Arial" w:hAnsi="Arial" w:eastAsia="Arial"/>
          <w:color w:val="241820"/>
          <w:sz w:val="17"/>
        </w:rPr>
        <w:t xml:space="preserve">[ANPD-01] ANPD: perguntas frequentes sobre LGPD, dados pessoais sensíveis e tratamento. </w:t>
      </w:r>
      <w:hyperlink r:id="rId13">
        <w:r>
          <w:rPr>
            <w:rFonts w:ascii="Arial" w:hAnsi="Arial"/>
            <w:color w:val="941564"/>
            <w:u w:val="single"/>
            <w:sz w:val="17"/>
            <w:szCs w:val="17"/>
          </w:rPr>
          <w:t>Acessar fonte</w:t>
        </w:r>
      </w:hyperlink>
    </w:p>
    <w:p>
      <w:pPr>
        <w:pStyle w:val="ListBullet"/>
        <w:keepLines/>
        <w:spacing w:line="240" w:lineRule="auto" w:after="20"/>
      </w:pPr>
      <w:r>
        <w:rPr>
          <w:rFonts w:ascii="Arial" w:hAnsi="Arial" w:eastAsia="Arial"/>
          <w:color w:val="241820"/>
          <w:sz w:val="17"/>
        </w:rPr>
        <w:t xml:space="preserve">[ANV-01] Anvisa: conceitos e definições de produtos para saúde e software com finalidade médica. </w:t>
      </w:r>
      <w:hyperlink r:id="rId14">
        <w:r>
          <w:rPr>
            <w:rFonts w:ascii="Arial" w:hAnsi="Arial"/>
            <w:color w:val="941564"/>
            <w:u w:val="single"/>
            <w:sz w:val="17"/>
            <w:szCs w:val="17"/>
          </w:rPr>
          <w:t>Acessar fonte</w:t>
        </w:r>
      </w:hyperlink>
    </w:p>
    <w:p>
      <w:pPr>
        <w:pStyle w:val="ListBullet"/>
        <w:keepLines/>
        <w:spacing w:line="240" w:lineRule="auto" w:after="20"/>
      </w:pPr>
      <w:r>
        <w:rPr>
          <w:rFonts w:ascii="Arial" w:hAnsi="Arial" w:eastAsia="Arial"/>
          <w:color w:val="241820"/>
          <w:sz w:val="17"/>
        </w:rPr>
        <w:t xml:space="preserve">[MDN-01] MDN: getUserMedia e exigência de contexto seguro para câmera no navegador. </w:t>
      </w:r>
      <w:hyperlink r:id="rId15">
        <w:r>
          <w:rPr>
            <w:rFonts w:ascii="Arial" w:hAnsi="Arial"/>
            <w:color w:val="941564"/>
            <w:u w:val="single"/>
            <w:sz w:val="17"/>
            <w:szCs w:val="17"/>
          </w:rPr>
          <w:t>Acessar fonte</w:t>
        </w:r>
      </w:hyperlink>
    </w:p>
    <w:p>
      <w:pPr>
        <w:pStyle w:val="ListBullet"/>
        <w:keepLines/>
        <w:spacing w:line="240" w:lineRule="auto" w:after="20"/>
      </w:pPr>
      <w:r>
        <w:rPr>
          <w:rFonts w:ascii="Arial" w:hAnsi="Arial" w:eastAsia="Arial"/>
          <w:color w:val="241820"/>
          <w:sz w:val="17"/>
        </w:rPr>
        <w:t xml:space="preserve">[DRZ-01] Drizzle ORM: esquema TypeScript, consultas tipadas e PostgreSQL. </w:t>
      </w:r>
      <w:hyperlink r:id="rId16">
        <w:r>
          <w:rPr>
            <w:rFonts w:ascii="Arial" w:hAnsi="Arial"/>
            <w:color w:val="941564"/>
            <w:u w:val="single"/>
            <w:sz w:val="17"/>
            <w:szCs w:val="17"/>
          </w:rPr>
          <w:t>Acessar fonte</w:t>
        </w:r>
      </w:hyperlink>
    </w:p>
    <w:p>
      <w:pPr>
        <w:pStyle w:val="ListBullet"/>
        <w:keepLines/>
        <w:spacing w:line="240" w:lineRule="auto" w:after="20"/>
      </w:pPr>
      <w:r>
        <w:rPr>
          <w:rFonts w:ascii="Arial" w:hAnsi="Arial" w:eastAsia="Arial"/>
          <w:color w:val="241820"/>
          <w:sz w:val="17"/>
        </w:rPr>
        <w:t xml:space="preserve">[R2-01] Cloudflare R2: URLs pré-assinadas e acesso temporário a objetos. </w:t>
      </w:r>
      <w:hyperlink r:id="rId17">
        <w:r>
          <w:rPr>
            <w:rFonts w:ascii="Arial" w:hAnsi="Arial"/>
            <w:color w:val="941564"/>
            <w:u w:val="single"/>
            <w:sz w:val="17"/>
            <w:szCs w:val="17"/>
          </w:rPr>
          <w:t>Acessar fonte</w:t>
        </w:r>
      </w:hyperlink>
    </w:p>
    <w:p>
      <w:pPr>
        <w:pStyle w:val="ListBullet"/>
        <w:keepLines/>
        <w:spacing w:line="240" w:lineRule="auto" w:after="20"/>
      </w:pPr>
      <w:r>
        <w:rPr>
          <w:rFonts w:ascii="Arial" w:hAnsi="Arial" w:eastAsia="Arial"/>
          <w:color w:val="241820"/>
          <w:sz w:val="17"/>
        </w:rPr>
        <w:t xml:space="preserve">[OTEL-01] OpenTelemetry JavaScript: traces, métricas e instrumentação. </w:t>
      </w:r>
      <w:hyperlink r:id="rId18">
        <w:r>
          <w:rPr>
            <w:rFonts w:ascii="Arial" w:hAnsi="Arial"/>
            <w:color w:val="941564"/>
            <w:u w:val="single"/>
            <w:sz w:val="17"/>
            <w:szCs w:val="17"/>
          </w:rPr>
          <w:t>Acessar fonte</w:t>
        </w:r>
      </w:hyperlink>
    </w:p>
    <w:sectPr w:rsidR="00FC693F" w:rsidRPr="0006063C" w:rsidSect="00034616">
      <w:pgSz w:w="12240" w:h="15840"/>
      <w:pgMar w:top="1440" w:right="1440" w:bottom="1181" w:left="1440" w:header="648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93" w:lineRule="auto"/>
    </w:pPr>
    <w:rPr>
      <w:rFonts w:ascii="Arial" w:hAnsi="Arial"/>
      <w:color w:val="24182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 w:line="240" w:lineRule="auto"/>
      <w:outlineLvl w:val="0"/>
    </w:pPr>
    <w:rPr>
      <w:rFonts w:asciiTheme="majorHAnsi" w:eastAsiaTheme="majorEastAsia" w:hAnsiTheme="majorHAnsi" w:cstheme="majorBidi" w:ascii="Arial Narrow" w:hAnsi="Arial Narrow"/>
      <w:b/>
      <w:bCs/>
      <w:color w:val="2B192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Arial Narrow" w:hAnsi="Arial Narrow"/>
      <w:b/>
      <w:bCs/>
      <w:color w:val="941564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Arial Narrow" w:hAnsi="Arial Narrow"/>
      <w:b/>
      <w:bCs/>
      <w:color w:val="2B192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540" w:hanging="271"/>
      <w:contextualSpacing/>
    </w:pPr>
    <w:rPr>
      <w:rFonts w:ascii="Arial" w:hAnsi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ind w:left="540" w:hanging="271"/>
      <w:contextualSpacing/>
    </w:pPr>
    <w:rPr>
      <w:rFonts w:ascii="Arial" w:hAnsi="Arial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www.loreal.com/en/news/research-innovation/loreal-and-modiface-an-artificial-intelligencepowered-skin-diagnostic" TargetMode="External"/><Relationship Id="rId11" Type="http://schemas.openxmlformats.org/officeDocument/2006/relationships/hyperlink" Target="https://www.loreal.com/en/articles/science-and-technology/ri-behind-the-scenes-of-the-skin-analyzer-apps/" TargetMode="External"/><Relationship Id="rId12" Type="http://schemas.openxmlformats.org/officeDocument/2006/relationships/hyperlink" Target="https://docs.perfectcorp.com/reference/ai_skin_analysis/v2.1" TargetMode="External"/><Relationship Id="rId13" Type="http://schemas.openxmlformats.org/officeDocument/2006/relationships/hyperlink" Target="https://www.gov.br/anpd/pt-br/acesso-a-informacao/perguntas-frequentes/perguntas-frequentes" TargetMode="External"/><Relationship Id="rId14" Type="http://schemas.openxmlformats.org/officeDocument/2006/relationships/hyperlink" Target="https://www.gov.br/anvisa/pt-br/acessoainformacao/perguntasfrequentes/produtosparasaude/conceitos-e-definicoes" TargetMode="External"/><Relationship Id="rId15" Type="http://schemas.openxmlformats.org/officeDocument/2006/relationships/hyperlink" Target="https://developer.mozilla.org/en-US/docs/Web/API/MediaDevices/getUserMedia" TargetMode="External"/><Relationship Id="rId16" Type="http://schemas.openxmlformats.org/officeDocument/2006/relationships/hyperlink" Target="https://orm.drizzle.team/docs/overview" TargetMode="External"/><Relationship Id="rId17" Type="http://schemas.openxmlformats.org/officeDocument/2006/relationships/hyperlink" Target="https://developers.cloudflare.com/r2/api/s3/presigned-urls/" TargetMode="External"/><Relationship Id="rId18" Type="http://schemas.openxmlformats.org/officeDocument/2006/relationships/hyperlink" Target="https://opentelemetry.io/docs/languages/j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D’ACCORD · DAC-AP-07</dc:title>
  <dc:subject>Planejamento da funcionalidade de análise cosmética visual</dc:subject>
  <dc:creator>D’ACCORD</dc:creator>
  <cp:keywords>D’ACCORD, skincare inteligente, análise de pele, requisitos, arquitetura</cp:keywords>
  <dc:description>Documento de projeto — versão 1.0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