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B1924" w:val="clear"/>
          </w:tcPr>
          <w:p>
            <w:pPr>
              <w:spacing w:after="440"/>
            </w:pPr>
            <w:r>
              <w:drawing>
                <wp:inline xmlns:a="http://schemas.openxmlformats.org/drawingml/2006/main" xmlns:pic="http://schemas.openxmlformats.org/drawingml/2006/picture">
                  <wp:extent cx="2148840" cy="552559"/>
                  <wp:docPr id="1" name="Picture 1" descr="Logotipo D’ACCORD" title="Logotipo D’ACC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cord-logotipo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5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CADERNO DO MVP  ·  DAC-MVP-09</w:t>
            </w:r>
          </w:p>
          <w:p>
            <w:pPr>
              <w:spacing w:after="200" w:line="221" w:lineRule="auto"/>
            </w:pPr>
            <w:r>
              <w:rPr>
                <w:rFonts w:ascii="Arial Narrow" w:hAnsi="Arial Narrow" w:eastAsia="Arial Narrow"/>
                <w:b/>
                <w:color w:val="FFFFFF"/>
                <w:sz w:val="56"/>
              </w:rPr>
              <w:t>MAPA DE TELAS DO MVP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FFF0F5"/>
                <w:sz w:val="23"/>
              </w:rPr>
              <w:t>Inventário de páginas, estados, jornadas, permissões ADM, dependências e ordem de desenvolvimento para concluir o MVP D’Accord.</w:t>
            </w:r>
          </w:p>
        </w:tc>
      </w:tr>
    </w:tbl>
    <w:p>
      <w:pPr>
        <w:spacing w:after="1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E7DDE2"/>
          <w:left w:val="single" w:sz="5" w:space="0" w:color="E7DDE2"/>
          <w:bottom w:val="single" w:sz="5" w:space="0" w:color="E7DDE2"/>
          <w:right w:val="single" w:sz="5" w:space="0" w:color="E7DDE2"/>
          <w:insideH w:val="single" w:sz="5" w:space="0" w:color="E7DDE2"/>
          <w:insideV w:val="single" w:sz="5" w:space="0" w:color="E7DDE2"/>
        </w:tblBorders>
      </w:tblPr>
      <w:tblGrid>
        <w:gridCol w:w="1880"/>
        <w:gridCol w:w="7480"/>
      </w:tblGrid>
      <w:tr>
        <w:trPr/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VERSÃO</w:t>
            </w:r>
          </w:p>
        </w:tc>
        <w:tc>
          <w:tcPr>
            <w:tcW w:type="dxa" w:w="7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1.0</w:t>
            </w:r>
          </w:p>
        </w:tc>
      </w:tr>
      <w:tr>
        <w:trPr/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STATUS</w:t>
            </w:r>
          </w:p>
        </w:tc>
        <w:tc>
          <w:tcPr>
            <w:tcW w:type="dxa" w:w="7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Planejamento para validação</w:t>
            </w:r>
          </w:p>
        </w:tc>
      </w:tr>
      <w:tr>
        <w:trPr/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DATA</w:t>
            </w:r>
          </w:p>
        </w:tc>
        <w:tc>
          <w:tcPr>
            <w:tcW w:type="dxa" w:w="7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30 de agosto de 2026</w:t>
            </w:r>
          </w:p>
        </w:tc>
      </w:tr>
      <w:tr>
        <w:trPr/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RESPONSÁVEL</w:t>
            </w:r>
          </w:p>
        </w:tc>
        <w:tc>
          <w:tcPr>
            <w:tcW w:type="dxa" w:w="7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D’ACCORD · Produto, Design e Engenharia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0" w:space="0" w:color="9D286F"/>
          <w:left w:val="single" w:sz="0" w:space="0" w:color="9D286F"/>
          <w:bottom w:val="single" w:sz="0" w:space="0" w:color="9D286F"/>
          <w:right w:val="single" w:sz="0" w:space="0" w:color="9D286F"/>
          <w:insideH w:val="single" w:sz="0" w:space="0" w:color="9D286F"/>
          <w:insideV w:val="single" w:sz="0" w:space="0" w:color="9D286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9D286F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DECISÃO NORTEADORA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O MVP só está completo quando análise segura, catálogo, compra, conta do cliente e operação administrativa funcionam de ponta a ponta; telas sem estados de erro, permissão e auditoria não contam como concluídas.</w:t>
            </w:r>
          </w:p>
        </w:tc>
      </w:tr>
    </w:tbl>
    <w:p>
      <w:r>
        <w:br w:type="page"/>
      </w:r>
    </w:p>
    <w:p>
      <w:pPr>
        <w:pStyle w:val="Heading2"/>
      </w:pPr>
      <w:r>
        <w:t>Mapa do documento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0"/>
        <w:gridCol w:w="3100"/>
        <w:gridCol w:w="5460"/>
      </w:tblGrid>
      <w:tr>
        <w:trPr>
          <w:tblHeader w:val="true"/>
          <w:cantSplit/>
        </w:trPr>
        <w:tc>
          <w:tcPr>
            <w:tcW w:type="dxa" w:w="800"/>
            <w:shd w:fill="9D286F"/>
            <w:tcBorders>
              <w:top w:val="single" w:sz="6" w:color="9D286F"/>
              <w:left w:val="single" w:sz="6" w:color="9D286F"/>
              <w:bottom w:val="single" w:sz="6" w:color="9D286F"/>
              <w:right w:val="single" w:sz="6" w:color="9D286F"/>
              <w:insideH w:val="single" w:sz="6" w:color="9D286F"/>
              <w:insideV w:val="single" w:sz="6" w:color="9D286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BLOCO</w:t>
            </w:r>
          </w:p>
        </w:tc>
        <w:tc>
          <w:tcPr>
            <w:tcW w:type="dxa" w:w="3100"/>
            <w:shd w:fill="9D286F"/>
            <w:tcBorders>
              <w:top w:val="single" w:sz="6" w:color="9D286F"/>
              <w:left w:val="single" w:sz="6" w:color="9D286F"/>
              <w:bottom w:val="single" w:sz="6" w:color="9D286F"/>
              <w:right w:val="single" w:sz="6" w:color="9D286F"/>
              <w:insideH w:val="single" w:sz="6" w:color="9D286F"/>
              <w:insideV w:val="single" w:sz="6" w:color="9D286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5460"/>
            <w:shd w:fill="9D286F"/>
            <w:tcBorders>
              <w:top w:val="single" w:sz="6" w:color="9D286F"/>
              <w:left w:val="single" w:sz="6" w:color="9D286F"/>
              <w:bottom w:val="single" w:sz="6" w:color="9D286F"/>
              <w:right w:val="single" w:sz="6" w:color="9D286F"/>
              <w:insideH w:val="single" w:sz="6" w:color="9D286F"/>
              <w:insideV w:val="single" w:sz="6" w:color="9D286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FINALIDADE</w:t>
            </w:r>
          </w:p>
        </w:tc>
      </w:tr>
      <w:tr>
        <w:trPr>
          <w:cantSplit/>
        </w:trPr>
        <w:tc>
          <w:tcPr>
            <w:tcW w:type="dxa" w:w="8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01</w:t>
            </w:r>
          </w:p>
        </w:tc>
        <w:tc>
          <w:tcPr>
            <w:tcW w:type="dxa" w:w="31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Escopo e corte do MVP</w:t>
            </w:r>
          </w:p>
        </w:tc>
        <w:tc>
          <w:tcPr>
            <w:tcW w:type="dxa" w:w="54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Contagem, critérios e fronteiras</w:t>
            </w:r>
          </w:p>
        </w:tc>
      </w:tr>
      <w:tr>
        <w:trPr>
          <w:cantSplit/>
        </w:trPr>
        <w:tc>
          <w:tcPr>
            <w:tcW w:type="dxa" w:w="8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02</w:t>
            </w:r>
          </w:p>
        </w:tc>
        <w:tc>
          <w:tcPr>
            <w:tcW w:type="dxa" w:w="31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Jornadas e navegação</w:t>
            </w:r>
          </w:p>
        </w:tc>
        <w:tc>
          <w:tcPr>
            <w:tcW w:type="dxa" w:w="54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Fluxos de cliente e ADM</w:t>
            </w:r>
          </w:p>
        </w:tc>
      </w:tr>
      <w:tr>
        <w:trPr>
          <w:cantSplit/>
        </w:trPr>
        <w:tc>
          <w:tcPr>
            <w:tcW w:type="dxa" w:w="8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03–08</w:t>
            </w:r>
          </w:p>
        </w:tc>
        <w:tc>
          <w:tcPr>
            <w:tcW w:type="dxa" w:w="31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Inventário de telas</w:t>
            </w:r>
          </w:p>
        </w:tc>
        <w:tc>
          <w:tcPr>
            <w:tcW w:type="dxa" w:w="54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Público, auth, core, commerce, conta e ADM</w:t>
            </w:r>
          </w:p>
        </w:tc>
      </w:tr>
      <w:tr>
        <w:trPr>
          <w:cantSplit/>
        </w:trPr>
        <w:tc>
          <w:tcPr>
            <w:tcW w:type="dxa" w:w="8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09</w:t>
            </w:r>
          </w:p>
        </w:tc>
        <w:tc>
          <w:tcPr>
            <w:tcW w:type="dxa" w:w="31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Estados e permissões</w:t>
            </w:r>
          </w:p>
        </w:tc>
        <w:tc>
          <w:tcPr>
            <w:tcW w:type="dxa" w:w="54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Comportamentos obrigatórios e RBAC</w:t>
            </w:r>
          </w:p>
        </w:tc>
      </w:tr>
      <w:tr>
        <w:trPr>
          <w:cantSplit/>
        </w:trPr>
        <w:tc>
          <w:tcPr>
            <w:tcW w:type="dxa" w:w="8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10</w:t>
            </w:r>
          </w:p>
        </w:tc>
        <w:tc>
          <w:tcPr>
            <w:tcW w:type="dxa" w:w="31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Plano de entrega</w:t>
            </w:r>
          </w:p>
        </w:tc>
        <w:tc>
          <w:tcPr>
            <w:tcW w:type="dxa" w:w="54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Ondas, dependências e gates</w:t>
            </w:r>
          </w:p>
        </w:tc>
      </w:tr>
      <w:tr>
        <w:trPr>
          <w:cantSplit/>
        </w:trPr>
        <w:tc>
          <w:tcPr>
            <w:tcW w:type="dxa" w:w="8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11</w:t>
            </w:r>
          </w:p>
        </w:tc>
        <w:tc>
          <w:tcPr>
            <w:tcW w:type="dxa" w:w="31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Critérios e decisões</w:t>
            </w:r>
          </w:p>
        </w:tc>
        <w:tc>
          <w:tcPr>
            <w:tcW w:type="dxa" w:w="54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Definition of Done, UAT e pendências</w:t>
            </w:r>
          </w:p>
        </w:tc>
      </w:tr>
    </w:tbl>
    <w:p>
      <w:pPr>
        <w:spacing w:after="20"/>
      </w:pPr>
    </w:p>
    <w:p>
      <w:pPr>
        <w:pStyle w:val="Heading1"/>
      </w:pPr>
      <w:r>
        <w:t>1. Escopo e corte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9D286F"/>
            <w:tcBorders>
              <w:top w:val="single" w:sz="6" w:color="9D286F"/>
              <w:left w:val="single" w:sz="6" w:color="9D286F"/>
              <w:bottom w:val="single" w:sz="6" w:color="9D286F"/>
              <w:right w:val="single" w:sz="6" w:color="9D286F"/>
              <w:insideH w:val="single" w:sz="6" w:color="9D286F"/>
              <w:insideV w:val="single" w:sz="6" w:color="9D286F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9B7A7"/>
                <w:sz w:val="16"/>
              </w:rPr>
              <w:t>CORTE RECOMENDADO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Entregar primeiro as 51 unidades P0 para um piloto transacional seguro; concluir as 14 unidades P1 antes de declarar o MVP completo para operação comercial contínua.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800"/>
        <w:gridCol w:w="5260"/>
      </w:tblGrid>
      <w:tr>
        <w:trPr>
          <w:tblHeader w:val="true"/>
          <w:cantSplit/>
        </w:trPr>
        <w:tc>
          <w:tcPr>
            <w:tcW w:type="dxa" w:w="230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MÉTRICA</w:t>
            </w:r>
          </w:p>
        </w:tc>
        <w:tc>
          <w:tcPr>
            <w:tcW w:type="dxa" w:w="180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QUANTIDADE</w:t>
            </w:r>
          </w:p>
        </w:tc>
        <w:tc>
          <w:tcPr>
            <w:tcW w:type="dxa" w:w="526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LEITURA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Unidades funcionais</w:t>
            </w:r>
          </w:p>
        </w:tc>
        <w:tc>
          <w:tcPr>
            <w:tcW w:type="dxa" w:w="18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65</w:t>
            </w:r>
          </w:p>
        </w:tc>
        <w:tc>
          <w:tcPr>
            <w:tcW w:type="dxa" w:w="52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Rotas e estados que exigem design, implementação e aceite</w:t>
            </w:r>
          </w:p>
        </w:tc>
      </w:tr>
      <w:tr>
        <w:trPr>
          <w:cantSplit/>
        </w:trPr>
        <w:tc>
          <w:tcPr>
            <w:tcW w:type="dxa" w:w="23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Rotas</w:t>
            </w:r>
          </w:p>
        </w:tc>
        <w:tc>
          <w:tcPr>
            <w:tcW w:type="dxa" w:w="18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57</w:t>
            </w:r>
          </w:p>
        </w:tc>
        <w:tc>
          <w:tcPr>
            <w:tcW w:type="dxa" w:w="52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Páginas navegáveis ou endereçáveis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Estados críticos</w:t>
            </w:r>
          </w:p>
        </w:tc>
        <w:tc>
          <w:tcPr>
            <w:tcW w:type="dxa" w:w="18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8</w:t>
            </w:r>
          </w:p>
        </w:tc>
        <w:tc>
          <w:tcPr>
            <w:tcW w:type="dxa" w:w="52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Modais, falhas ou variações que não justificam rota própria</w:t>
            </w:r>
          </w:p>
        </w:tc>
      </w:tr>
      <w:tr>
        <w:trPr>
          <w:cantSplit/>
        </w:trPr>
        <w:tc>
          <w:tcPr>
            <w:tcW w:type="dxa" w:w="23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Prioridade P0</w:t>
            </w:r>
          </w:p>
        </w:tc>
        <w:tc>
          <w:tcPr>
            <w:tcW w:type="dxa" w:w="18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51</w:t>
            </w:r>
          </w:p>
        </w:tc>
        <w:tc>
          <w:tcPr>
            <w:tcW w:type="dxa" w:w="52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Necessárias para piloto seguro e venda ponta a ponta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Prioridade P1</w:t>
            </w:r>
          </w:p>
        </w:tc>
        <w:tc>
          <w:tcPr>
            <w:tcW w:type="dxa" w:w="18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14</w:t>
            </w:r>
          </w:p>
        </w:tc>
        <w:tc>
          <w:tcPr>
            <w:tcW w:type="dxa" w:w="52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Necessárias para MVP comercial completo</w:t>
            </w:r>
          </w:p>
        </w:tc>
      </w:tr>
      <w:tr>
        <w:trPr>
          <w:cantSplit/>
        </w:trPr>
        <w:tc>
          <w:tcPr>
            <w:tcW w:type="dxa" w:w="23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Hoje</w:t>
            </w:r>
          </w:p>
        </w:tc>
        <w:tc>
          <w:tcPr>
            <w:tcW w:type="dxa" w:w="18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1 implementada + 8 placeholders</w:t>
            </w:r>
          </w:p>
        </w:tc>
        <w:tc>
          <w:tcPr>
            <w:tcW w:type="dxa" w:w="52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Demais unidades ainda precisam ser construídas</w:t>
            </w:r>
          </w:p>
        </w:tc>
      </w:tr>
    </w:tbl>
    <w:p>
      <w:pPr>
        <w:spacing w:after="20"/>
      </w:pPr>
    </w:p>
    <w:p>
      <w:r>
        <w:t>O inventário considera uma única tela responsiva para desktop, tablet e celular. Variações visuais por breakpoint não são contadas novamente. Uma etapa recebe código próprio quando possui objetivo, permissão, dados, aceitação ou risco diferente.</w:t>
      </w:r>
    </w:p>
    <w:p>
      <w:pPr>
        <w:pStyle w:val="ListBullet"/>
        <w:keepLines/>
      </w:pPr>
      <w:r>
        <w:t>P0 — indispensável para análise segura, compra, pós-compra e operação mínima.</w:t>
      </w:r>
    </w:p>
    <w:p>
      <w:pPr>
        <w:pStyle w:val="ListBullet"/>
        <w:keepLines/>
      </w:pPr>
      <w:r>
        <w:t>P1 — parte do MVP completo, mas pode entrar depois do piloto controlado.</w:t>
      </w:r>
    </w:p>
    <w:p>
      <w:pPr>
        <w:pStyle w:val="ListBullet"/>
        <w:keepLines/>
      </w:pPr>
      <w:r>
        <w:t>Placeholder — rota existente sem funcionalidade final; não deve ser contabilizada como tela pronta.</w:t>
      </w:r>
    </w:p>
    <w:p>
      <w:pPr>
        <w:pStyle w:val="Heading1"/>
      </w:pPr>
      <w:r>
        <w:t>2. Jornadas e arquitetura de navegação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9B7A7"/>
                <w:sz w:val="16"/>
              </w:rPr>
              <w:t>JORNADA PRINCIPAL DO CLIENTE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Landing &gt; análise &gt; consentimento &gt; questionário &gt; foto &gt; validação &gt; processamento &gt; resultado &gt; rotina &gt; produto &gt; sacola &gt; checkout &gt; confirmação &gt; conta.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4300"/>
        <w:gridCol w:w="3660"/>
      </w:tblGrid>
      <w:tr>
        <w:trPr>
          <w:tblHeader w:val="true"/>
          <w:cantSplit/>
        </w:trPr>
        <w:tc>
          <w:tcPr>
            <w:tcW w:type="dxa" w:w="140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JORNADA</w:t>
            </w:r>
          </w:p>
        </w:tc>
        <w:tc>
          <w:tcPr>
            <w:tcW w:type="dxa" w:w="430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CAMINHO</w:t>
            </w:r>
          </w:p>
        </w:tc>
        <w:tc>
          <w:tcPr>
            <w:tcW w:type="dxa" w:w="366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REGRA</w:t>
            </w:r>
          </w:p>
        </w:tc>
      </w:tr>
      <w:tr>
        <w:trPr>
          <w:cantSplit/>
        </w:trPr>
        <w:tc>
          <w:tcPr>
            <w:tcW w:type="dxa" w:w="14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Descoberta</w:t>
            </w:r>
          </w:p>
        </w:tc>
        <w:tc>
          <w:tcPr>
            <w:tcW w:type="dxa" w:w="43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Landing &gt; catálogo/busca &gt; produto</w:t>
            </w:r>
          </w:p>
        </w:tc>
        <w:tc>
          <w:tcPr>
            <w:tcW w:type="dxa" w:w="36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Compra sem análise continua possível</w:t>
            </w:r>
          </w:p>
        </w:tc>
      </w:tr>
      <w:tr>
        <w:trPr>
          <w:cantSplit/>
        </w:trPr>
        <w:tc>
          <w:tcPr>
            <w:tcW w:type="dxa" w:w="14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Análise</w:t>
            </w:r>
          </w:p>
        </w:tc>
        <w:tc>
          <w:tcPr>
            <w:tcW w:type="dxa" w:w="43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Introdução &gt; consentimento &gt; questionário &gt; foto &gt; resultado</w:t>
            </w:r>
          </w:p>
        </w:tc>
        <w:tc>
          <w:tcPr>
            <w:tcW w:type="dxa" w:w="36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Falha de IA nunca bloqueia catálogo</w:t>
            </w:r>
          </w:p>
        </w:tc>
      </w:tr>
      <w:tr>
        <w:trPr>
          <w:cantSplit/>
        </w:trPr>
        <w:tc>
          <w:tcPr>
            <w:tcW w:type="dxa" w:w="14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Conversão</w:t>
            </w:r>
          </w:p>
        </w:tc>
        <w:tc>
          <w:tcPr>
            <w:tcW w:type="dxa" w:w="43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Rotina &gt; produto &gt; sacola &gt; entrega &gt; pagamento</w:t>
            </w:r>
          </w:p>
        </w:tc>
        <w:tc>
          <w:tcPr>
            <w:tcW w:type="dxa" w:w="36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Estoque e preço revalidados</w:t>
            </w:r>
          </w:p>
        </w:tc>
      </w:tr>
      <w:tr>
        <w:trPr>
          <w:cantSplit/>
        </w:trPr>
        <w:tc>
          <w:tcPr>
            <w:tcW w:type="dxa" w:w="14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Retenção</w:t>
            </w:r>
          </w:p>
        </w:tc>
        <w:tc>
          <w:tcPr>
            <w:tcW w:type="dxa" w:w="43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Conta &gt; histórico &gt; curadoria &gt; recompra</w:t>
            </w:r>
          </w:p>
        </w:tc>
        <w:tc>
          <w:tcPr>
            <w:tcW w:type="dxa" w:w="36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Mudanças de perfil geram nova versão</w:t>
            </w:r>
          </w:p>
        </w:tc>
      </w:tr>
      <w:tr>
        <w:trPr>
          <w:cantSplit/>
        </w:trPr>
        <w:tc>
          <w:tcPr>
            <w:tcW w:type="dxa" w:w="14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Operação ADM</w:t>
            </w:r>
          </w:p>
        </w:tc>
        <w:tc>
          <w:tcPr>
            <w:tcW w:type="dxa" w:w="43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Dashboard &gt; catálogo/regras &gt; pedidos/análises &gt; auditoria</w:t>
            </w:r>
          </w:p>
        </w:tc>
        <w:tc>
          <w:tcPr>
            <w:tcW w:type="dxa" w:w="36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RBAC e logs em toda ação sensível</w:t>
            </w:r>
          </w:p>
        </w:tc>
      </w:tr>
    </w:tbl>
    <w:p>
      <w:pPr>
        <w:spacing w:after="20"/>
      </w:pPr>
    </w:p>
    <w:p>
      <w:pPr>
        <w:pStyle w:val="Heading2"/>
      </w:pPr>
      <w:r>
        <w:t>Regras de navegação</w:t>
      </w:r>
    </w:p>
    <w:p>
      <w:pPr>
        <w:pStyle w:val="ListBullet"/>
        <w:keepLines/>
      </w:pPr>
      <w:r>
        <w:t>Visitante pode explorar catálogo e iniciar a análise; login é exigido antes de salvar histórico e finalizar áreas personalizadas.</w:t>
      </w:r>
    </w:p>
    <w:p>
      <w:pPr>
        <w:pStyle w:val="ListBullet"/>
        <w:keepLines/>
      </w:pPr>
      <w:r>
        <w:t>O resultado sempre permite chegar ao detalhe do produto e à alternativa compatível sem reiniciar o fluxo.</w:t>
      </w:r>
    </w:p>
    <w:p>
      <w:pPr>
        <w:pStyle w:val="ListBullet"/>
        <w:keepLines/>
      </w:pPr>
      <w:r>
        <w:t>Cliente autenticado retorna ao ponto interrompido quando consentimento, sessão e validade permitirem.</w:t>
      </w:r>
    </w:p>
    <w:p>
      <w:pPr>
        <w:pStyle w:val="ListBullet"/>
        <w:keepLines/>
      </w:pPr>
      <w:r>
        <w:t>ADM utiliza shell próprio, desktop-first, protegido por papel e sem compartilhar navegação com a loja.</w:t>
      </w:r>
    </w:p>
    <w:p>
      <w:pPr>
        <w:pStyle w:val="ListBullet"/>
        <w:keepLines/>
      </w:pPr>
      <w:r>
        <w:t>Nenhuma selfie vira galeria administrativa; acesso excepcional precisa de finalidade, permissão e auditoria.</w:t>
      </w:r>
    </w:p>
    <w:p>
      <w:pPr>
        <w:pStyle w:val="Heading1"/>
        <w:keepNext/>
        <w:pageBreakBefore/>
      </w:pPr>
      <w:r>
        <w:t>3. Experiência pública e institucional</w:t>
      </w:r>
    </w:p>
    <w:p>
      <w:pPr>
        <w:keepNext/>
      </w:pPr>
      <w:r>
        <w:t>Descoberta da marca, navegação do catálogo e confiança institucional antes de qualquer cadastro.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1"/>
        <w:gridCol w:w="851"/>
        <w:gridCol w:w="2006"/>
        <w:gridCol w:w="3951"/>
        <w:gridCol w:w="669"/>
        <w:gridCol w:w="1032"/>
      </w:tblGrid>
      <w:tr>
        <w:trPr>
          <w:tblHeader w:val="true"/>
          <w:cantSplit/>
        </w:trPr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2006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ROTA / ESTADO</w:t>
            </w:r>
          </w:p>
        </w:tc>
        <w:tc>
          <w:tcPr>
            <w:tcW w:type="dxa" w:w="39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TELA E RESULTADO ESPERADO</w:t>
            </w:r>
          </w:p>
        </w:tc>
        <w:tc>
          <w:tcPr>
            <w:tcW w:type="dxa" w:w="669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1032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SITUAÇÃO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PUB-01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Landing: proposta de valor, método, prova visual e CTAs para análise e catálogo.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E6D8DE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Implementada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PUB-02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/produtos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Catálogo: grade, busca, ordenação, filtros e paginação com disponibilidade real.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FF0F5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Placeholder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PUB-03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Estado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/produtos?…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Resultados de busca e filtros: chips ativos, zero resultados e limpeza de critérios.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PUB-04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/produtos/[slug]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Produto: imagens, benefícios cosméticos, INCI, compatibilidade, preço, estoque e compra.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PUB-05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/sobre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Sobre: propósito, curadoria, limites da IA e credenciais do projeto.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FF0F5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Placeholder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PUB-06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/contato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Ajuda e contato: FAQ, canais, dúvidas sobre análise, pedidos e privacidade.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FF0F5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Placeholder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PUB-07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/privacidade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Privacidade: bases, finalidades, retenção, compartilhamento e direitos do titular.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FF0F5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Placeholder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PUB-08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/termos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Termos de uso e compra: responsabilidades, devoluções e limites da orientação cosmética.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PUB-09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Estado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Global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Consentimento de cookies: escolhas granulares e revisão posterior das preferências.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PUB-10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/acessibilidade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Acessibilidade: recursos disponíveis, atalhos e canal para reportar barreiras.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4. Autenticação e recuperação</w:t>
      </w:r>
    </w:p>
    <w:p>
      <w:pPr>
        <w:keepNext/>
      </w:pPr>
      <w:r>
        <w:t>Entrada segura para salvar análises, comprar, consultar pedidos e acessar áreas administrativas.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1"/>
        <w:gridCol w:w="851"/>
        <w:gridCol w:w="2006"/>
        <w:gridCol w:w="3951"/>
        <w:gridCol w:w="669"/>
        <w:gridCol w:w="1032"/>
      </w:tblGrid>
      <w:tr>
        <w:trPr>
          <w:tblHeader w:val="true"/>
          <w:cantSplit/>
        </w:trPr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2006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ROTA / ESTADO</w:t>
            </w:r>
          </w:p>
        </w:tc>
        <w:tc>
          <w:tcPr>
            <w:tcW w:type="dxa" w:w="39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TELA E RESULTADO ESPERADO</w:t>
            </w:r>
          </w:p>
        </w:tc>
        <w:tc>
          <w:tcPr>
            <w:tcW w:type="dxa" w:w="669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1032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SITUAÇÃO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AUTH-01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/entrar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Login: e-mail/senha, social opcional, erro seguro e redirecionamento por perfil.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FF0F5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Placeholder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AUTH-02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/cadastro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Cadastro: dados mínimos, aceite de termos e confirmação de maioridade elegível.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AUTH-03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/verificar-email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Verificação: confirmação, reenvio, expiração e troca de endereço incorreto.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AUTH-04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/recuperar-senha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Recuperação e redefinição: solicitação, token, nova senha e sucesso.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5. Análise de pele e recomendação</w:t>
      </w:r>
    </w:p>
    <w:p>
      <w:pPr>
        <w:keepNext/>
      </w:pPr>
      <w:r>
        <w:t>Fluxo core do produto: consentimento, contexto, foto, qualidade, processamento, explicação e rotina.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1"/>
        <w:gridCol w:w="851"/>
        <w:gridCol w:w="2006"/>
        <w:gridCol w:w="3951"/>
        <w:gridCol w:w="669"/>
        <w:gridCol w:w="1032"/>
      </w:tblGrid>
      <w:tr>
        <w:trPr>
          <w:tblHeader w:val="true"/>
          <w:cantSplit/>
        </w:trPr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2006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ROTA / ESTADO</w:t>
            </w:r>
          </w:p>
        </w:tc>
        <w:tc>
          <w:tcPr>
            <w:tcW w:type="dxa" w:w="39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TELA E RESULTADO ESPERADO</w:t>
            </w:r>
          </w:p>
        </w:tc>
        <w:tc>
          <w:tcPr>
            <w:tcW w:type="dxa" w:w="669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1032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SITUAÇÃO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CORE-01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/analise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Introdução: o que será analisado, limites, duração, requisitos e CTA de início.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FF0F5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Placeholder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CORE-02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/analise/consentimento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Consentimento específico da foto: finalidade, retenção, provider e revogação.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CORE-03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/questionario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Questionário em etapas: perfil, pele, alergias, condições, rotina e preferências.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FF0F5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Placeholder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CORE-04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Estado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Questionário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Alerta de elegibilidade: sinal de risco, interrupção segura e orientação profissional.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CORE-05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/analise/foto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Guia de captura: luz, posição, remoção de maquiagem, privacidade e exemplos.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CORE-06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Estado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Captura/upload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Câmera ou upload: permissão, enquadramento, progresso e fallback de dispositivo.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CORE-07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Estado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Validação da foto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Quality gate: desfoque, luz, rosto incompleto, retake e confirmação final.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CORE-08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/analise/processando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Processamento: progresso honesto, timeout, retomada e falha do provider.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CORE-09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/analise/[id]/resultado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Resumo: sinais cosméticos, confiança, alertas, explicação e próximo passo.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CORE-10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/analise/[id]/detalhes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Detalhes: cada sinal, significado cosmético, limites e ações recomendadas.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CORE-11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/recomendacoes/[id]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Rotina recomendada: manhã/noite, ordem, justificativas, alternativas e total.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FF0F5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Placeholder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CORE-12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Estado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Rotina recomendada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Racional do produto: compatibilidades, exclusões aplicadas e substituição segura.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6. E-commerce e checkout</w:t>
      </w:r>
    </w:p>
    <w:p>
      <w:pPr>
        <w:keepNext/>
      </w:pPr>
      <w:r>
        <w:t>Da descoberta à confirmação do pedido, com preço e estoque revalidados antes do pagamento.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1"/>
        <w:gridCol w:w="851"/>
        <w:gridCol w:w="2006"/>
        <w:gridCol w:w="3951"/>
        <w:gridCol w:w="669"/>
        <w:gridCol w:w="1032"/>
      </w:tblGrid>
      <w:tr>
        <w:trPr>
          <w:tblHeader w:val="true"/>
          <w:cantSplit/>
        </w:trPr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2006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ROTA / ESTADO</w:t>
            </w:r>
          </w:p>
        </w:tc>
        <w:tc>
          <w:tcPr>
            <w:tcW w:type="dxa" w:w="39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TELA E RESULTADO ESPERADO</w:t>
            </w:r>
          </w:p>
        </w:tc>
        <w:tc>
          <w:tcPr>
            <w:tcW w:type="dxa" w:w="669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1032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SITUAÇÃO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COM-01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/favoritos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Favoritos: produtos salvos, disponibilidade, remoção e envio à sacola.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COM-02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Estado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Sacola lateral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Mini-sacola: itens, quantidade, subtotal, incompatibilidade e CTA de checkout.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COM-03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/sacola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Sacola: edição, cupom, frete estimado, indisponibilidade e resumo financeiro.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COM-04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/checkout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Identificação: conta, compra como convidado se aprovada e dados de contato.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COM-05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/checkout/entrega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Endereço e entrega: CEP, validação, opções, prazo e custo.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COM-06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/checkout/pagamento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Pagamento: método, tokenização no PSP, parcelas e erros recuperáveis.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COM-07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/checkout/revisao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Revisão: itens, entrega, pagamento mascarado, consentimentos e confirmação.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COM-08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/pedido/confirmado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Confirmação: número, resumo, acompanhamento e eventos de conversão.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COM-09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Estado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Pagamento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Pendente ou falho: status, nova tentativa, troca de método e prevenção de duplicidade.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7. Conta do cliente</w:t>
      </w:r>
    </w:p>
    <w:p>
      <w:pPr>
        <w:keepNext/>
      </w:pPr>
      <w:r>
        <w:t>Histórico, preferências, pedidos e controles de privacidade de um usuário autenticado.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1"/>
        <w:gridCol w:w="851"/>
        <w:gridCol w:w="2006"/>
        <w:gridCol w:w="3951"/>
        <w:gridCol w:w="669"/>
        <w:gridCol w:w="1032"/>
      </w:tblGrid>
      <w:tr>
        <w:trPr>
          <w:tblHeader w:val="true"/>
          <w:cantSplit/>
        </w:trPr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2006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ROTA / ESTADO</w:t>
            </w:r>
          </w:p>
        </w:tc>
        <w:tc>
          <w:tcPr>
            <w:tcW w:type="dxa" w:w="39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TELA E RESULTADO ESPERADO</w:t>
            </w:r>
          </w:p>
        </w:tc>
        <w:tc>
          <w:tcPr>
            <w:tcW w:type="dxa" w:w="669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1032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SITUAÇÃO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ACC-01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Dashboard: última análise, rotina ativa, pedido recente e atalhos principais.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ACC-02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/conta/perfil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Perfil: nome, contato, senha, preferências de comunicação e saída segura.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ACC-03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/conta/perfil-de-pele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Perfil de pele: respostas atuais, alergias, restrições e atualização versionada.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ACC-04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/conta/analises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Histórico de análises: data, status, comparação limitada e nova análise.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ACC-05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/conta/analises/[id]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Análise salva: resultado normalizado, regras usadas e rotina derivada.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ACC-06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/conta/curadoria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Curadorias salvas: rotina vigente, versões anteriores e substituições.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ACC-07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/conta/pedidos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Pedidos: status, valor, data, rastreio e acesso ao detalhe.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ACC-08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/conta/pedidos/[id]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Pedido: linha do tempo, itens, pagamento, entrega, nota e suporte.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ACC-09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/conta/enderecos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Endereços: cadastrar, editar, excluir e selecionar padrão.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ACC-10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/conta/dados-e-privacidade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Dados e privacidade: consentimentos, exportação, revogação e exclusão.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8. Administração (ADM)</w:t>
      </w:r>
    </w:p>
    <w:p>
      <w:pPr>
        <w:keepNext/>
      </w:pPr>
      <w:r>
        <w:t>Backoffice desktop-first para catálogo, segurança, pedidos, clientes, IA, conteúdo e governança.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1"/>
        <w:gridCol w:w="851"/>
        <w:gridCol w:w="2006"/>
        <w:gridCol w:w="3951"/>
        <w:gridCol w:w="669"/>
        <w:gridCol w:w="1032"/>
      </w:tblGrid>
      <w:tr>
        <w:trPr>
          <w:tblHeader w:val="true"/>
          <w:cantSplit/>
        </w:trPr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8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2006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ROTA / ESTADO</w:t>
            </w:r>
          </w:p>
        </w:tc>
        <w:tc>
          <w:tcPr>
            <w:tcW w:type="dxa" w:w="3951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TELA E RESULTADO ESPERADO</w:t>
            </w:r>
          </w:p>
        </w:tc>
        <w:tc>
          <w:tcPr>
            <w:tcW w:type="dxa" w:w="669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PRI.</w:t>
            </w:r>
          </w:p>
        </w:tc>
        <w:tc>
          <w:tcPr>
            <w:tcW w:type="dxa" w:w="1032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SITUAÇÃO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ADM-01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Dashboard: vendas, pedidos, análises, falhas, estoque e alertas operacionais.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ADM-02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/admin/produtos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Produtos: busca, filtros, publicação, completude e ações em lote controladas.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ADM-03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/admin/produtos/[id]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Produto novo/edição: mídia, INCI, claims, preço, estoque e versionamento.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ADM-04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/admin/catalogo/categorias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Categorias e coleções: hierarquia, ordenação, SEO e visibilidade.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ADM-05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/admin/catalogo/ingredientes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Ingredientes e aliases: INCI canônico, funções e sinalizações de segurança.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ADM-06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/admin/catalogo/regras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Regras de segurança: alergias, restrições, severidade, conflitos e testes.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ADM-07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/admin/estoque-e-precos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Estoque e preços: saldo, reserva, alertas, histórico e importação.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ADM-08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/admin/pedidos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Pedidos: filas por status, busca, SLA, exportação e detecção de exceções.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ADM-09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/admin/pedidos/[id]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Pedido: itens, pagamento, entrega, eventos, reembolso e notas internas.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ADM-10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/admin/clientes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Clientes: busca, segmentação mínima e dados mascarados conforme permissão.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ADM-11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/admin/clientes/[id]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Cliente: pedidos, consentimentos e suporte; saúde/restrições com acesso limitado.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ADM-12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/admin/analises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Análises: status, falhas, provider, confiança e filtros sem galeria de selfies.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ADM-13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/admin/analises/[id]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Análise auditável: entrada versionada, resultado normalizado, regras e deleção.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ADM-14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/admin/recomendacoes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Motor de recomendação: pesos, regras, simulação, publicação e rollback.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ADM-15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/admin/conteudo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Conteúdo: banners, landing, FAQ, legais e revisão antes de publicar.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ADM-16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/admin/promocoes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Promoções e cupons: elegibilidade, período, limite e impacto financeiro.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ADM-17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/admin/suporte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Suporte: tickets de pedido/análise, SLA, histórico e escalonamento.</w:t>
            </w:r>
          </w:p>
        </w:tc>
        <w:tc>
          <w:tcPr>
            <w:tcW w:type="dxa" w:w="669"/>
            <w:shd w:fill="F1E6E0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P1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ADM-18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/admin/usuarios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Usuários internos e papéis: convite, RBAC, revogação e sessão.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ADM-19</w:t>
            </w:r>
          </w:p>
        </w:tc>
        <w:tc>
          <w:tcPr>
            <w:tcW w:type="dxa" w:w="8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/admin/auditoria</w:t>
            </w:r>
          </w:p>
        </w:tc>
        <w:tc>
          <w:tcPr>
            <w:tcW w:type="dxa" w:w="3951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Auditoria: quem alterou catálogo, regra, pedido, consentimento ou configuração.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  <w:tr>
        <w:trPr>
          <w:cantSplit/>
        </w:trPr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4"/>
              </w:rPr>
              <w:t>ADM-20</w:t>
            </w:r>
          </w:p>
        </w:tc>
        <w:tc>
          <w:tcPr>
            <w:tcW w:type="dxa" w:w="8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Rota</w:t>
            </w:r>
          </w:p>
        </w:tc>
        <w:tc>
          <w:tcPr>
            <w:tcW w:type="dxa" w:w="2006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/admin/configuracoes</w:t>
            </w:r>
          </w:p>
        </w:tc>
        <w:tc>
          <w:tcPr>
            <w:tcW w:type="dxa" w:w="3951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4"/>
              </w:rPr>
              <w:t>Configurações: providers, pagamentos, frete, notificações e feature flags.</w:t>
            </w:r>
          </w:p>
        </w:tc>
        <w:tc>
          <w:tcPr>
            <w:tcW w:type="dxa" w:w="669"/>
            <w:shd w:fill="F4DDE9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41564"/>
                <w:sz w:val="14"/>
              </w:rPr>
              <w:t>P0</w:t>
            </w:r>
          </w:p>
        </w:tc>
        <w:tc>
          <w:tcPr>
            <w:tcW w:type="dxa" w:w="1032"/>
            <w:shd w:fill="F5EFF2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4"/>
              </w:rPr>
              <w:t>Ausente</w:t>
            </w:r>
          </w:p>
        </w:tc>
      </w:tr>
    </w:tbl>
    <w:p>
      <w:pPr>
        <w:spacing w:after="20"/>
      </w:pPr>
    </w:p>
    <w:p>
      <w:pPr>
        <w:pStyle w:val="Heading1"/>
      </w:pPr>
      <w:r>
        <w:t>9. Estados transversais e permissões</w:t>
      </w:r>
    </w:p>
    <w:p>
      <w:pPr>
        <w:pStyle w:val="Heading2"/>
      </w:pPr>
      <w:r>
        <w:t>Estados obrigatórios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600"/>
        <w:gridCol w:w="3160"/>
      </w:tblGrid>
      <w:tr>
        <w:trPr>
          <w:tblHeader w:val="true"/>
          <w:cantSplit/>
        </w:trPr>
        <w:tc>
          <w:tcPr>
            <w:tcW w:type="dxa" w:w="160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460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COMPORTAMENTO</w:t>
            </w:r>
          </w:p>
        </w:tc>
        <w:tc>
          <w:tcPr>
            <w:tcW w:type="dxa" w:w="316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APLICAÇÃO</w:t>
            </w:r>
          </w:p>
        </w:tc>
      </w:tr>
      <w:tr>
        <w:trPr>
          <w:cantSplit/>
        </w:trPr>
        <w:tc>
          <w:tcPr>
            <w:tcW w:type="dxa" w:w="16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Carregando</w:t>
            </w:r>
          </w:p>
        </w:tc>
        <w:tc>
          <w:tcPr>
            <w:tcW w:type="dxa" w:w="46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Skeleton ou progresso proporcional; impedir ação duplicada</w:t>
            </w:r>
          </w:p>
        </w:tc>
        <w:tc>
          <w:tcPr>
            <w:tcW w:type="dxa" w:w="31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Todas as telas com dados</w:t>
            </w:r>
          </w:p>
        </w:tc>
      </w:tr>
      <w:tr>
        <w:trPr>
          <w:cantSplit/>
        </w:trPr>
        <w:tc>
          <w:tcPr>
            <w:tcW w:type="dxa" w:w="16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Vazio</w:t>
            </w:r>
          </w:p>
        </w:tc>
        <w:tc>
          <w:tcPr>
            <w:tcW w:type="dxa" w:w="46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Explicar por que não há conteúdo e oferecer próximo passo</w:t>
            </w:r>
          </w:p>
        </w:tc>
        <w:tc>
          <w:tcPr>
            <w:tcW w:type="dxa" w:w="31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Busca, favoritos, históricos e listas ADM</w:t>
            </w:r>
          </w:p>
        </w:tc>
      </w:tr>
      <w:tr>
        <w:trPr>
          <w:cantSplit/>
        </w:trPr>
        <w:tc>
          <w:tcPr>
            <w:tcW w:type="dxa" w:w="16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Erro recuperável</w:t>
            </w:r>
          </w:p>
        </w:tc>
        <w:tc>
          <w:tcPr>
            <w:tcW w:type="dxa" w:w="46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Mensagem humana, código de suporte e tentativa segura</w:t>
            </w:r>
          </w:p>
        </w:tc>
        <w:tc>
          <w:tcPr>
            <w:tcW w:type="dxa" w:w="31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APIs, foto, pagamento e integrações</w:t>
            </w:r>
          </w:p>
        </w:tc>
      </w:tr>
      <w:tr>
        <w:trPr>
          <w:cantSplit/>
        </w:trPr>
        <w:tc>
          <w:tcPr>
            <w:tcW w:type="dxa" w:w="16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Erro definitivo</w:t>
            </w:r>
          </w:p>
        </w:tc>
        <w:tc>
          <w:tcPr>
            <w:tcW w:type="dxa" w:w="46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Preservar contexto, orientar suporte e evitar loop</w:t>
            </w:r>
          </w:p>
        </w:tc>
        <w:tc>
          <w:tcPr>
            <w:tcW w:type="dxa" w:w="31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Elegibilidade, pedido e permissões</w:t>
            </w:r>
          </w:p>
        </w:tc>
      </w:tr>
      <w:tr>
        <w:trPr>
          <w:cantSplit/>
        </w:trPr>
        <w:tc>
          <w:tcPr>
            <w:tcW w:type="dxa" w:w="16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Sem permissão</w:t>
            </w:r>
          </w:p>
        </w:tc>
        <w:tc>
          <w:tcPr>
            <w:tcW w:type="dxa" w:w="46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HTTP 403, ação oculta e evento auditado</w:t>
            </w:r>
          </w:p>
        </w:tc>
        <w:tc>
          <w:tcPr>
            <w:tcW w:type="dxa" w:w="31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Conta e todas as rotas ADM</w:t>
            </w:r>
          </w:p>
        </w:tc>
      </w:tr>
      <w:tr>
        <w:trPr>
          <w:cantSplit/>
        </w:trPr>
        <w:tc>
          <w:tcPr>
            <w:tcW w:type="dxa" w:w="16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Offline/instável</w:t>
            </w:r>
          </w:p>
        </w:tc>
        <w:tc>
          <w:tcPr>
            <w:tcW w:type="dxa" w:w="46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Salvar progresso permitido e retomar sem duplicar</w:t>
            </w:r>
          </w:p>
        </w:tc>
        <w:tc>
          <w:tcPr>
            <w:tcW w:type="dxa" w:w="31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Questionário, upload e checkout</w:t>
            </w:r>
          </w:p>
        </w:tc>
      </w:tr>
      <w:tr>
        <w:trPr>
          <w:cantSplit/>
        </w:trPr>
        <w:tc>
          <w:tcPr>
            <w:tcW w:type="dxa" w:w="16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Confirmação destrutiva</w:t>
            </w:r>
          </w:p>
        </w:tc>
        <w:tc>
          <w:tcPr>
            <w:tcW w:type="dxa" w:w="46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Escopo, consequência e nova autenticação quando sensível</w:t>
            </w:r>
          </w:p>
        </w:tc>
        <w:tc>
          <w:tcPr>
            <w:tcW w:type="dxa" w:w="31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Exclusão, revogação, reembolso e regras</w:t>
            </w:r>
          </w:p>
        </w:tc>
      </w:tr>
      <w:tr>
        <w:trPr>
          <w:cantSplit/>
        </w:trPr>
        <w:tc>
          <w:tcPr>
            <w:tcW w:type="dxa" w:w="16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Sucesso</w:t>
            </w:r>
          </w:p>
        </w:tc>
        <w:tc>
          <w:tcPr>
            <w:tcW w:type="dxa" w:w="46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Recibo, identificador e próximo passo</w:t>
            </w:r>
          </w:p>
        </w:tc>
        <w:tc>
          <w:tcPr>
            <w:tcW w:type="dxa" w:w="31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Cadastro, análise, pagamento e alterações ADM</w:t>
            </w:r>
          </w:p>
        </w:tc>
      </w:tr>
    </w:tbl>
    <w:p>
      <w:pPr>
        <w:spacing w:after="20"/>
      </w:pPr>
    </w:p>
    <w:p>
      <w:pPr>
        <w:pStyle w:val="Heading2"/>
      </w:pPr>
      <w:r>
        <w:t>Papéis administrativos mínimos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200"/>
        <w:gridCol w:w="3660"/>
      </w:tblGrid>
      <w:tr>
        <w:trPr>
          <w:tblHeader w:val="true"/>
          <w:cantSplit/>
        </w:trPr>
        <w:tc>
          <w:tcPr>
            <w:tcW w:type="dxa" w:w="150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PAPEL</w:t>
            </w:r>
          </w:p>
        </w:tc>
        <w:tc>
          <w:tcPr>
            <w:tcW w:type="dxa" w:w="420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ESCOPO</w:t>
            </w:r>
          </w:p>
        </w:tc>
        <w:tc>
          <w:tcPr>
            <w:tcW w:type="dxa" w:w="366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LIMITE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Superadmin</w:t>
            </w:r>
          </w:p>
        </w:tc>
        <w:tc>
          <w:tcPr>
            <w:tcW w:type="dxa" w:w="42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Configurações, usuários, auditoria e todas as áreas</w:t>
            </w:r>
          </w:p>
        </w:tc>
        <w:tc>
          <w:tcPr>
            <w:tcW w:type="dxa" w:w="36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Ações críticas com autenticação reforçada</w:t>
            </w:r>
          </w:p>
        </w:tc>
      </w:tr>
      <w:tr>
        <w:trPr>
          <w:cantSplit/>
        </w:trPr>
        <w:tc>
          <w:tcPr>
            <w:tcW w:type="dxa" w:w="15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Curadoria</w:t>
            </w:r>
          </w:p>
        </w:tc>
        <w:tc>
          <w:tcPr>
            <w:tcW w:type="dxa" w:w="42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Produtos, ingredientes, regras e recomendação</w:t>
            </w:r>
          </w:p>
        </w:tc>
        <w:tc>
          <w:tcPr>
            <w:tcW w:type="dxa" w:w="36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Sem pagamento; cliente somente quando indispensável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Operações</w:t>
            </w:r>
          </w:p>
        </w:tc>
        <w:tc>
          <w:tcPr>
            <w:tcW w:type="dxa" w:w="42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Pedidos, estoque, entrega, cupons e suporte</w:t>
            </w:r>
          </w:p>
        </w:tc>
        <w:tc>
          <w:tcPr>
            <w:tcW w:type="dxa" w:w="36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Sem sinais de pele ou respostas sensíveis</w:t>
            </w:r>
          </w:p>
        </w:tc>
      </w:tr>
      <w:tr>
        <w:trPr>
          <w:cantSplit/>
        </w:trPr>
        <w:tc>
          <w:tcPr>
            <w:tcW w:type="dxa" w:w="15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Suporte</w:t>
            </w:r>
          </w:p>
        </w:tc>
        <w:tc>
          <w:tcPr>
            <w:tcW w:type="dxa" w:w="42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Pedidos e status técnico de análise</w:t>
            </w:r>
          </w:p>
        </w:tc>
        <w:tc>
          <w:tcPr>
            <w:tcW w:type="dxa" w:w="36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Dados mascarados; sem edição de regra ou resultado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Conteúdo</w:t>
            </w:r>
          </w:p>
        </w:tc>
        <w:tc>
          <w:tcPr>
            <w:tcW w:type="dxa" w:w="420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Landing, FAQ, banners e textos legais em rascunho</w:t>
            </w:r>
          </w:p>
        </w:tc>
        <w:tc>
          <w:tcPr>
            <w:tcW w:type="dxa" w:w="36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Publicação sujeita a aprovação</w:t>
            </w:r>
          </w:p>
        </w:tc>
      </w:tr>
      <w:tr>
        <w:trPr>
          <w:cantSplit/>
        </w:trPr>
        <w:tc>
          <w:tcPr>
            <w:tcW w:type="dxa" w:w="15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Auditoria/DPO</w:t>
            </w:r>
          </w:p>
        </w:tc>
        <w:tc>
          <w:tcPr>
            <w:tcW w:type="dxa" w:w="420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Logs, consentimentos, retenção e solicitações do titular</w:t>
            </w:r>
          </w:p>
        </w:tc>
        <w:tc>
          <w:tcPr>
            <w:tcW w:type="dxa" w:w="36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Preferencialmente leitura; acesso justificado</w:t>
            </w:r>
          </w:p>
        </w:tc>
      </w:tr>
    </w:tbl>
    <w:p>
      <w:pPr>
        <w:spacing w:after="20"/>
      </w:pPr>
    </w:p>
    <w:p>
      <w:pPr>
        <w:pStyle w:val="ListBullet"/>
        <w:keepLines/>
      </w:pPr>
      <w:r>
        <w:t>Autorização deve ser validada no servidor; esconder um botão não substitui controle de acesso.</w:t>
      </w:r>
    </w:p>
    <w:p>
      <w:pPr>
        <w:pStyle w:val="ListBullet"/>
        <w:keepLines/>
      </w:pPr>
      <w:r>
        <w:t>Mudanças em produto, INCI, regra, peso, preço e status de pedido registram antes/depois, autor e data.</w:t>
      </w:r>
    </w:p>
    <w:p>
      <w:pPr>
        <w:pStyle w:val="ListBullet"/>
        <w:keepLines/>
      </w:pPr>
      <w:r>
        <w:t>Dados de alergias, condições declaradas e resultados de análise usam acesso mínimo e finalidade explícita.</w:t>
      </w:r>
    </w:p>
    <w:p>
      <w:pPr>
        <w:pStyle w:val="Heading1"/>
      </w:pPr>
      <w:r>
        <w:t>10. Plano de desenvolvimento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9D286F"/>
            <w:tcBorders>
              <w:top w:val="single" w:sz="6" w:color="9D286F"/>
              <w:left w:val="single" w:sz="6" w:color="9D286F"/>
              <w:bottom w:val="single" w:sz="6" w:color="9D286F"/>
              <w:right w:val="single" w:sz="6" w:color="9D286F"/>
              <w:insideH w:val="single" w:sz="6" w:color="9D286F"/>
              <w:insideV w:val="single" w:sz="6" w:color="9D286F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9B7A7"/>
                <w:sz w:val="16"/>
              </w:rPr>
              <w:t>ESTIMATIVA-BASE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MVP completo: 18 a 22 semanas após congelamento de escopo, com 1 designer, 2 engenheiros full-stack, apoio de produto/QA e especialistas parciais. Piloto P0: 12 a 14 semanas com integrações definidas cedo.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1050"/>
        <w:gridCol w:w="4250"/>
        <w:gridCol w:w="2610"/>
      </w:tblGrid>
      <w:tr>
        <w:trPr>
          <w:tblHeader w:val="true"/>
          <w:cantSplit/>
        </w:trPr>
        <w:tc>
          <w:tcPr>
            <w:tcW w:type="dxa" w:w="145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ONDA</w:t>
            </w:r>
          </w:p>
        </w:tc>
        <w:tc>
          <w:tcPr>
            <w:tcW w:type="dxa" w:w="105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SEMANAS</w:t>
            </w:r>
          </w:p>
        </w:tc>
        <w:tc>
          <w:tcPr>
            <w:tcW w:type="dxa" w:w="425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ESCOPO</w:t>
            </w:r>
          </w:p>
        </w:tc>
        <w:tc>
          <w:tcPr>
            <w:tcW w:type="dxa" w:w="261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</w:tr>
      <w:tr>
        <w:trPr>
          <w:cantSplit/>
        </w:trPr>
        <w:tc>
          <w:tcPr>
            <w:tcW w:type="dxa" w:w="14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5"/>
              </w:rPr>
              <w:t>0 · Fundação</w:t>
            </w:r>
          </w:p>
        </w:tc>
        <w:tc>
          <w:tcPr>
            <w:tcW w:type="dxa" w:w="10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5"/>
              </w:rPr>
              <w:t>1–2</w:t>
            </w:r>
          </w:p>
        </w:tc>
        <w:tc>
          <w:tcPr>
            <w:tcW w:type="dxa" w:w="42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Design system, app shells, auth/RBAC, contratos, telemetria e mocks</w:t>
            </w:r>
          </w:p>
        </w:tc>
        <w:tc>
          <w:tcPr>
            <w:tcW w:type="dxa" w:w="261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Navegação e permissões verdes</w:t>
            </w:r>
          </w:p>
        </w:tc>
      </w:tr>
      <w:tr>
        <w:trPr>
          <w:cantSplit/>
        </w:trPr>
        <w:tc>
          <w:tcPr>
            <w:tcW w:type="dxa" w:w="14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5"/>
              </w:rPr>
              <w:t>1 · Público/Auth</w:t>
            </w:r>
          </w:p>
        </w:tc>
        <w:tc>
          <w:tcPr>
            <w:tcW w:type="dxa" w:w="10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5"/>
              </w:rPr>
              <w:t>2–3</w:t>
            </w:r>
          </w:p>
        </w:tc>
        <w:tc>
          <w:tcPr>
            <w:tcW w:type="dxa" w:w="42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Institucional P0, catálogo base, login, cadastro e recuperação</w:t>
            </w:r>
          </w:p>
        </w:tc>
        <w:tc>
          <w:tcPr>
            <w:tcW w:type="dxa" w:w="261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Busca e sessão ponta a ponta</w:t>
            </w:r>
          </w:p>
        </w:tc>
      </w:tr>
      <w:tr>
        <w:trPr>
          <w:cantSplit/>
        </w:trPr>
        <w:tc>
          <w:tcPr>
            <w:tcW w:type="dxa" w:w="14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5"/>
              </w:rPr>
              <w:t>2 · Catálogo seguro</w:t>
            </w:r>
          </w:p>
        </w:tc>
        <w:tc>
          <w:tcPr>
            <w:tcW w:type="dxa" w:w="10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5"/>
              </w:rPr>
              <w:t>3–5</w:t>
            </w:r>
          </w:p>
        </w:tc>
        <w:tc>
          <w:tcPr>
            <w:tcW w:type="dxa" w:w="42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PDP, INCI, categorias, regras, estoque e painéis ADM correspondentes</w:t>
            </w:r>
          </w:p>
        </w:tc>
        <w:tc>
          <w:tcPr>
            <w:tcW w:type="dxa" w:w="261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Produto publicável e bloqueios testados</w:t>
            </w:r>
          </w:p>
        </w:tc>
      </w:tr>
      <w:tr>
        <w:trPr>
          <w:cantSplit/>
        </w:trPr>
        <w:tc>
          <w:tcPr>
            <w:tcW w:type="dxa" w:w="14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5"/>
              </w:rPr>
              <w:t>3 · Core IA</w:t>
            </w:r>
          </w:p>
        </w:tc>
        <w:tc>
          <w:tcPr>
            <w:tcW w:type="dxa" w:w="10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5"/>
              </w:rPr>
              <w:t>5–8</w:t>
            </w:r>
          </w:p>
        </w:tc>
        <w:tc>
          <w:tcPr>
            <w:tcW w:type="dxa" w:w="42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Consentimento, questionário, captura, provider, resultado e curadoria</w:t>
            </w:r>
          </w:p>
        </w:tc>
        <w:tc>
          <w:tcPr>
            <w:tcW w:type="dxa" w:w="261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Análise completa com fallback</w:t>
            </w:r>
          </w:p>
        </w:tc>
      </w:tr>
      <w:tr>
        <w:trPr>
          <w:cantSplit/>
        </w:trPr>
        <w:tc>
          <w:tcPr>
            <w:tcW w:type="dxa" w:w="14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5"/>
              </w:rPr>
              <w:t>4 · Comércio</w:t>
            </w:r>
          </w:p>
        </w:tc>
        <w:tc>
          <w:tcPr>
            <w:tcW w:type="dxa" w:w="10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5"/>
              </w:rPr>
              <w:t>8–11</w:t>
            </w:r>
          </w:p>
        </w:tc>
        <w:tc>
          <w:tcPr>
            <w:tcW w:type="dxa" w:w="42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Sacola, entrega, pagamento, confirmação e pedidos ADM</w:t>
            </w:r>
          </w:p>
        </w:tc>
        <w:tc>
          <w:tcPr>
            <w:tcW w:type="dxa" w:w="261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Compra e estorno em sandbox</w:t>
            </w:r>
          </w:p>
        </w:tc>
      </w:tr>
      <w:tr>
        <w:trPr>
          <w:cantSplit/>
        </w:trPr>
        <w:tc>
          <w:tcPr>
            <w:tcW w:type="dxa" w:w="14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5"/>
              </w:rPr>
              <w:t>5 · Conta</w:t>
            </w:r>
          </w:p>
        </w:tc>
        <w:tc>
          <w:tcPr>
            <w:tcW w:type="dxa" w:w="10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5"/>
              </w:rPr>
              <w:t>10–12</w:t>
            </w:r>
          </w:p>
        </w:tc>
        <w:tc>
          <w:tcPr>
            <w:tcW w:type="dxa" w:w="42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Perfil, pele, histórico, pedidos, endereços e privacidade</w:t>
            </w:r>
          </w:p>
        </w:tc>
        <w:tc>
          <w:tcPr>
            <w:tcW w:type="dxa" w:w="261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Usuário controla seus dados</w:t>
            </w:r>
          </w:p>
        </w:tc>
      </w:tr>
      <w:tr>
        <w:trPr>
          <w:cantSplit/>
        </w:trPr>
        <w:tc>
          <w:tcPr>
            <w:tcW w:type="dxa" w:w="14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5"/>
              </w:rPr>
              <w:t>6 · Operação ADM</w:t>
            </w:r>
          </w:p>
        </w:tc>
        <w:tc>
          <w:tcPr>
            <w:tcW w:type="dxa" w:w="10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5"/>
              </w:rPr>
              <w:t>11–16</w:t>
            </w:r>
          </w:p>
        </w:tc>
        <w:tc>
          <w:tcPr>
            <w:tcW w:type="dxa" w:w="42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Clientes, análises, recomendação, conteúdo, suporte, auditoria e config</w:t>
            </w:r>
          </w:p>
        </w:tc>
        <w:tc>
          <w:tcPr>
            <w:tcW w:type="dxa" w:w="261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Operação diária sem banco manual</w:t>
            </w:r>
          </w:p>
        </w:tc>
      </w:tr>
      <w:tr>
        <w:trPr>
          <w:cantSplit/>
        </w:trPr>
        <w:tc>
          <w:tcPr>
            <w:tcW w:type="dxa" w:w="14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5"/>
              </w:rPr>
              <w:t>7 · Hardening</w:t>
            </w:r>
          </w:p>
        </w:tc>
        <w:tc>
          <w:tcPr>
            <w:tcW w:type="dxa" w:w="10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5"/>
              </w:rPr>
              <w:t>16–18+</w:t>
            </w:r>
          </w:p>
        </w:tc>
        <w:tc>
          <w:tcPr>
            <w:tcW w:type="dxa" w:w="42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Acessibilidade, segurança, performance, UAT, contingência e rollout</w:t>
            </w:r>
          </w:p>
        </w:tc>
        <w:tc>
          <w:tcPr>
            <w:tcW w:type="dxa" w:w="261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5"/>
              </w:rPr>
              <w:t>Gates de produção aprovados</w:t>
            </w:r>
          </w:p>
        </w:tc>
      </w:tr>
    </w:tbl>
    <w:p>
      <w:pPr>
        <w:spacing w:after="20"/>
      </w:pPr>
    </w:p>
    <w:p>
      <w:pPr>
        <w:pStyle w:val="Heading2"/>
      </w:pPr>
      <w:r>
        <w:t>Dependências críticas</w:t>
      </w:r>
    </w:p>
    <w:p>
      <w:pPr>
        <w:pStyle w:val="ListBullet"/>
        <w:keepLines/>
      </w:pPr>
      <w:r>
        <w:t>Design system e shells vêm antes das telas; componentes de formulário, tabela, feedback e permissão são compartilhados.</w:t>
      </w:r>
    </w:p>
    <w:p>
      <w:pPr>
        <w:pStyle w:val="ListBullet"/>
        <w:keepLines/>
      </w:pPr>
      <w:r>
        <w:t>Autenticação, sessão e RBAC antecedem conta e ADM; autorização é implementada também no backend.</w:t>
      </w:r>
    </w:p>
    <w:p>
      <w:pPr>
        <w:pStyle w:val="ListBullet"/>
        <w:keepLines/>
      </w:pPr>
      <w:r>
        <w:t>Produto, INCI, estoque, preço e regras de segurança antecedem recomendação e checkout.</w:t>
      </w:r>
    </w:p>
    <w:p>
      <w:pPr>
        <w:pStyle w:val="ListBullet"/>
        <w:keepLines/>
      </w:pPr>
      <w:r>
        <w:t>Provider de visão, storage privado, fila e política de deleção antecedem testes com fotos reais.</w:t>
      </w:r>
    </w:p>
    <w:p>
      <w:pPr>
        <w:pStyle w:val="ListBullet"/>
        <w:keepLines/>
      </w:pPr>
      <w:r>
        <w:t>PSP, antifraude, frete e política de devolução antecedem checkout e telas operacionais de pedido.</w:t>
      </w:r>
    </w:p>
    <w:p>
      <w:pPr>
        <w:pStyle w:val="ListBullet"/>
        <w:keepLines/>
      </w:pPr>
      <w:r>
        <w:t>Auditoria e versionamento antecedem publicação de regra, recomendação ou alteração administrativa sensível.</w:t>
      </w:r>
    </w:p>
    <w:p>
      <w:pPr>
        <w:pStyle w:val="Heading1"/>
      </w:pPr>
      <w:r>
        <w:t>11. Critérios de pronto, UAT e decisões</w:t>
      </w:r>
    </w:p>
    <w:p>
      <w:pPr>
        <w:pStyle w:val="Heading2"/>
      </w:pPr>
      <w:r>
        <w:t>Definition of Done por tela</w:t>
      </w:r>
    </w:p>
    <w:p>
      <w:pPr>
        <w:pStyle w:val="ListBullet"/>
        <w:keepLines/>
      </w:pPr>
      <w:r>
        <w:t>Layout aprovado para 360, 768 e 1440 px; ADM pode priorizar desktop, mas deve permanecer utilizável em tablet.</w:t>
      </w:r>
    </w:p>
    <w:p>
      <w:pPr>
        <w:pStyle w:val="ListBullet"/>
        <w:keepLines/>
      </w:pPr>
      <w:r>
        <w:t>Estados carregando, vazio, erro, sucesso, sem permissão e offline definidos quando aplicáveis.</w:t>
      </w:r>
    </w:p>
    <w:p>
      <w:pPr>
        <w:pStyle w:val="ListBullet"/>
        <w:keepLines/>
      </w:pPr>
      <w:r>
        <w:t>Navegação por teclado, foco visível, nomes acessíveis, contraste e redução de movimento validados.</w:t>
      </w:r>
    </w:p>
    <w:p>
      <w:pPr>
        <w:pStyle w:val="ListBullet"/>
        <w:keepLines/>
      </w:pPr>
      <w:r>
        <w:t>Contrato de dados tipado, validação de entrada, autorização e tratamento de erro implementados.</w:t>
      </w:r>
    </w:p>
    <w:p>
      <w:pPr>
        <w:pStyle w:val="ListBullet"/>
        <w:keepLines/>
      </w:pPr>
      <w:r>
        <w:t>Eventos de produto e operação sem foto, alergia, condição declarada ou outro dado sensível em analytics/logs.</w:t>
      </w:r>
    </w:p>
    <w:p>
      <w:pPr>
        <w:pStyle w:val="ListBullet"/>
        <w:keepLines/>
      </w:pPr>
      <w:r>
        <w:t>Testes unitários das regras, integração das APIs e E2E da jornada crítica correspondentes.</w:t>
      </w:r>
    </w:p>
    <w:p>
      <w:pPr>
        <w:pStyle w:val="ListBullet"/>
        <w:keepLines/>
      </w:pPr>
      <w:r>
        <w:t>Conteúdo final revisado; sem promessa médica; orientação cosmética e limites claramente apresentados.</w:t>
      </w:r>
    </w:p>
    <w:p>
      <w:pPr>
        <w:pStyle w:val="ListBullet"/>
        <w:keepLines/>
      </w:pPr>
      <w:r>
        <w:t>Critérios de aceite, responsável, feature flag e procedimento de rollback documentados.</w:t>
      </w:r>
    </w:p>
    <w:p>
      <w:pPr>
        <w:pStyle w:val="Heading2"/>
      </w:pPr>
      <w:r>
        <w:t>Jornadas mínimas de UAT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4550"/>
        <w:gridCol w:w="3560"/>
      </w:tblGrid>
      <w:tr>
        <w:trPr>
          <w:tblHeader w:val="true"/>
          <w:cantSplit/>
        </w:trPr>
        <w:tc>
          <w:tcPr>
            <w:tcW w:type="dxa" w:w="125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CENÁRIO</w:t>
            </w:r>
          </w:p>
        </w:tc>
        <w:tc>
          <w:tcPr>
            <w:tcW w:type="dxa" w:w="455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FLUXO</w:t>
            </w:r>
          </w:p>
        </w:tc>
        <w:tc>
          <w:tcPr>
            <w:tcW w:type="dxa" w:w="356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ACEITE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UAT-01</w:t>
            </w:r>
          </w:p>
        </w:tc>
        <w:tc>
          <w:tcPr>
            <w:tcW w:type="dxa" w:w="45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Visitante busca produto, adiciona à sacola e conclui pedido</w:t>
            </w:r>
          </w:p>
        </w:tc>
        <w:tc>
          <w:tcPr>
            <w:tcW w:type="dxa" w:w="35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Pedido único e confirmação consistente</w:t>
            </w:r>
          </w:p>
        </w:tc>
      </w:tr>
      <w:tr>
        <w:trPr>
          <w:cantSplit/>
        </w:trPr>
        <w:tc>
          <w:tcPr>
            <w:tcW w:type="dxa" w:w="12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UAT-02</w:t>
            </w:r>
          </w:p>
        </w:tc>
        <w:tc>
          <w:tcPr>
            <w:tcW w:type="dxa" w:w="45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Cliente consente, responde, envia foto, recebe rotina e compra</w:t>
            </w:r>
          </w:p>
        </w:tc>
        <w:tc>
          <w:tcPr>
            <w:tcW w:type="dxa" w:w="35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Exclusões seguras e imagem eliminada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UAT-03</w:t>
            </w:r>
          </w:p>
        </w:tc>
        <w:tc>
          <w:tcPr>
            <w:tcW w:type="dxa" w:w="45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Foto inválida ou provider indisponível</w:t>
            </w:r>
          </w:p>
        </w:tc>
        <w:tc>
          <w:tcPr>
            <w:tcW w:type="dxa" w:w="35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Retake/fallback sem perda do questionário</w:t>
            </w:r>
          </w:p>
        </w:tc>
      </w:tr>
      <w:tr>
        <w:trPr>
          <w:cantSplit/>
        </w:trPr>
        <w:tc>
          <w:tcPr>
            <w:tcW w:type="dxa" w:w="12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UAT-04</w:t>
            </w:r>
          </w:p>
        </w:tc>
        <w:tc>
          <w:tcPr>
            <w:tcW w:type="dxa" w:w="45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Cliente revoga consentimento e solicita exclusão</w:t>
            </w:r>
          </w:p>
        </w:tc>
        <w:tc>
          <w:tcPr>
            <w:tcW w:type="dxa" w:w="35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Bloqueio, deleção e comprovante auditável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UAT-05</w:t>
            </w:r>
          </w:p>
        </w:tc>
        <w:tc>
          <w:tcPr>
            <w:tcW w:type="dxa" w:w="45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Curadoria publica produto e regra versionados</w:t>
            </w:r>
          </w:p>
        </w:tc>
        <w:tc>
          <w:tcPr>
            <w:tcW w:type="dxa" w:w="35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Simulação, aprovação e rollback disponíveis</w:t>
            </w:r>
          </w:p>
        </w:tc>
      </w:tr>
      <w:tr>
        <w:trPr>
          <w:cantSplit/>
        </w:trPr>
        <w:tc>
          <w:tcPr>
            <w:tcW w:type="dxa" w:w="12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UAT-06</w:t>
            </w:r>
          </w:p>
        </w:tc>
        <w:tc>
          <w:tcPr>
            <w:tcW w:type="dxa" w:w="455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Operações trata pagamento, separação, envio e reembolso</w:t>
            </w:r>
          </w:p>
        </w:tc>
        <w:tc>
          <w:tcPr>
            <w:tcW w:type="dxa" w:w="3560"/>
            <w:shd w:fill="FFF8FA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Linha do tempo e estoque coerentes</w:t>
            </w:r>
          </w:p>
        </w:tc>
      </w:tr>
      <w:tr>
        <w:trPr>
          <w:cantSplit/>
        </w:trPr>
        <w:tc>
          <w:tcPr>
            <w:tcW w:type="dxa" w:w="12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41820"/>
                <w:sz w:val="16"/>
              </w:rPr>
              <w:t>UAT-07</w:t>
            </w:r>
          </w:p>
        </w:tc>
        <w:tc>
          <w:tcPr>
            <w:tcW w:type="dxa" w:w="455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241820"/>
                <w:sz w:val="16"/>
              </w:rPr>
              <w:t>Usuário ADM tenta acessar módulo fora do papel</w:t>
            </w:r>
          </w:p>
        </w:tc>
        <w:tc>
          <w:tcPr>
            <w:tcW w:type="dxa" w:w="3560"/>
            <w:shd w:fill="FFFFFF"/>
            <w:tcBorders>
              <w:top w:val="single" w:sz="4" w:color="D9B7A7"/>
              <w:left w:val="single" w:sz="4" w:color="D9B7A7"/>
              <w:bottom w:val="single" w:sz="4" w:color="D9B7A7"/>
              <w:right w:val="single" w:sz="4" w:color="D9B7A7"/>
              <w:insideH w:val="single" w:sz="4" w:color="D9B7A7"/>
              <w:insideV w:val="single" w:sz="4" w:color="D9B7A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1820"/>
                <w:sz w:val="16"/>
              </w:rPr>
              <w:t>403, dados não retornados e log criado</w:t>
            </w:r>
          </w:p>
        </w:tc>
      </w:tr>
    </w:tbl>
    <w:p>
      <w:pPr>
        <w:spacing w:after="20"/>
      </w:pPr>
    </w:p>
    <w:p>
      <w:pPr>
        <w:pStyle w:val="Heading2"/>
      </w:pPr>
      <w:r>
        <w:t>Decisões pendentes antes do detalhamento visual</w:t>
      </w:r>
    </w:p>
    <w:p>
      <w:pPr>
        <w:pStyle w:val="ListNumber"/>
        <w:keepLines/>
      </w:pPr>
      <w:r>
        <w:t>Checkout permitirá convidado ou exigirá conta? Recomendação: convidado para compra comum; conta para salvar análise.</w:t>
      </w:r>
    </w:p>
    <w:p>
      <w:pPr>
        <w:pStyle w:val="ListNumber"/>
        <w:keepLines/>
      </w:pPr>
      <w:r>
        <w:t>Qual provider de análise, prazo de retenção e região de processamento serão contratados?</w:t>
      </w:r>
    </w:p>
    <w:p>
      <w:pPr>
        <w:pStyle w:val="ListNumber"/>
        <w:keepLines/>
      </w:pPr>
      <w:r>
        <w:t>Quais PSP, frete, emissão fiscal e política de devolução entram no MVP real?</w:t>
      </w:r>
    </w:p>
    <w:p>
      <w:pPr>
        <w:pStyle w:val="ListNumber"/>
        <w:keepLines/>
      </w:pPr>
      <w:r>
        <w:t>Quais papéis ADM serão acumulados pela equipe inicial sem violar segregação mínima?</w:t>
      </w:r>
    </w:p>
    <w:p>
      <w:pPr>
        <w:pStyle w:val="ListNumber"/>
        <w:keepLines/>
      </w:pPr>
      <w:r>
        <w:t>Favoritos, promoções, conteúdo ADM e página de acessibilidade entram no piloto ou somente no MVP completo?</w:t>
      </w:r>
    </w:p>
    <w:p>
      <w:pPr>
        <w:pStyle w:val="ListNumber"/>
        <w:keepLines/>
      </w:pPr>
      <w:r>
        <w:t>Quais sinais cosméticos aparecem ao cliente e quais alertas interrompem o fluxo para avaliação profissional?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2B1924"/>
            <w:tcBorders>
              <w:top w:val="single" w:sz="6" w:color="2B1924"/>
              <w:left w:val="single" w:sz="6" w:color="2B1924"/>
              <w:bottom w:val="single" w:sz="6" w:color="2B1924"/>
              <w:right w:val="single" w:sz="6" w:color="2B1924"/>
              <w:insideH w:val="single" w:sz="6" w:color="2B1924"/>
              <w:insideV w:val="single" w:sz="6" w:color="2B1924"/>
            </w:tcBorders>
            <w:tcMar>
              <w:top w:w="180" w:type="dxa"/>
              <w:bottom w:w="18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D9B7A7"/>
                <w:sz w:val="16"/>
              </w:rPr>
              <w:t>PRÓXIMO ARTEFATO RECOMENDADO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Transformar este inventário em wireframes de baixa fidelidade por onda, começando por app shell, autenticação, catálogo/PDP e jornada completa de análise; cada wireframe deve referenciar o código de tela deste documento.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9"/>
      <w:footerReference w:type="default" r:id="rId20"/>
      <w:pgSz w:w="12240" w:h="15840"/>
      <w:pgMar w:top="1440" w:right="1440" w:bottom="1181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rial" w:hAnsi="Arial"/>
      <w:color w:val="2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2B19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941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2B19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oreal.com/en/news/research-innovation/loreal-and-modiface-an-artificial-intelligencepowered-skin-diagnostic" TargetMode="External"/><Relationship Id="rId11" Type="http://schemas.openxmlformats.org/officeDocument/2006/relationships/hyperlink" Target="https://www.loreal.com/en/articles/science-and-technology/ri-behind-the-scenes-of-the-skin-analyzer-apps/" TargetMode="External"/><Relationship Id="rId12" Type="http://schemas.openxmlformats.org/officeDocument/2006/relationships/hyperlink" Target="https://docs.perfectcorp.com/reference/ai_skin_analysis/v2.1" TargetMode="External"/><Relationship Id="rId13" Type="http://schemas.openxmlformats.org/officeDocument/2006/relationships/hyperlink" Target="https://www.gov.br/anpd/pt-br/acesso-a-informacao/perguntas-frequentes/perguntas-frequentes" TargetMode="External"/><Relationship Id="rId14" Type="http://schemas.openxmlformats.org/officeDocument/2006/relationships/hyperlink" Target="https://www.gov.br/anvisa/pt-br/acessoainformacao/perguntasfrequentes/produtosparasaude/conceitos-e-definicoes" TargetMode="External"/><Relationship Id="rId15" Type="http://schemas.openxmlformats.org/officeDocument/2006/relationships/hyperlink" Target="https://developer.mozilla.org/en-US/docs/Web/API/MediaDevices/getUserMedia" TargetMode="External"/><Relationship Id="rId16" Type="http://schemas.openxmlformats.org/officeDocument/2006/relationships/hyperlink" Target="https://orm.drizzle.team/docs/overview" TargetMode="External"/><Relationship Id="rId17" Type="http://schemas.openxmlformats.org/officeDocument/2006/relationships/hyperlink" Target="https://developers.cloudflare.com/r2/api/s3/presigned-urls/" TargetMode="External"/><Relationship Id="rId18" Type="http://schemas.openxmlformats.org/officeDocument/2006/relationships/hyperlink" Target="https://opentelemetry.io/docs/languages/js/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D’Accord — Mapa de Telas do MVP</dc:title>
  <dc:subject>Planejamento de páginas, estados, jornadas e administração do MVP</dc:subject>
  <dc:creator>D’Accord</dc:creator>
  <cp:keywords>MVP, telas, ecommerce, análise de pele, administração, UX</cp:keywords>
  <dc:description>Documento de planejamento de produto.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